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7743E" w14:textId="77777777" w:rsidR="0044715D" w:rsidRPr="00323092" w:rsidRDefault="0044715D" w:rsidP="0044715D">
      <w:pPr>
        <w:spacing w:before="120" w:after="120" w:line="312" w:lineRule="auto"/>
        <w:jc w:val="center"/>
      </w:pPr>
      <w:bookmarkStart w:id="0" w:name="_Toc403747457"/>
      <w:bookmarkStart w:id="1" w:name="_Toc412039297"/>
      <w:r w:rsidRPr="008D5584">
        <w:rPr>
          <w:b/>
          <w:noProof/>
          <w:lang w:eastAsia="en-AU"/>
        </w:rPr>
        <w:drawing>
          <wp:inline distT="0" distB="0" distL="0" distR="0" wp14:anchorId="2236C7ED" wp14:editId="2AA0898B">
            <wp:extent cx="1889760" cy="1226820"/>
            <wp:effectExtent l="0" t="0" r="0" b="0"/>
            <wp:docPr id="1" name="Picture 2"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439357DF" w14:textId="77777777" w:rsidR="0044715D" w:rsidRPr="0052742D" w:rsidRDefault="0044715D" w:rsidP="0044715D">
      <w:pPr>
        <w:spacing w:before="120" w:after="120" w:line="312" w:lineRule="auto"/>
        <w:jc w:val="both"/>
        <w:rPr>
          <w:sz w:val="96"/>
          <w:szCs w:val="96"/>
        </w:rPr>
      </w:pPr>
    </w:p>
    <w:p w14:paraId="407EFB2C" w14:textId="738B2A02" w:rsidR="0044715D" w:rsidRDefault="005F4D2F" w:rsidP="00A601AC">
      <w:pPr>
        <w:pStyle w:val="Heading10"/>
        <w:jc w:val="center"/>
        <w:rPr>
          <w:sz w:val="48"/>
          <w:szCs w:val="48"/>
        </w:rPr>
      </w:pPr>
      <w:r>
        <w:rPr>
          <w:sz w:val="48"/>
          <w:szCs w:val="48"/>
        </w:rPr>
        <w:t xml:space="preserve">Application </w:t>
      </w:r>
      <w:r w:rsidR="001416C5">
        <w:rPr>
          <w:sz w:val="48"/>
          <w:szCs w:val="48"/>
        </w:rPr>
        <w:t>1</w:t>
      </w:r>
      <w:r w:rsidR="00F65A31">
        <w:rPr>
          <w:sz w:val="48"/>
          <w:szCs w:val="48"/>
        </w:rPr>
        <w:t>51</w:t>
      </w:r>
      <w:r w:rsidR="001416C5">
        <w:rPr>
          <w:sz w:val="48"/>
          <w:szCs w:val="48"/>
        </w:rPr>
        <w:t>1</w:t>
      </w:r>
      <w:r w:rsidR="00303C94">
        <w:rPr>
          <w:sz w:val="48"/>
          <w:szCs w:val="48"/>
        </w:rPr>
        <w:t>:</w:t>
      </w:r>
    </w:p>
    <w:p w14:paraId="62769369" w14:textId="3527BDB1" w:rsidR="00303C94" w:rsidRPr="00303C94" w:rsidRDefault="001416C5" w:rsidP="00A601AC">
      <w:pPr>
        <w:pStyle w:val="Heading10"/>
        <w:jc w:val="center"/>
        <w:rPr>
          <w:sz w:val="48"/>
          <w:szCs w:val="48"/>
        </w:rPr>
      </w:pPr>
      <w:r>
        <w:rPr>
          <w:color w:val="548DD4"/>
          <w:sz w:val="48"/>
          <w:szCs w:val="48"/>
        </w:rPr>
        <w:t>Extended half-life clotting factor concentrates for the t</w:t>
      </w:r>
      <w:r w:rsidR="00AB127E">
        <w:rPr>
          <w:color w:val="548DD4"/>
          <w:sz w:val="48"/>
          <w:szCs w:val="48"/>
        </w:rPr>
        <w:t xml:space="preserve">reatment of </w:t>
      </w:r>
      <w:proofErr w:type="spellStart"/>
      <w:r w:rsidR="00AB127E">
        <w:rPr>
          <w:color w:val="548DD4"/>
          <w:sz w:val="48"/>
          <w:szCs w:val="48"/>
        </w:rPr>
        <w:t>haemophilia</w:t>
      </w:r>
      <w:proofErr w:type="spellEnd"/>
      <w:r w:rsidR="00AB127E">
        <w:rPr>
          <w:color w:val="548DD4"/>
          <w:sz w:val="48"/>
          <w:szCs w:val="48"/>
        </w:rPr>
        <w:t xml:space="preserve"> A and B</w:t>
      </w:r>
    </w:p>
    <w:p w14:paraId="7A020778" w14:textId="77777777" w:rsidR="0044715D" w:rsidRDefault="0044715D" w:rsidP="00D46C89">
      <w:pPr>
        <w:pStyle w:val="Heading10"/>
        <w:tabs>
          <w:tab w:val="left" w:pos="5613"/>
        </w:tabs>
        <w:rPr>
          <w:sz w:val="72"/>
          <w:szCs w:val="72"/>
        </w:rPr>
      </w:pPr>
    </w:p>
    <w:p w14:paraId="3AE58F1D" w14:textId="77777777" w:rsidR="00D46C89" w:rsidRDefault="00D46C89" w:rsidP="003D699E">
      <w:pPr>
        <w:pStyle w:val="Heading10"/>
        <w:jc w:val="center"/>
        <w:rPr>
          <w:sz w:val="72"/>
          <w:szCs w:val="72"/>
        </w:rPr>
      </w:pPr>
      <w:r>
        <w:rPr>
          <w:sz w:val="72"/>
          <w:szCs w:val="72"/>
        </w:rPr>
        <w:t>PICO Confirmation</w:t>
      </w:r>
    </w:p>
    <w:p w14:paraId="13B02394" w14:textId="196E175B" w:rsidR="003D699E" w:rsidRDefault="003D699E" w:rsidP="00382875">
      <w:pPr>
        <w:spacing w:before="180"/>
        <w:jc w:val="center"/>
        <w:rPr>
          <w:rFonts w:ascii="Arial" w:hAnsi="Arial" w:cs="Arial"/>
          <w:b/>
          <w:sz w:val="32"/>
          <w:szCs w:val="32"/>
        </w:rPr>
      </w:pPr>
      <w:r w:rsidRPr="00606857">
        <w:rPr>
          <w:rFonts w:ascii="Arial" w:hAnsi="Arial" w:cs="Arial"/>
          <w:b/>
          <w:sz w:val="32"/>
          <w:szCs w:val="32"/>
        </w:rPr>
        <w:t>(</w:t>
      </w:r>
      <w:r w:rsidR="008B43C8">
        <w:rPr>
          <w:rFonts w:ascii="Arial" w:hAnsi="Arial" w:cs="Arial"/>
          <w:b/>
          <w:sz w:val="32"/>
          <w:szCs w:val="32"/>
        </w:rPr>
        <w:t>T</w:t>
      </w:r>
      <w:r w:rsidR="00382875">
        <w:rPr>
          <w:rFonts w:ascii="Arial" w:hAnsi="Arial" w:cs="Arial"/>
          <w:b/>
          <w:sz w:val="32"/>
          <w:szCs w:val="32"/>
        </w:rPr>
        <w:t>o guide a new application to MSAC</w:t>
      </w:r>
      <w:r w:rsidRPr="00606857">
        <w:rPr>
          <w:rFonts w:ascii="Arial" w:hAnsi="Arial" w:cs="Arial"/>
          <w:b/>
          <w:sz w:val="32"/>
          <w:szCs w:val="32"/>
        </w:rPr>
        <w:t>)</w:t>
      </w:r>
    </w:p>
    <w:p w14:paraId="6751A8A6" w14:textId="16B66FC9" w:rsidR="00EE7A1F" w:rsidRPr="00EE7A1F" w:rsidRDefault="00EE7A1F" w:rsidP="00EE7A1F">
      <w:pPr>
        <w:spacing w:before="180"/>
        <w:jc w:val="center"/>
        <w:rPr>
          <w:rFonts w:ascii="Arial" w:hAnsi="Arial" w:cs="Arial"/>
          <w:b/>
          <w:sz w:val="32"/>
          <w:szCs w:val="32"/>
        </w:rPr>
      </w:pPr>
      <w:r w:rsidRPr="00EE7A1F">
        <w:rPr>
          <w:rFonts w:ascii="Arial" w:hAnsi="Arial" w:cs="Arial"/>
          <w:b/>
          <w:sz w:val="32"/>
          <w:szCs w:val="32"/>
        </w:rPr>
        <w:t xml:space="preserve">(Version </w:t>
      </w:r>
      <w:r w:rsidR="005D5278">
        <w:rPr>
          <w:rFonts w:ascii="Arial" w:hAnsi="Arial" w:cs="Arial"/>
          <w:b/>
          <w:sz w:val="32"/>
          <w:szCs w:val="32"/>
        </w:rPr>
        <w:t>1.</w:t>
      </w:r>
      <w:r w:rsidRPr="00EE7A1F">
        <w:rPr>
          <w:rFonts w:ascii="Arial" w:hAnsi="Arial" w:cs="Arial"/>
          <w:b/>
          <w:sz w:val="32"/>
          <w:szCs w:val="32"/>
        </w:rPr>
        <w:t>0)</w:t>
      </w:r>
    </w:p>
    <w:p w14:paraId="460F6479" w14:textId="77777777" w:rsidR="0052742D" w:rsidRPr="0052742D" w:rsidRDefault="0052742D" w:rsidP="00322EFB">
      <w:pPr>
        <w:rPr>
          <w:color w:val="548DD4"/>
          <w:sz w:val="224"/>
          <w:szCs w:val="224"/>
        </w:rPr>
      </w:pPr>
    </w:p>
    <w:p w14:paraId="7DE042F6" w14:textId="78ADB171" w:rsidR="00F12E59" w:rsidRPr="00F12E59" w:rsidRDefault="0044715D" w:rsidP="00322EFB">
      <w:pPr>
        <w:rPr>
          <w:b/>
          <w:i/>
        </w:rPr>
      </w:pPr>
      <w:r w:rsidRPr="00F12E59">
        <w:rPr>
          <w:color w:val="548DD4"/>
        </w:rPr>
        <w:t>Summary of PICO criteria</w:t>
      </w:r>
      <w:bookmarkEnd w:id="0"/>
      <w:bookmarkEnd w:id="1"/>
      <w:r w:rsidR="00F12E59" w:rsidRPr="00F12E59">
        <w:rPr>
          <w:color w:val="548DD4"/>
        </w:rPr>
        <w:t xml:space="preserve"> to define the question(s) to be addressed in an Assessment Report to the Medical Services Advisory Committee (MSAC)</w:t>
      </w:r>
    </w:p>
    <w:p w14:paraId="1F86203A" w14:textId="0F38320F" w:rsidR="00CD5CB1" w:rsidRPr="00CD5CB1" w:rsidRDefault="00545D2A" w:rsidP="00F12E59">
      <w:pPr>
        <w:rPr>
          <w:i/>
        </w:rPr>
      </w:pPr>
      <w:r w:rsidRPr="00545D2A">
        <w:lastRenderedPageBreak/>
        <w:t>The criteria outlined below were based on those proposed by the Australian Haemophilia Centre Directors Organisation (AHCDO)</w:t>
      </w:r>
      <w:r w:rsidR="00973C10">
        <w:t xml:space="preserve">, </w:t>
      </w:r>
      <w:r w:rsidR="0063530F">
        <w:t>a pre-PASC teleconference with clinical experts and the Department of Health</w:t>
      </w:r>
      <w:r w:rsidR="00973C10">
        <w:t>, and discussions b</w:t>
      </w:r>
      <w:r w:rsidR="00D709AB">
        <w:t>y PASC</w:t>
      </w:r>
      <w:r w:rsidRPr="00545D2A">
        <w:t xml:space="preserve">. </w:t>
      </w:r>
      <w:r w:rsidR="00CD5CB1">
        <w:t xml:space="preserve"> </w:t>
      </w:r>
    </w:p>
    <w:p w14:paraId="03D690A7" w14:textId="77777777" w:rsidR="00985B66" w:rsidRDefault="00985B66" w:rsidP="00985B66">
      <w:pPr>
        <w:pStyle w:val="Caption"/>
      </w:pPr>
      <w:r>
        <w:t xml:space="preserve">Table </w:t>
      </w:r>
      <w:r>
        <w:fldChar w:fldCharType="begin"/>
      </w:r>
      <w:r>
        <w:instrText xml:space="preserve"> SEQ Table \* ARABIC </w:instrText>
      </w:r>
      <w:r>
        <w:fldChar w:fldCharType="separate"/>
      </w:r>
      <w:r w:rsidR="00205D92">
        <w:rPr>
          <w:noProof/>
        </w:rPr>
        <w:t>1</w:t>
      </w:r>
      <w:r>
        <w:fldChar w:fldCharType="end"/>
      </w:r>
      <w:r>
        <w:tab/>
        <w:t>Population, Intervention and Comparator components for Haemophilia A and B</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Caption w:val="PIC components of PICO for EHL products"/>
        <w:tblDescription w:val="Population, Intervention and Comparator elements of research question for patients with Haemophilia A and B"/>
      </w:tblPr>
      <w:tblGrid>
        <w:gridCol w:w="1279"/>
        <w:gridCol w:w="3987"/>
        <w:gridCol w:w="3976"/>
      </w:tblGrid>
      <w:tr w:rsidR="00902BFD" w:rsidRPr="009010E7" w14:paraId="18CD2014" w14:textId="77777777" w:rsidTr="00322EFB">
        <w:trPr>
          <w:tblHeader/>
        </w:trPr>
        <w:tc>
          <w:tcPr>
            <w:tcW w:w="692" w:type="pct"/>
            <w:tcBorders>
              <w:top w:val="single" w:sz="8" w:space="0" w:color="auto"/>
              <w:bottom w:val="single" w:sz="8" w:space="0" w:color="auto"/>
              <w:right w:val="single" w:sz="4" w:space="0" w:color="auto"/>
            </w:tcBorders>
            <w:shd w:val="clear" w:color="auto" w:fill="D9D9D9"/>
          </w:tcPr>
          <w:p w14:paraId="597813A9" w14:textId="77777777" w:rsidR="00902BFD" w:rsidRPr="009010E7" w:rsidRDefault="00902BFD" w:rsidP="00F12E59">
            <w:pPr>
              <w:spacing w:before="20" w:after="20" w:line="240" w:lineRule="auto"/>
              <w:rPr>
                <w:rFonts w:ascii="Arial Narrow" w:hAnsi="Arial Narrow"/>
                <w:b/>
                <w:sz w:val="20"/>
                <w:szCs w:val="20"/>
              </w:rPr>
            </w:pPr>
            <w:r w:rsidRPr="009010E7">
              <w:rPr>
                <w:rFonts w:ascii="Arial Narrow" w:hAnsi="Arial Narrow"/>
                <w:b/>
                <w:sz w:val="20"/>
                <w:szCs w:val="20"/>
              </w:rPr>
              <w:t>Component</w:t>
            </w:r>
          </w:p>
        </w:tc>
        <w:tc>
          <w:tcPr>
            <w:tcW w:w="2157" w:type="pct"/>
            <w:tcBorders>
              <w:top w:val="single" w:sz="4" w:space="0" w:color="auto"/>
              <w:left w:val="single" w:sz="4" w:space="0" w:color="auto"/>
              <w:bottom w:val="single" w:sz="4" w:space="0" w:color="auto"/>
              <w:right w:val="single" w:sz="4" w:space="0" w:color="auto"/>
            </w:tcBorders>
            <w:shd w:val="clear" w:color="auto" w:fill="D9D9D9"/>
          </w:tcPr>
          <w:p w14:paraId="6E970EB0" w14:textId="77777777" w:rsidR="00902BFD" w:rsidRPr="009010E7" w:rsidRDefault="00902BFD" w:rsidP="001700F5">
            <w:pPr>
              <w:spacing w:before="20" w:after="20" w:line="240" w:lineRule="auto"/>
              <w:jc w:val="both"/>
              <w:rPr>
                <w:rFonts w:ascii="Arial Narrow" w:hAnsi="Arial Narrow"/>
                <w:b/>
                <w:sz w:val="20"/>
                <w:szCs w:val="20"/>
              </w:rPr>
            </w:pPr>
            <w:r w:rsidRPr="009010E7">
              <w:rPr>
                <w:rFonts w:ascii="Arial Narrow" w:hAnsi="Arial Narrow"/>
                <w:b/>
                <w:sz w:val="20"/>
                <w:szCs w:val="20"/>
              </w:rPr>
              <w:t>Description</w:t>
            </w:r>
          </w:p>
        </w:tc>
        <w:tc>
          <w:tcPr>
            <w:tcW w:w="2151" w:type="pct"/>
            <w:tcBorders>
              <w:top w:val="single" w:sz="4" w:space="0" w:color="auto"/>
              <w:left w:val="single" w:sz="4" w:space="0" w:color="auto"/>
              <w:bottom w:val="single" w:sz="4" w:space="0" w:color="auto"/>
              <w:right w:val="single" w:sz="4" w:space="0" w:color="auto"/>
            </w:tcBorders>
            <w:shd w:val="clear" w:color="auto" w:fill="D9D9D9"/>
          </w:tcPr>
          <w:p w14:paraId="341B5D0A" w14:textId="77777777" w:rsidR="00902BFD" w:rsidRPr="009010E7" w:rsidRDefault="00902BFD" w:rsidP="001700F5">
            <w:pPr>
              <w:spacing w:before="20" w:after="20" w:line="240" w:lineRule="auto"/>
              <w:jc w:val="both"/>
              <w:rPr>
                <w:rFonts w:ascii="Arial Narrow" w:hAnsi="Arial Narrow"/>
                <w:b/>
                <w:sz w:val="20"/>
                <w:szCs w:val="20"/>
              </w:rPr>
            </w:pPr>
            <w:r w:rsidRPr="009010E7">
              <w:rPr>
                <w:rFonts w:ascii="Arial Narrow" w:hAnsi="Arial Narrow"/>
                <w:b/>
                <w:sz w:val="20"/>
                <w:szCs w:val="20"/>
              </w:rPr>
              <w:t>Description</w:t>
            </w:r>
          </w:p>
        </w:tc>
      </w:tr>
      <w:tr w:rsidR="00902BFD" w:rsidRPr="009010E7" w14:paraId="3622B145" w14:textId="77777777" w:rsidTr="00322EFB">
        <w:tc>
          <w:tcPr>
            <w:tcW w:w="692" w:type="pct"/>
            <w:tcBorders>
              <w:top w:val="single" w:sz="8" w:space="0" w:color="auto"/>
              <w:right w:val="single" w:sz="4" w:space="0" w:color="auto"/>
            </w:tcBorders>
          </w:tcPr>
          <w:p w14:paraId="105451C5" w14:textId="77777777" w:rsidR="00902BFD" w:rsidRPr="00825C0A" w:rsidRDefault="00902BFD" w:rsidP="00902BFD">
            <w:pPr>
              <w:spacing w:before="20" w:after="20" w:line="240" w:lineRule="auto"/>
              <w:rPr>
                <w:rFonts w:ascii="Arial Narrow" w:hAnsi="Arial Narrow" w:cs="Arial"/>
                <w:b/>
                <w:sz w:val="20"/>
                <w:szCs w:val="20"/>
              </w:rPr>
            </w:pPr>
            <w:r w:rsidRPr="00825C0A">
              <w:rPr>
                <w:rFonts w:ascii="Arial Narrow" w:hAnsi="Arial Narrow" w:cs="Arial"/>
                <w:b/>
                <w:sz w:val="20"/>
                <w:szCs w:val="20"/>
              </w:rPr>
              <w:t>Patients</w:t>
            </w:r>
          </w:p>
        </w:tc>
        <w:tc>
          <w:tcPr>
            <w:tcW w:w="2157" w:type="pct"/>
            <w:tcBorders>
              <w:top w:val="single" w:sz="4" w:space="0" w:color="auto"/>
              <w:left w:val="single" w:sz="4" w:space="0" w:color="auto"/>
              <w:bottom w:val="single" w:sz="4" w:space="0" w:color="auto"/>
              <w:right w:val="single" w:sz="4" w:space="0" w:color="auto"/>
            </w:tcBorders>
          </w:tcPr>
          <w:p w14:paraId="0DD1B661" w14:textId="77777777" w:rsidR="00902BFD" w:rsidRPr="009010E7" w:rsidRDefault="00902BFD" w:rsidP="00902BFD">
            <w:pPr>
              <w:keepNext/>
              <w:keepLines/>
              <w:spacing w:before="120" w:line="240" w:lineRule="auto"/>
              <w:outlineLvl w:val="0"/>
              <w:rPr>
                <w:rFonts w:ascii="Arial Narrow" w:hAnsi="Arial Narrow" w:cstheme="minorHAnsi"/>
                <w:sz w:val="20"/>
                <w:szCs w:val="20"/>
              </w:rPr>
            </w:pPr>
            <w:r w:rsidRPr="009010E7">
              <w:rPr>
                <w:rFonts w:ascii="Arial Narrow" w:hAnsi="Arial Narrow" w:cstheme="minorHAnsi"/>
                <w:sz w:val="20"/>
                <w:szCs w:val="20"/>
              </w:rPr>
              <w:t xml:space="preserve">Patients with Haemophilia A </w:t>
            </w:r>
          </w:p>
          <w:p w14:paraId="414E697A" w14:textId="6F39C5B2" w:rsidR="00902BFD" w:rsidRPr="009010E7" w:rsidRDefault="00CF47EA" w:rsidP="00902BFD">
            <w:pPr>
              <w:keepNext/>
              <w:keepLines/>
              <w:spacing w:before="120" w:line="240" w:lineRule="auto"/>
              <w:outlineLvl w:val="0"/>
              <w:rPr>
                <w:rFonts w:ascii="Arial Narrow" w:hAnsi="Arial Narrow" w:cstheme="minorHAnsi"/>
                <w:sz w:val="20"/>
                <w:szCs w:val="20"/>
              </w:rPr>
            </w:pPr>
            <w:r w:rsidRPr="009010E7">
              <w:rPr>
                <w:rFonts w:ascii="Arial Narrow" w:hAnsi="Arial Narrow" w:cstheme="minorHAnsi"/>
                <w:sz w:val="20"/>
                <w:szCs w:val="20"/>
              </w:rPr>
              <w:t xml:space="preserve">Subgroups: by severity (mild, moderate and severe); by age (0-6; 6-12; &gt;12 years); </w:t>
            </w:r>
            <w:r w:rsidR="00831DCE">
              <w:rPr>
                <w:rFonts w:ascii="Arial Narrow" w:hAnsi="Arial Narrow" w:cstheme="minorHAnsi"/>
                <w:sz w:val="20"/>
                <w:szCs w:val="20"/>
              </w:rPr>
              <w:t xml:space="preserve">by </w:t>
            </w:r>
            <w:r w:rsidRPr="009010E7">
              <w:rPr>
                <w:rFonts w:ascii="Arial Narrow" w:hAnsi="Arial Narrow" w:cstheme="minorHAnsi"/>
                <w:sz w:val="20"/>
                <w:szCs w:val="20"/>
              </w:rPr>
              <w:t>previous treatment regimen</w:t>
            </w:r>
            <w:r w:rsidR="00EE5A42">
              <w:rPr>
                <w:rFonts w:ascii="Arial Narrow" w:hAnsi="Arial Narrow" w:cstheme="minorHAnsi"/>
                <w:sz w:val="20"/>
                <w:szCs w:val="20"/>
              </w:rPr>
              <w:t xml:space="preserve">; with and without </w:t>
            </w:r>
            <w:r w:rsidR="00CB0EB1">
              <w:rPr>
                <w:rFonts w:ascii="Arial Narrow" w:hAnsi="Arial Narrow" w:cstheme="minorHAnsi"/>
                <w:sz w:val="20"/>
                <w:szCs w:val="20"/>
              </w:rPr>
              <w:t xml:space="preserve">history of </w:t>
            </w:r>
            <w:r w:rsidR="00EE5A42">
              <w:rPr>
                <w:rFonts w:ascii="Arial Narrow" w:hAnsi="Arial Narrow" w:cstheme="minorHAnsi"/>
                <w:sz w:val="20"/>
                <w:szCs w:val="20"/>
              </w:rPr>
              <w:t>inhibitors</w:t>
            </w:r>
          </w:p>
        </w:tc>
        <w:tc>
          <w:tcPr>
            <w:tcW w:w="2151" w:type="pct"/>
            <w:tcBorders>
              <w:top w:val="single" w:sz="4" w:space="0" w:color="auto"/>
              <w:left w:val="single" w:sz="4" w:space="0" w:color="auto"/>
              <w:bottom w:val="single" w:sz="4" w:space="0" w:color="auto"/>
              <w:right w:val="single" w:sz="4" w:space="0" w:color="auto"/>
            </w:tcBorders>
          </w:tcPr>
          <w:p w14:paraId="783136AC" w14:textId="77777777" w:rsidR="00CF47EA" w:rsidRPr="009010E7" w:rsidRDefault="00902BFD" w:rsidP="00902BFD">
            <w:pPr>
              <w:keepNext/>
              <w:keepLines/>
              <w:spacing w:before="120" w:line="240" w:lineRule="auto"/>
              <w:outlineLvl w:val="0"/>
              <w:rPr>
                <w:rFonts w:ascii="Arial Narrow" w:hAnsi="Arial Narrow" w:cstheme="minorHAnsi"/>
                <w:sz w:val="20"/>
                <w:szCs w:val="20"/>
              </w:rPr>
            </w:pPr>
            <w:r w:rsidRPr="009010E7">
              <w:rPr>
                <w:rFonts w:ascii="Arial Narrow" w:hAnsi="Arial Narrow" w:cstheme="minorHAnsi"/>
                <w:sz w:val="20"/>
                <w:szCs w:val="20"/>
              </w:rPr>
              <w:t>Patients with Haemophilia B</w:t>
            </w:r>
            <w:r w:rsidR="00CF47EA" w:rsidRPr="009010E7">
              <w:rPr>
                <w:rFonts w:ascii="Arial Narrow" w:hAnsi="Arial Narrow" w:cstheme="minorHAnsi"/>
                <w:sz w:val="20"/>
                <w:szCs w:val="20"/>
              </w:rPr>
              <w:t xml:space="preserve"> </w:t>
            </w:r>
          </w:p>
          <w:p w14:paraId="130B5E05" w14:textId="7897B64E" w:rsidR="00902BFD" w:rsidRPr="009010E7" w:rsidRDefault="00902BFD" w:rsidP="00902BFD">
            <w:pPr>
              <w:keepNext/>
              <w:keepLines/>
              <w:spacing w:before="120" w:line="240" w:lineRule="auto"/>
              <w:outlineLvl w:val="0"/>
              <w:rPr>
                <w:rFonts w:ascii="Arial Narrow" w:hAnsi="Arial Narrow" w:cstheme="minorHAnsi"/>
                <w:sz w:val="20"/>
                <w:szCs w:val="20"/>
              </w:rPr>
            </w:pPr>
            <w:r w:rsidRPr="009010E7">
              <w:rPr>
                <w:rFonts w:ascii="Arial Narrow" w:hAnsi="Arial Narrow" w:cstheme="minorHAnsi"/>
                <w:sz w:val="20"/>
                <w:szCs w:val="20"/>
              </w:rPr>
              <w:t xml:space="preserve">Subgroups: </w:t>
            </w:r>
            <w:r w:rsidR="00CF47EA" w:rsidRPr="009010E7">
              <w:rPr>
                <w:rFonts w:ascii="Arial Narrow" w:hAnsi="Arial Narrow" w:cstheme="minorHAnsi"/>
                <w:sz w:val="20"/>
                <w:szCs w:val="20"/>
              </w:rPr>
              <w:t xml:space="preserve">by severity (mild, moderate and severe); </w:t>
            </w:r>
            <w:r w:rsidRPr="009010E7">
              <w:rPr>
                <w:rFonts w:ascii="Arial Narrow" w:hAnsi="Arial Narrow" w:cstheme="minorHAnsi"/>
                <w:sz w:val="20"/>
                <w:szCs w:val="20"/>
              </w:rPr>
              <w:t xml:space="preserve">by age (0-6; 6-12; &gt;12 years); </w:t>
            </w:r>
            <w:r w:rsidR="00831DCE">
              <w:rPr>
                <w:rFonts w:ascii="Arial Narrow" w:hAnsi="Arial Narrow" w:cstheme="minorHAnsi"/>
                <w:sz w:val="20"/>
                <w:szCs w:val="20"/>
              </w:rPr>
              <w:t xml:space="preserve">by </w:t>
            </w:r>
            <w:r w:rsidRPr="009010E7">
              <w:rPr>
                <w:rFonts w:ascii="Arial Narrow" w:hAnsi="Arial Narrow" w:cstheme="minorHAnsi"/>
                <w:sz w:val="20"/>
                <w:szCs w:val="20"/>
              </w:rPr>
              <w:t>previous treatment regimen</w:t>
            </w:r>
            <w:r w:rsidR="00EE5A42">
              <w:rPr>
                <w:rFonts w:ascii="Arial Narrow" w:hAnsi="Arial Narrow" w:cstheme="minorHAnsi"/>
                <w:sz w:val="20"/>
                <w:szCs w:val="20"/>
              </w:rPr>
              <w:t xml:space="preserve">; with and without </w:t>
            </w:r>
            <w:r w:rsidR="00CB0EB1">
              <w:rPr>
                <w:rFonts w:ascii="Arial Narrow" w:hAnsi="Arial Narrow" w:cstheme="minorHAnsi"/>
                <w:sz w:val="20"/>
                <w:szCs w:val="20"/>
              </w:rPr>
              <w:t xml:space="preserve">history of </w:t>
            </w:r>
            <w:r w:rsidR="00EE5A42">
              <w:rPr>
                <w:rFonts w:ascii="Arial Narrow" w:hAnsi="Arial Narrow" w:cstheme="minorHAnsi"/>
                <w:sz w:val="20"/>
                <w:szCs w:val="20"/>
              </w:rPr>
              <w:t>inhibitors</w:t>
            </w:r>
          </w:p>
        </w:tc>
      </w:tr>
      <w:tr w:rsidR="00AB2D12" w:rsidRPr="009010E7" w14:paraId="47BCF6CE" w14:textId="77777777" w:rsidTr="00322EFB">
        <w:tc>
          <w:tcPr>
            <w:tcW w:w="692" w:type="pct"/>
            <w:tcBorders>
              <w:right w:val="single" w:sz="4" w:space="0" w:color="auto"/>
            </w:tcBorders>
          </w:tcPr>
          <w:p w14:paraId="6BF77A88" w14:textId="53597412" w:rsidR="00AB2D12" w:rsidRPr="00825C0A" w:rsidRDefault="00AB2D12" w:rsidP="00AB2D12">
            <w:pPr>
              <w:spacing w:before="20" w:after="20" w:line="240" w:lineRule="auto"/>
              <w:rPr>
                <w:rFonts w:ascii="Arial Narrow" w:hAnsi="Arial Narrow" w:cs="Arial"/>
                <w:b/>
                <w:sz w:val="20"/>
                <w:szCs w:val="20"/>
              </w:rPr>
            </w:pPr>
            <w:r w:rsidRPr="00825C0A">
              <w:rPr>
                <w:rFonts w:ascii="Arial Narrow" w:hAnsi="Arial Narrow" w:cs="Arial"/>
                <w:b/>
                <w:sz w:val="20"/>
                <w:szCs w:val="20"/>
              </w:rPr>
              <w:t>Intervention</w:t>
            </w:r>
            <w:r w:rsidR="00CD5CB1" w:rsidRPr="00825C0A">
              <w:rPr>
                <w:rFonts w:ascii="Arial Narrow" w:hAnsi="Arial Narrow" w:cs="Arial"/>
                <w:b/>
                <w:sz w:val="20"/>
                <w:szCs w:val="20"/>
              </w:rPr>
              <w:t>s</w:t>
            </w:r>
          </w:p>
        </w:tc>
        <w:tc>
          <w:tcPr>
            <w:tcW w:w="2157" w:type="pct"/>
            <w:tcBorders>
              <w:top w:val="single" w:sz="4" w:space="0" w:color="auto"/>
              <w:left w:val="single" w:sz="4" w:space="0" w:color="auto"/>
              <w:bottom w:val="single" w:sz="4" w:space="0" w:color="auto"/>
              <w:right w:val="single" w:sz="4" w:space="0" w:color="auto"/>
            </w:tcBorders>
          </w:tcPr>
          <w:p w14:paraId="1024A4C7" w14:textId="77777777" w:rsidR="00AB2D12" w:rsidRPr="009010E7" w:rsidRDefault="00AB2D12" w:rsidP="00AB2D12">
            <w:pPr>
              <w:spacing w:before="120" w:line="240" w:lineRule="auto"/>
              <w:rPr>
                <w:rFonts w:ascii="Arial Narrow" w:hAnsi="Arial Narrow"/>
                <w:sz w:val="20"/>
                <w:szCs w:val="20"/>
              </w:rPr>
            </w:pPr>
            <w:r w:rsidRPr="009010E7">
              <w:rPr>
                <w:rFonts w:ascii="Arial Narrow" w:hAnsi="Arial Narrow"/>
                <w:sz w:val="20"/>
                <w:szCs w:val="20"/>
              </w:rPr>
              <w:t xml:space="preserve">EHL factor VIII products </w:t>
            </w:r>
          </w:p>
          <w:p w14:paraId="68D21306" w14:textId="37F1FD22" w:rsidR="00AB2D12" w:rsidRPr="009010E7" w:rsidRDefault="00AB2D12" w:rsidP="00AB2D12">
            <w:pPr>
              <w:pStyle w:val="ListParagraph"/>
              <w:numPr>
                <w:ilvl w:val="0"/>
                <w:numId w:val="11"/>
              </w:numPr>
              <w:autoSpaceDE w:val="0"/>
              <w:autoSpaceDN w:val="0"/>
              <w:adjustRightInd w:val="0"/>
              <w:spacing w:before="120" w:after="120" w:line="240" w:lineRule="auto"/>
              <w:contextualSpacing w:val="0"/>
              <w:rPr>
                <w:rFonts w:ascii="Arial Narrow" w:hAnsi="Arial Narrow"/>
                <w:sz w:val="20"/>
                <w:szCs w:val="20"/>
              </w:rPr>
            </w:pPr>
            <w:r w:rsidRPr="009010E7">
              <w:rPr>
                <w:rFonts w:ascii="Arial Narrow" w:hAnsi="Arial Narrow"/>
                <w:sz w:val="20"/>
                <w:szCs w:val="20"/>
              </w:rPr>
              <w:t>On-demand</w:t>
            </w:r>
            <w:r w:rsidR="0085116F">
              <w:rPr>
                <w:rFonts w:ascii="Arial Narrow" w:hAnsi="Arial Narrow"/>
                <w:sz w:val="20"/>
                <w:szCs w:val="20"/>
              </w:rPr>
              <w:t xml:space="preserve"> </w:t>
            </w:r>
          </w:p>
          <w:p w14:paraId="0294FAC9" w14:textId="77777777" w:rsidR="00AB7B98" w:rsidRDefault="00AB2D12" w:rsidP="009010E7">
            <w:pPr>
              <w:pStyle w:val="ListParagraph"/>
              <w:numPr>
                <w:ilvl w:val="0"/>
                <w:numId w:val="11"/>
              </w:numPr>
              <w:autoSpaceDE w:val="0"/>
              <w:autoSpaceDN w:val="0"/>
              <w:adjustRightInd w:val="0"/>
              <w:spacing w:before="120" w:after="120" w:line="240" w:lineRule="auto"/>
              <w:contextualSpacing w:val="0"/>
              <w:rPr>
                <w:rFonts w:ascii="Arial Narrow" w:hAnsi="Arial Narrow"/>
                <w:sz w:val="20"/>
                <w:szCs w:val="20"/>
              </w:rPr>
            </w:pPr>
            <w:r w:rsidRPr="009010E7">
              <w:rPr>
                <w:rFonts w:ascii="Arial Narrow" w:hAnsi="Arial Narrow"/>
                <w:sz w:val="20"/>
                <w:szCs w:val="20"/>
              </w:rPr>
              <w:t>Prophylaxis</w:t>
            </w:r>
            <w:r w:rsidR="009010E7" w:rsidRPr="009010E7">
              <w:rPr>
                <w:rFonts w:ascii="Arial Narrow" w:hAnsi="Arial Narrow"/>
                <w:sz w:val="20"/>
                <w:szCs w:val="20"/>
              </w:rPr>
              <w:t xml:space="preserve"> </w:t>
            </w:r>
          </w:p>
          <w:p w14:paraId="5E30B7E0" w14:textId="5EAF1A3D" w:rsidR="001064F8" w:rsidRPr="00322EFB" w:rsidRDefault="00AB7B98" w:rsidP="00E53BDD">
            <w:pPr>
              <w:pStyle w:val="ListParagraph"/>
              <w:numPr>
                <w:ilvl w:val="0"/>
                <w:numId w:val="11"/>
              </w:numPr>
              <w:autoSpaceDE w:val="0"/>
              <w:autoSpaceDN w:val="0"/>
              <w:adjustRightInd w:val="0"/>
              <w:spacing w:before="120" w:after="120" w:line="240" w:lineRule="auto"/>
              <w:contextualSpacing w:val="0"/>
              <w:rPr>
                <w:rFonts w:ascii="Arial Narrow" w:hAnsi="Arial Narrow"/>
                <w:sz w:val="20"/>
                <w:szCs w:val="20"/>
              </w:rPr>
            </w:pPr>
            <w:r>
              <w:rPr>
                <w:rFonts w:ascii="Arial Narrow" w:hAnsi="Arial Narrow"/>
                <w:sz w:val="20"/>
                <w:szCs w:val="20"/>
              </w:rPr>
              <w:t>Surgical prophylaxis</w:t>
            </w:r>
          </w:p>
        </w:tc>
        <w:tc>
          <w:tcPr>
            <w:tcW w:w="2151" w:type="pct"/>
            <w:tcBorders>
              <w:top w:val="single" w:sz="4" w:space="0" w:color="auto"/>
              <w:left w:val="single" w:sz="4" w:space="0" w:color="auto"/>
              <w:bottom w:val="single" w:sz="4" w:space="0" w:color="auto"/>
              <w:right w:val="single" w:sz="4" w:space="0" w:color="auto"/>
            </w:tcBorders>
          </w:tcPr>
          <w:p w14:paraId="0E0AFF65" w14:textId="77777777" w:rsidR="00AB2D12" w:rsidRPr="009010E7" w:rsidRDefault="00AB2D12" w:rsidP="00AB2D12">
            <w:pPr>
              <w:spacing w:before="120" w:line="240" w:lineRule="auto"/>
              <w:rPr>
                <w:rFonts w:ascii="Arial Narrow" w:hAnsi="Arial Narrow"/>
                <w:sz w:val="20"/>
                <w:szCs w:val="20"/>
              </w:rPr>
            </w:pPr>
            <w:r w:rsidRPr="009010E7">
              <w:rPr>
                <w:rFonts w:ascii="Arial Narrow" w:hAnsi="Arial Narrow"/>
                <w:sz w:val="20"/>
                <w:szCs w:val="20"/>
              </w:rPr>
              <w:t xml:space="preserve">EHL factor IX products </w:t>
            </w:r>
          </w:p>
          <w:p w14:paraId="56F47233" w14:textId="77777777" w:rsidR="00AB2D12" w:rsidRPr="009010E7" w:rsidRDefault="00AB2D12" w:rsidP="00AB2D12">
            <w:pPr>
              <w:pStyle w:val="ListParagraph"/>
              <w:numPr>
                <w:ilvl w:val="0"/>
                <w:numId w:val="12"/>
              </w:numPr>
              <w:autoSpaceDE w:val="0"/>
              <w:autoSpaceDN w:val="0"/>
              <w:adjustRightInd w:val="0"/>
              <w:spacing w:before="120" w:after="120" w:line="240" w:lineRule="auto"/>
              <w:contextualSpacing w:val="0"/>
              <w:rPr>
                <w:rFonts w:ascii="Arial Narrow" w:hAnsi="Arial Narrow"/>
                <w:sz w:val="20"/>
                <w:szCs w:val="20"/>
              </w:rPr>
            </w:pPr>
            <w:r w:rsidRPr="009010E7">
              <w:rPr>
                <w:rFonts w:ascii="Arial Narrow" w:hAnsi="Arial Narrow"/>
                <w:sz w:val="20"/>
                <w:szCs w:val="20"/>
              </w:rPr>
              <w:t>On-demand</w:t>
            </w:r>
          </w:p>
          <w:p w14:paraId="24E237AA" w14:textId="3E0A83B0" w:rsidR="00AB2D12" w:rsidRDefault="00AB2D12" w:rsidP="00AB2D12">
            <w:pPr>
              <w:pStyle w:val="ListParagraph"/>
              <w:numPr>
                <w:ilvl w:val="0"/>
                <w:numId w:val="12"/>
              </w:numPr>
              <w:autoSpaceDE w:val="0"/>
              <w:autoSpaceDN w:val="0"/>
              <w:adjustRightInd w:val="0"/>
              <w:spacing w:before="120" w:after="120" w:line="240" w:lineRule="auto"/>
              <w:contextualSpacing w:val="0"/>
              <w:rPr>
                <w:rFonts w:ascii="Arial Narrow" w:hAnsi="Arial Narrow"/>
                <w:sz w:val="20"/>
                <w:szCs w:val="20"/>
              </w:rPr>
            </w:pPr>
            <w:r w:rsidRPr="009010E7">
              <w:rPr>
                <w:rFonts w:ascii="Arial Narrow" w:hAnsi="Arial Narrow"/>
                <w:sz w:val="20"/>
                <w:szCs w:val="20"/>
              </w:rPr>
              <w:t>Prophylaxis</w:t>
            </w:r>
            <w:r w:rsidR="00AB7B98">
              <w:rPr>
                <w:rFonts w:ascii="Arial Narrow" w:hAnsi="Arial Narrow"/>
                <w:sz w:val="20"/>
                <w:szCs w:val="20"/>
              </w:rPr>
              <w:t xml:space="preserve"> </w:t>
            </w:r>
          </w:p>
          <w:p w14:paraId="7ACDE451" w14:textId="3D22F6DE" w:rsidR="001064F8" w:rsidRPr="00322EFB" w:rsidRDefault="00AB7B98">
            <w:pPr>
              <w:pStyle w:val="ListParagraph"/>
              <w:numPr>
                <w:ilvl w:val="0"/>
                <w:numId w:val="12"/>
              </w:numPr>
              <w:autoSpaceDE w:val="0"/>
              <w:autoSpaceDN w:val="0"/>
              <w:adjustRightInd w:val="0"/>
              <w:spacing w:before="120" w:after="120" w:line="240" w:lineRule="auto"/>
              <w:contextualSpacing w:val="0"/>
              <w:rPr>
                <w:rFonts w:ascii="Arial Narrow" w:hAnsi="Arial Narrow"/>
                <w:sz w:val="20"/>
                <w:szCs w:val="20"/>
              </w:rPr>
            </w:pPr>
            <w:r>
              <w:rPr>
                <w:rFonts w:ascii="Arial Narrow" w:hAnsi="Arial Narrow"/>
                <w:sz w:val="20"/>
                <w:szCs w:val="20"/>
              </w:rPr>
              <w:t>Surgical prophylaxis</w:t>
            </w:r>
          </w:p>
        </w:tc>
      </w:tr>
      <w:tr w:rsidR="0058710E" w:rsidRPr="009010E7" w14:paraId="06CD78E8" w14:textId="77777777" w:rsidTr="00322EFB">
        <w:trPr>
          <w:trHeight w:val="1453"/>
        </w:trPr>
        <w:tc>
          <w:tcPr>
            <w:tcW w:w="692" w:type="pct"/>
            <w:tcBorders>
              <w:bottom w:val="single" w:sz="4" w:space="0" w:color="auto"/>
              <w:right w:val="single" w:sz="4" w:space="0" w:color="auto"/>
            </w:tcBorders>
          </w:tcPr>
          <w:p w14:paraId="37550E95" w14:textId="021A257C" w:rsidR="0058710E" w:rsidRPr="00825C0A" w:rsidRDefault="0058710E" w:rsidP="00CD5CB1">
            <w:pPr>
              <w:spacing w:before="20" w:after="20" w:line="240" w:lineRule="auto"/>
              <w:rPr>
                <w:rFonts w:ascii="Arial Narrow" w:hAnsi="Arial Narrow" w:cs="Arial"/>
                <w:b/>
                <w:sz w:val="20"/>
                <w:szCs w:val="20"/>
              </w:rPr>
            </w:pPr>
            <w:r w:rsidRPr="00825C0A">
              <w:rPr>
                <w:rFonts w:ascii="Arial Narrow" w:hAnsi="Arial Narrow" w:cs="Arial"/>
                <w:b/>
                <w:sz w:val="20"/>
                <w:szCs w:val="20"/>
              </w:rPr>
              <w:t>Comparators</w:t>
            </w:r>
          </w:p>
        </w:tc>
        <w:tc>
          <w:tcPr>
            <w:tcW w:w="2157" w:type="pct"/>
            <w:tcBorders>
              <w:top w:val="single" w:sz="4" w:space="0" w:color="auto"/>
              <w:left w:val="single" w:sz="4" w:space="0" w:color="auto"/>
              <w:bottom w:val="single" w:sz="4" w:space="0" w:color="auto"/>
              <w:right w:val="single" w:sz="4" w:space="0" w:color="auto"/>
            </w:tcBorders>
          </w:tcPr>
          <w:p w14:paraId="551D4A7C" w14:textId="77777777" w:rsidR="0058710E" w:rsidRPr="009010E7" w:rsidRDefault="0058710E" w:rsidP="00AB2D12">
            <w:pPr>
              <w:spacing w:before="120" w:line="240" w:lineRule="auto"/>
              <w:rPr>
                <w:rFonts w:ascii="Arial Narrow" w:hAnsi="Arial Narrow"/>
                <w:sz w:val="20"/>
                <w:szCs w:val="20"/>
              </w:rPr>
            </w:pPr>
            <w:r w:rsidRPr="009010E7">
              <w:rPr>
                <w:rFonts w:ascii="Arial Narrow" w:hAnsi="Arial Narrow"/>
                <w:sz w:val="20"/>
                <w:szCs w:val="20"/>
              </w:rPr>
              <w:t xml:space="preserve">SHL factor VIII products </w:t>
            </w:r>
          </w:p>
          <w:p w14:paraId="5FBF6783" w14:textId="77777777" w:rsidR="0058710E" w:rsidRPr="009010E7" w:rsidRDefault="0058710E" w:rsidP="00AB2D12">
            <w:pPr>
              <w:pStyle w:val="ListParagraph"/>
              <w:numPr>
                <w:ilvl w:val="0"/>
                <w:numId w:val="13"/>
              </w:numPr>
              <w:autoSpaceDE w:val="0"/>
              <w:autoSpaceDN w:val="0"/>
              <w:adjustRightInd w:val="0"/>
              <w:spacing w:before="120" w:after="120" w:line="240" w:lineRule="auto"/>
              <w:contextualSpacing w:val="0"/>
              <w:rPr>
                <w:rFonts w:ascii="Arial Narrow" w:hAnsi="Arial Narrow"/>
                <w:sz w:val="20"/>
                <w:szCs w:val="20"/>
              </w:rPr>
            </w:pPr>
            <w:r w:rsidRPr="009010E7">
              <w:rPr>
                <w:rFonts w:ascii="Arial Narrow" w:hAnsi="Arial Narrow"/>
                <w:sz w:val="20"/>
                <w:szCs w:val="20"/>
              </w:rPr>
              <w:t>On-demand</w:t>
            </w:r>
          </w:p>
          <w:p w14:paraId="29876619" w14:textId="50BADF64" w:rsidR="0058710E" w:rsidRDefault="0058710E" w:rsidP="00CB0EB1">
            <w:pPr>
              <w:pStyle w:val="ListParagraph"/>
              <w:numPr>
                <w:ilvl w:val="0"/>
                <w:numId w:val="13"/>
              </w:numPr>
              <w:autoSpaceDE w:val="0"/>
              <w:autoSpaceDN w:val="0"/>
              <w:adjustRightInd w:val="0"/>
              <w:spacing w:before="120" w:after="120" w:line="240" w:lineRule="auto"/>
              <w:contextualSpacing w:val="0"/>
              <w:rPr>
                <w:rFonts w:ascii="Arial Narrow" w:hAnsi="Arial Narrow"/>
                <w:sz w:val="20"/>
                <w:szCs w:val="20"/>
              </w:rPr>
            </w:pPr>
            <w:r w:rsidRPr="009010E7">
              <w:rPr>
                <w:rFonts w:ascii="Arial Narrow" w:hAnsi="Arial Narrow"/>
                <w:sz w:val="20"/>
                <w:szCs w:val="20"/>
              </w:rPr>
              <w:t xml:space="preserve">Prophylaxis </w:t>
            </w:r>
          </w:p>
          <w:p w14:paraId="4CF2FF14" w14:textId="2A23FE97" w:rsidR="001064F8" w:rsidRPr="00322EFB" w:rsidRDefault="00AB7B98">
            <w:pPr>
              <w:pStyle w:val="ListParagraph"/>
              <w:numPr>
                <w:ilvl w:val="0"/>
                <w:numId w:val="13"/>
              </w:numPr>
              <w:autoSpaceDE w:val="0"/>
              <w:autoSpaceDN w:val="0"/>
              <w:adjustRightInd w:val="0"/>
              <w:spacing w:before="120" w:after="120" w:line="240" w:lineRule="auto"/>
              <w:contextualSpacing w:val="0"/>
              <w:rPr>
                <w:rFonts w:ascii="Arial Narrow" w:hAnsi="Arial Narrow"/>
                <w:sz w:val="20"/>
                <w:szCs w:val="20"/>
              </w:rPr>
            </w:pPr>
            <w:r>
              <w:rPr>
                <w:rFonts w:ascii="Arial Narrow" w:hAnsi="Arial Narrow"/>
                <w:sz w:val="20"/>
                <w:szCs w:val="20"/>
              </w:rPr>
              <w:t>Surgical prophylaxis</w:t>
            </w:r>
          </w:p>
        </w:tc>
        <w:tc>
          <w:tcPr>
            <w:tcW w:w="2151" w:type="pct"/>
            <w:tcBorders>
              <w:top w:val="single" w:sz="4" w:space="0" w:color="auto"/>
              <w:left w:val="single" w:sz="4" w:space="0" w:color="auto"/>
              <w:bottom w:val="single" w:sz="4" w:space="0" w:color="auto"/>
              <w:right w:val="single" w:sz="4" w:space="0" w:color="auto"/>
            </w:tcBorders>
          </w:tcPr>
          <w:p w14:paraId="21309116" w14:textId="77777777" w:rsidR="0058710E" w:rsidRPr="009010E7" w:rsidRDefault="0058710E" w:rsidP="00AB2D12">
            <w:pPr>
              <w:spacing w:before="120" w:line="240" w:lineRule="auto"/>
              <w:rPr>
                <w:rFonts w:ascii="Arial Narrow" w:hAnsi="Arial Narrow"/>
                <w:sz w:val="20"/>
                <w:szCs w:val="20"/>
              </w:rPr>
            </w:pPr>
            <w:r w:rsidRPr="009010E7">
              <w:rPr>
                <w:rFonts w:ascii="Arial Narrow" w:hAnsi="Arial Narrow"/>
                <w:sz w:val="20"/>
                <w:szCs w:val="20"/>
              </w:rPr>
              <w:t xml:space="preserve">SHL factor IX products </w:t>
            </w:r>
          </w:p>
          <w:p w14:paraId="5F3AC545" w14:textId="77777777" w:rsidR="0058710E" w:rsidRPr="009010E7" w:rsidRDefault="0058710E" w:rsidP="00AB2D12">
            <w:pPr>
              <w:pStyle w:val="ListParagraph"/>
              <w:numPr>
                <w:ilvl w:val="0"/>
                <w:numId w:val="14"/>
              </w:numPr>
              <w:autoSpaceDE w:val="0"/>
              <w:autoSpaceDN w:val="0"/>
              <w:adjustRightInd w:val="0"/>
              <w:spacing w:before="120" w:after="120" w:line="240" w:lineRule="auto"/>
              <w:contextualSpacing w:val="0"/>
              <w:rPr>
                <w:rFonts w:ascii="Arial Narrow" w:hAnsi="Arial Narrow"/>
                <w:sz w:val="20"/>
                <w:szCs w:val="20"/>
              </w:rPr>
            </w:pPr>
            <w:r w:rsidRPr="009010E7">
              <w:rPr>
                <w:rFonts w:ascii="Arial Narrow" w:hAnsi="Arial Narrow"/>
                <w:sz w:val="20"/>
                <w:szCs w:val="20"/>
              </w:rPr>
              <w:t>On-demand</w:t>
            </w:r>
          </w:p>
          <w:p w14:paraId="0DB74346" w14:textId="7047227E" w:rsidR="0058710E" w:rsidRDefault="00AB7B98" w:rsidP="0058710E">
            <w:pPr>
              <w:pStyle w:val="ListParagraph"/>
              <w:numPr>
                <w:ilvl w:val="0"/>
                <w:numId w:val="14"/>
              </w:numPr>
              <w:autoSpaceDE w:val="0"/>
              <w:autoSpaceDN w:val="0"/>
              <w:adjustRightInd w:val="0"/>
              <w:spacing w:before="120" w:after="120" w:line="240" w:lineRule="auto"/>
              <w:contextualSpacing w:val="0"/>
              <w:rPr>
                <w:rFonts w:ascii="Arial Narrow" w:hAnsi="Arial Narrow"/>
                <w:sz w:val="20"/>
                <w:szCs w:val="20"/>
              </w:rPr>
            </w:pPr>
            <w:r>
              <w:rPr>
                <w:rFonts w:ascii="Arial Narrow" w:hAnsi="Arial Narrow"/>
                <w:sz w:val="20"/>
                <w:szCs w:val="20"/>
              </w:rPr>
              <w:t>Prophylaxis</w:t>
            </w:r>
          </w:p>
          <w:p w14:paraId="6CAEBE75" w14:textId="60FE82BD" w:rsidR="001064F8" w:rsidRPr="00322EFB" w:rsidRDefault="00AB7B98">
            <w:pPr>
              <w:pStyle w:val="ListParagraph"/>
              <w:numPr>
                <w:ilvl w:val="0"/>
                <w:numId w:val="14"/>
              </w:numPr>
              <w:autoSpaceDE w:val="0"/>
              <w:autoSpaceDN w:val="0"/>
              <w:adjustRightInd w:val="0"/>
              <w:spacing w:before="120" w:after="120" w:line="240" w:lineRule="auto"/>
              <w:contextualSpacing w:val="0"/>
              <w:rPr>
                <w:rFonts w:ascii="Arial Narrow" w:hAnsi="Arial Narrow"/>
                <w:sz w:val="20"/>
                <w:szCs w:val="20"/>
              </w:rPr>
            </w:pPr>
            <w:r>
              <w:rPr>
                <w:rFonts w:ascii="Arial Narrow" w:hAnsi="Arial Narrow"/>
                <w:sz w:val="20"/>
                <w:szCs w:val="20"/>
              </w:rPr>
              <w:t>Surgical prophylaxis</w:t>
            </w:r>
          </w:p>
        </w:tc>
      </w:tr>
    </w:tbl>
    <w:p w14:paraId="13A40D10" w14:textId="36CB297D" w:rsidR="00195FE7" w:rsidRDefault="00284DC3">
      <w:r w:rsidRPr="00F9555D">
        <w:rPr>
          <w:rFonts w:ascii="Arial Narrow" w:hAnsi="Arial Narrow" w:cstheme="minorHAnsi"/>
          <w:sz w:val="18"/>
          <w:szCs w:val="18"/>
        </w:rPr>
        <w:t>EHL = extended half</w:t>
      </w:r>
      <w:r>
        <w:rPr>
          <w:rFonts w:ascii="Arial Narrow" w:hAnsi="Arial Narrow" w:cstheme="minorHAnsi"/>
          <w:sz w:val="18"/>
          <w:szCs w:val="18"/>
        </w:rPr>
        <w:t>-</w:t>
      </w:r>
      <w:r w:rsidRPr="00F9555D">
        <w:rPr>
          <w:rFonts w:ascii="Arial Narrow" w:hAnsi="Arial Narrow" w:cstheme="minorHAnsi"/>
          <w:sz w:val="18"/>
          <w:szCs w:val="18"/>
        </w:rPr>
        <w:t>life; SHL = standard half</w:t>
      </w:r>
      <w:r>
        <w:rPr>
          <w:rFonts w:ascii="Arial Narrow" w:hAnsi="Arial Narrow" w:cstheme="minorHAnsi"/>
          <w:sz w:val="18"/>
          <w:szCs w:val="18"/>
        </w:rPr>
        <w:t>-</w:t>
      </w:r>
      <w:r w:rsidRPr="00F9555D">
        <w:rPr>
          <w:rFonts w:ascii="Arial Narrow" w:hAnsi="Arial Narrow" w:cstheme="minorHAnsi"/>
          <w:sz w:val="18"/>
          <w:szCs w:val="18"/>
        </w:rPr>
        <w:t>life</w:t>
      </w:r>
    </w:p>
    <w:p w14:paraId="1795DBCF" w14:textId="77777777" w:rsidR="00985B66" w:rsidRDefault="00985B66" w:rsidP="00985B66">
      <w:pPr>
        <w:pStyle w:val="Caption"/>
      </w:pPr>
      <w:r>
        <w:t xml:space="preserve">Table </w:t>
      </w:r>
      <w:r>
        <w:fldChar w:fldCharType="begin"/>
      </w:r>
      <w:r>
        <w:instrText xml:space="preserve"> SEQ Table \* ARABIC </w:instrText>
      </w:r>
      <w:r>
        <w:fldChar w:fldCharType="separate"/>
      </w:r>
      <w:r w:rsidR="00205D92">
        <w:rPr>
          <w:noProof/>
        </w:rPr>
        <w:t>2</w:t>
      </w:r>
      <w:r>
        <w:fldChar w:fldCharType="end"/>
      </w:r>
      <w:r>
        <w:tab/>
        <w:t>Outcome component for Haemophilia A and B</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Caption w:val="Outcome component of PICO"/>
        <w:tblDescription w:val="Outcomes relevant to assess EHL products vs SHL products"/>
      </w:tblPr>
      <w:tblGrid>
        <w:gridCol w:w="1379"/>
        <w:gridCol w:w="7863"/>
      </w:tblGrid>
      <w:tr w:rsidR="00195FE7" w:rsidRPr="00084393" w14:paraId="564A9336" w14:textId="77777777" w:rsidTr="00195FE7">
        <w:tc>
          <w:tcPr>
            <w:tcW w:w="746" w:type="pct"/>
            <w:tcBorders>
              <w:right w:val="single" w:sz="4" w:space="0" w:color="auto"/>
            </w:tcBorders>
          </w:tcPr>
          <w:p w14:paraId="6B1E4221" w14:textId="77777777" w:rsidR="00195FE7" w:rsidRPr="00825C0A" w:rsidRDefault="00195FE7" w:rsidP="00AB2D12">
            <w:pPr>
              <w:spacing w:before="20" w:after="20" w:line="240" w:lineRule="auto"/>
              <w:rPr>
                <w:rFonts w:ascii="Arial Narrow" w:hAnsi="Arial Narrow" w:cs="Arial"/>
                <w:b/>
                <w:sz w:val="20"/>
                <w:szCs w:val="20"/>
              </w:rPr>
            </w:pPr>
            <w:r w:rsidRPr="00825C0A">
              <w:rPr>
                <w:rFonts w:ascii="Arial Narrow" w:hAnsi="Arial Narrow" w:cs="Arial"/>
                <w:b/>
                <w:sz w:val="20"/>
                <w:szCs w:val="20"/>
              </w:rPr>
              <w:t>Outcomes</w:t>
            </w:r>
          </w:p>
        </w:tc>
        <w:tc>
          <w:tcPr>
            <w:tcW w:w="4254" w:type="pct"/>
            <w:tcBorders>
              <w:top w:val="single" w:sz="4" w:space="0" w:color="auto"/>
              <w:left w:val="single" w:sz="4" w:space="0" w:color="auto"/>
              <w:bottom w:val="single" w:sz="4" w:space="0" w:color="auto"/>
              <w:right w:val="single" w:sz="4" w:space="0" w:color="auto"/>
            </w:tcBorders>
          </w:tcPr>
          <w:p w14:paraId="463DF0CC" w14:textId="76230CE4" w:rsidR="00195FE7" w:rsidRPr="009010E7" w:rsidRDefault="00195FE7" w:rsidP="00195FE7">
            <w:pPr>
              <w:spacing w:beforeLines="40" w:before="96" w:after="40" w:line="240" w:lineRule="auto"/>
              <w:rPr>
                <w:rFonts w:ascii="Arial Narrow" w:hAnsi="Arial Narrow"/>
                <w:sz w:val="20"/>
                <w:szCs w:val="20"/>
              </w:rPr>
            </w:pPr>
            <w:r w:rsidRPr="009010E7">
              <w:rPr>
                <w:rFonts w:ascii="Arial Narrow" w:hAnsi="Arial Narrow" w:cstheme="minorHAnsi"/>
                <w:b/>
                <w:sz w:val="20"/>
                <w:szCs w:val="20"/>
              </w:rPr>
              <w:t>Safety</w:t>
            </w:r>
            <w:r w:rsidR="00201568">
              <w:rPr>
                <w:rFonts w:ascii="Arial Narrow" w:hAnsi="Arial Narrow" w:cstheme="minorHAnsi"/>
                <w:b/>
                <w:sz w:val="20"/>
                <w:szCs w:val="20"/>
              </w:rPr>
              <w:t xml:space="preserve"> (incidence and severity)</w:t>
            </w:r>
            <w:r w:rsidRPr="009010E7">
              <w:rPr>
                <w:rFonts w:ascii="Arial Narrow" w:hAnsi="Arial Narrow" w:cstheme="minorHAnsi"/>
                <w:b/>
                <w:sz w:val="20"/>
                <w:szCs w:val="20"/>
              </w:rPr>
              <w:t>:</w:t>
            </w:r>
            <w:r w:rsidR="00545D2A" w:rsidRPr="009010E7">
              <w:rPr>
                <w:rFonts w:ascii="Arial Narrow" w:hAnsi="Arial Narrow" w:cstheme="minorHAnsi"/>
                <w:b/>
                <w:sz w:val="20"/>
                <w:szCs w:val="20"/>
              </w:rPr>
              <w:t xml:space="preserve"> </w:t>
            </w:r>
            <w:r w:rsidRPr="009010E7">
              <w:rPr>
                <w:rFonts w:ascii="Arial Narrow" w:hAnsi="Arial Narrow"/>
                <w:sz w:val="20"/>
                <w:szCs w:val="20"/>
              </w:rPr>
              <w:t>incidence of inhibitor (n</w:t>
            </w:r>
            <w:r w:rsidR="00545D2A" w:rsidRPr="009010E7">
              <w:rPr>
                <w:rFonts w:ascii="Arial Narrow" w:hAnsi="Arial Narrow"/>
                <w:sz w:val="20"/>
                <w:szCs w:val="20"/>
              </w:rPr>
              <w:t xml:space="preserve">eutralising antibody) formation, </w:t>
            </w:r>
            <w:r w:rsidRPr="009010E7">
              <w:rPr>
                <w:rFonts w:ascii="Arial Narrow" w:hAnsi="Arial Narrow"/>
                <w:sz w:val="20"/>
                <w:szCs w:val="20"/>
              </w:rPr>
              <w:t xml:space="preserve">serious adverse events </w:t>
            </w:r>
            <w:r w:rsidR="00CB0EB1">
              <w:rPr>
                <w:rFonts w:ascii="Arial Narrow" w:hAnsi="Arial Narrow"/>
                <w:sz w:val="20"/>
                <w:szCs w:val="20"/>
              </w:rPr>
              <w:t>(e.g. thrombosis, allergic reactions, malignancy)</w:t>
            </w:r>
          </w:p>
          <w:p w14:paraId="7A2F3E5C" w14:textId="0B1A8EF6" w:rsidR="00AE32DD" w:rsidRDefault="00195FE7" w:rsidP="00195FE7">
            <w:pPr>
              <w:spacing w:beforeLines="40" w:before="96" w:after="40" w:line="240" w:lineRule="auto"/>
              <w:rPr>
                <w:rFonts w:ascii="Arial Narrow" w:hAnsi="Arial Narrow" w:cstheme="minorHAnsi"/>
                <w:b/>
                <w:sz w:val="20"/>
                <w:szCs w:val="20"/>
              </w:rPr>
            </w:pPr>
            <w:r w:rsidRPr="009010E7">
              <w:rPr>
                <w:rFonts w:ascii="Arial Narrow" w:hAnsi="Arial Narrow" w:cstheme="minorHAnsi"/>
                <w:b/>
                <w:sz w:val="20"/>
                <w:szCs w:val="20"/>
              </w:rPr>
              <w:t>Effectiveness:</w:t>
            </w:r>
            <w:r w:rsidR="00545D2A" w:rsidRPr="009010E7">
              <w:rPr>
                <w:rFonts w:ascii="Arial Narrow" w:hAnsi="Arial Narrow" w:cstheme="minorHAnsi"/>
                <w:b/>
                <w:sz w:val="20"/>
                <w:szCs w:val="20"/>
              </w:rPr>
              <w:t xml:space="preserve"> </w:t>
            </w:r>
            <w:r w:rsidR="00AE32DD" w:rsidRPr="00322EFB">
              <w:rPr>
                <w:rFonts w:ascii="Arial Narrow" w:hAnsi="Arial Narrow"/>
                <w:sz w:val="20"/>
                <w:szCs w:val="20"/>
              </w:rPr>
              <w:t>Benefits associated with increased time between infusions</w:t>
            </w:r>
          </w:p>
          <w:p w14:paraId="514B9AFA" w14:textId="0178388D" w:rsidR="00545D2A" w:rsidRPr="009010E7" w:rsidRDefault="00195FE7" w:rsidP="00195FE7">
            <w:pPr>
              <w:spacing w:beforeLines="40" w:before="96" w:after="40" w:line="240" w:lineRule="auto"/>
              <w:rPr>
                <w:rFonts w:ascii="Arial Narrow" w:hAnsi="Arial Narrow"/>
                <w:sz w:val="20"/>
                <w:szCs w:val="20"/>
              </w:rPr>
            </w:pPr>
            <w:r w:rsidRPr="009010E7">
              <w:rPr>
                <w:rFonts w:ascii="Arial Narrow" w:hAnsi="Arial Narrow"/>
                <w:sz w:val="20"/>
                <w:szCs w:val="20"/>
              </w:rPr>
              <w:t xml:space="preserve">Annualised bleeding </w:t>
            </w:r>
            <w:proofErr w:type="gramStart"/>
            <w:r w:rsidRPr="009010E7">
              <w:rPr>
                <w:rFonts w:ascii="Arial Narrow" w:hAnsi="Arial Narrow"/>
                <w:sz w:val="20"/>
                <w:szCs w:val="20"/>
              </w:rPr>
              <w:t>rates  (</w:t>
            </w:r>
            <w:proofErr w:type="gramEnd"/>
            <w:r w:rsidRPr="009010E7">
              <w:rPr>
                <w:rFonts w:ascii="Arial Narrow" w:hAnsi="Arial Narrow"/>
                <w:sz w:val="20"/>
                <w:szCs w:val="20"/>
              </w:rPr>
              <w:t xml:space="preserve">ABR) –– at </w:t>
            </w:r>
            <w:r w:rsidR="00545D2A" w:rsidRPr="009010E7">
              <w:rPr>
                <w:rFonts w:ascii="Arial Narrow" w:hAnsi="Arial Narrow"/>
                <w:sz w:val="20"/>
                <w:szCs w:val="20"/>
              </w:rPr>
              <w:t xml:space="preserve">the joint, muscle and other sites, and </w:t>
            </w:r>
            <w:r w:rsidRPr="009010E7">
              <w:rPr>
                <w:rFonts w:ascii="Arial Narrow" w:hAnsi="Arial Narrow"/>
                <w:sz w:val="20"/>
                <w:szCs w:val="20"/>
              </w:rPr>
              <w:t>divided by spontaneous versus traumatic</w:t>
            </w:r>
            <w:r w:rsidR="00E5623C" w:rsidRPr="009010E7">
              <w:rPr>
                <w:rFonts w:ascii="Arial Narrow" w:hAnsi="Arial Narrow"/>
                <w:sz w:val="20"/>
                <w:szCs w:val="20"/>
              </w:rPr>
              <w:t>.</w:t>
            </w:r>
          </w:p>
          <w:p w14:paraId="5C8543A2" w14:textId="77777777" w:rsidR="00195FE7" w:rsidRPr="009010E7" w:rsidRDefault="00545D2A" w:rsidP="00195FE7">
            <w:pPr>
              <w:spacing w:beforeLines="40" w:before="96" w:after="40" w:line="240" w:lineRule="auto"/>
              <w:rPr>
                <w:rFonts w:ascii="Arial Narrow" w:hAnsi="Arial Narrow"/>
                <w:sz w:val="20"/>
                <w:szCs w:val="20"/>
              </w:rPr>
            </w:pPr>
            <w:r w:rsidRPr="009010E7">
              <w:rPr>
                <w:rFonts w:ascii="Arial Narrow" w:hAnsi="Arial Narrow"/>
                <w:sz w:val="20"/>
                <w:szCs w:val="20"/>
              </w:rPr>
              <w:t>C</w:t>
            </w:r>
            <w:r w:rsidR="00195FE7" w:rsidRPr="009010E7">
              <w:rPr>
                <w:rFonts w:ascii="Arial Narrow" w:hAnsi="Arial Narrow"/>
                <w:sz w:val="20"/>
                <w:szCs w:val="20"/>
              </w:rPr>
              <w:t>omparison of observed ABR with prior bleed</w:t>
            </w:r>
            <w:r w:rsidRPr="009010E7">
              <w:rPr>
                <w:rFonts w:ascii="Arial Narrow" w:hAnsi="Arial Narrow"/>
                <w:sz w:val="20"/>
                <w:szCs w:val="20"/>
              </w:rPr>
              <w:t xml:space="preserve">ing rate in individual patients </w:t>
            </w:r>
            <w:r w:rsidR="00195FE7" w:rsidRPr="009010E7">
              <w:rPr>
                <w:rFonts w:ascii="Arial Narrow" w:hAnsi="Arial Narrow"/>
                <w:sz w:val="20"/>
                <w:szCs w:val="20"/>
              </w:rPr>
              <w:t>when previously receiving on-demand therapy</w:t>
            </w:r>
            <w:r w:rsidRPr="009010E7">
              <w:rPr>
                <w:rFonts w:ascii="Arial Narrow" w:hAnsi="Arial Narrow"/>
                <w:sz w:val="20"/>
                <w:szCs w:val="20"/>
              </w:rPr>
              <w:t xml:space="preserve"> or previously </w:t>
            </w:r>
            <w:r w:rsidR="00195FE7" w:rsidRPr="009010E7">
              <w:rPr>
                <w:rFonts w:ascii="Arial Narrow" w:hAnsi="Arial Narrow"/>
                <w:sz w:val="20"/>
                <w:szCs w:val="20"/>
              </w:rPr>
              <w:t>receiving prophylaxis</w:t>
            </w:r>
            <w:r w:rsidR="00E5623C" w:rsidRPr="009010E7">
              <w:rPr>
                <w:rFonts w:ascii="Arial Narrow" w:hAnsi="Arial Narrow"/>
                <w:sz w:val="20"/>
                <w:szCs w:val="20"/>
              </w:rPr>
              <w:t>.</w:t>
            </w:r>
          </w:p>
          <w:p w14:paraId="7F807D62" w14:textId="77777777" w:rsidR="00195FE7" w:rsidRPr="009010E7" w:rsidRDefault="00195FE7" w:rsidP="00195FE7">
            <w:pPr>
              <w:spacing w:beforeLines="40" w:before="96" w:after="40" w:line="240" w:lineRule="auto"/>
              <w:rPr>
                <w:rFonts w:ascii="Arial Narrow" w:hAnsi="Arial Narrow"/>
                <w:sz w:val="20"/>
                <w:szCs w:val="20"/>
              </w:rPr>
            </w:pPr>
            <w:r w:rsidRPr="009010E7">
              <w:rPr>
                <w:rFonts w:ascii="Arial Narrow" w:hAnsi="Arial Narrow"/>
                <w:sz w:val="20"/>
                <w:szCs w:val="20"/>
              </w:rPr>
              <w:t xml:space="preserve">Resolution of acute bleeding episodes </w:t>
            </w:r>
            <w:r w:rsidR="00545D2A" w:rsidRPr="009010E7">
              <w:rPr>
                <w:rFonts w:ascii="Arial Narrow" w:hAnsi="Arial Narrow"/>
                <w:sz w:val="20"/>
                <w:szCs w:val="20"/>
              </w:rPr>
              <w:t xml:space="preserve">(% </w:t>
            </w:r>
            <w:r w:rsidRPr="009010E7">
              <w:rPr>
                <w:rFonts w:ascii="Arial Narrow" w:hAnsi="Arial Narrow"/>
                <w:sz w:val="20"/>
                <w:szCs w:val="20"/>
              </w:rPr>
              <w:t>resolved with one injection</w:t>
            </w:r>
            <w:r w:rsidR="00545D2A" w:rsidRPr="009010E7">
              <w:rPr>
                <w:rFonts w:ascii="Arial Narrow" w:hAnsi="Arial Narrow"/>
                <w:sz w:val="20"/>
                <w:szCs w:val="20"/>
              </w:rPr>
              <w:t>; %</w:t>
            </w:r>
            <w:r w:rsidRPr="009010E7">
              <w:rPr>
                <w:rFonts w:ascii="Arial Narrow" w:hAnsi="Arial Narrow"/>
                <w:sz w:val="20"/>
                <w:szCs w:val="20"/>
              </w:rPr>
              <w:t xml:space="preserve"> resolved with one or two injections</w:t>
            </w:r>
            <w:r w:rsidR="00545D2A" w:rsidRPr="009010E7">
              <w:rPr>
                <w:rFonts w:ascii="Arial Narrow" w:hAnsi="Arial Narrow"/>
                <w:sz w:val="20"/>
                <w:szCs w:val="20"/>
              </w:rPr>
              <w:t>, m</w:t>
            </w:r>
            <w:r w:rsidRPr="009010E7">
              <w:rPr>
                <w:rFonts w:ascii="Arial Narrow" w:hAnsi="Arial Narrow"/>
                <w:sz w:val="20"/>
                <w:szCs w:val="20"/>
              </w:rPr>
              <w:t>ean dose administered</w:t>
            </w:r>
            <w:r w:rsidR="00545D2A" w:rsidRPr="009010E7">
              <w:rPr>
                <w:rFonts w:ascii="Arial Narrow" w:hAnsi="Arial Narrow"/>
                <w:sz w:val="20"/>
                <w:szCs w:val="20"/>
              </w:rPr>
              <w:t>, h</w:t>
            </w:r>
            <w:r w:rsidRPr="009010E7">
              <w:rPr>
                <w:rFonts w:ascii="Arial Narrow" w:hAnsi="Arial Narrow"/>
                <w:sz w:val="20"/>
                <w:szCs w:val="20"/>
              </w:rPr>
              <w:t>ospitalisation rates</w:t>
            </w:r>
            <w:r w:rsidR="00545D2A" w:rsidRPr="009010E7">
              <w:rPr>
                <w:rFonts w:ascii="Arial Narrow" w:hAnsi="Arial Narrow"/>
                <w:sz w:val="20"/>
                <w:szCs w:val="20"/>
              </w:rPr>
              <w:t>)</w:t>
            </w:r>
            <w:r w:rsidR="00E5623C" w:rsidRPr="009010E7">
              <w:rPr>
                <w:rFonts w:ascii="Arial Narrow" w:hAnsi="Arial Narrow"/>
                <w:sz w:val="20"/>
                <w:szCs w:val="20"/>
              </w:rPr>
              <w:t>.</w:t>
            </w:r>
          </w:p>
          <w:p w14:paraId="7F570924" w14:textId="77777777" w:rsidR="00195FE7" w:rsidRPr="009010E7" w:rsidRDefault="00195FE7" w:rsidP="00195FE7">
            <w:pPr>
              <w:spacing w:beforeLines="40" w:before="96" w:after="40" w:line="240" w:lineRule="auto"/>
              <w:rPr>
                <w:rFonts w:ascii="Arial Narrow" w:hAnsi="Arial Narrow"/>
                <w:sz w:val="20"/>
                <w:szCs w:val="20"/>
              </w:rPr>
            </w:pPr>
            <w:r w:rsidRPr="009010E7">
              <w:rPr>
                <w:rFonts w:ascii="Arial Narrow" w:hAnsi="Arial Narrow"/>
                <w:sz w:val="20"/>
                <w:szCs w:val="20"/>
              </w:rPr>
              <w:t xml:space="preserve">Post-surgical haemostatic response </w:t>
            </w:r>
            <w:r w:rsidR="00545D2A" w:rsidRPr="009010E7">
              <w:rPr>
                <w:rFonts w:ascii="Arial Narrow" w:hAnsi="Arial Narrow"/>
                <w:sz w:val="20"/>
                <w:szCs w:val="20"/>
              </w:rPr>
              <w:t>(%</w:t>
            </w:r>
            <w:r w:rsidRPr="009010E7">
              <w:rPr>
                <w:rFonts w:ascii="Arial Narrow" w:hAnsi="Arial Narrow"/>
                <w:sz w:val="20"/>
                <w:szCs w:val="20"/>
              </w:rPr>
              <w:t xml:space="preserve"> of procedures assessed with haemostatic response ra</w:t>
            </w:r>
            <w:r w:rsidR="00545D2A" w:rsidRPr="009010E7">
              <w:rPr>
                <w:rFonts w:ascii="Arial Narrow" w:hAnsi="Arial Narrow"/>
                <w:sz w:val="20"/>
                <w:szCs w:val="20"/>
              </w:rPr>
              <w:t>ted as either effective or good)</w:t>
            </w:r>
            <w:r w:rsidR="00E5623C" w:rsidRPr="009010E7">
              <w:rPr>
                <w:rFonts w:ascii="Arial Narrow" w:hAnsi="Arial Narrow"/>
                <w:sz w:val="20"/>
                <w:szCs w:val="20"/>
              </w:rPr>
              <w:t>.</w:t>
            </w:r>
          </w:p>
          <w:p w14:paraId="4906A3B0" w14:textId="77777777" w:rsidR="00195FE7" w:rsidRPr="009010E7" w:rsidRDefault="00195FE7" w:rsidP="00195FE7">
            <w:pPr>
              <w:spacing w:beforeLines="40" w:before="96" w:after="40" w:line="240" w:lineRule="auto"/>
              <w:rPr>
                <w:rFonts w:ascii="Arial Narrow" w:hAnsi="Arial Narrow"/>
                <w:sz w:val="20"/>
                <w:szCs w:val="20"/>
              </w:rPr>
            </w:pPr>
            <w:r w:rsidRPr="009010E7">
              <w:rPr>
                <w:rFonts w:ascii="Arial Narrow" w:hAnsi="Arial Narrow"/>
                <w:sz w:val="20"/>
                <w:szCs w:val="20"/>
              </w:rPr>
              <w:t xml:space="preserve">Change in joint status observed </w:t>
            </w:r>
            <w:r w:rsidR="00545D2A" w:rsidRPr="009010E7">
              <w:rPr>
                <w:rFonts w:ascii="Arial Narrow" w:hAnsi="Arial Narrow"/>
                <w:sz w:val="20"/>
                <w:szCs w:val="20"/>
              </w:rPr>
              <w:t>(r</w:t>
            </w:r>
            <w:r w:rsidRPr="009010E7">
              <w:rPr>
                <w:rFonts w:ascii="Arial Narrow" w:hAnsi="Arial Narrow"/>
                <w:sz w:val="20"/>
                <w:szCs w:val="20"/>
              </w:rPr>
              <w:t>ate of development of target joints while on EHL product</w:t>
            </w:r>
            <w:r w:rsidR="00545D2A" w:rsidRPr="009010E7">
              <w:rPr>
                <w:rFonts w:ascii="Arial Narrow" w:hAnsi="Arial Narrow"/>
                <w:sz w:val="20"/>
                <w:szCs w:val="20"/>
              </w:rPr>
              <w:t>, r</w:t>
            </w:r>
            <w:r w:rsidRPr="009010E7">
              <w:rPr>
                <w:rFonts w:ascii="Arial Narrow" w:hAnsi="Arial Narrow"/>
                <w:sz w:val="20"/>
                <w:szCs w:val="20"/>
              </w:rPr>
              <w:t>ate of resolution of target joints while on EHL product</w:t>
            </w:r>
            <w:r w:rsidR="00545D2A" w:rsidRPr="009010E7">
              <w:rPr>
                <w:rFonts w:ascii="Arial Narrow" w:hAnsi="Arial Narrow"/>
                <w:sz w:val="20"/>
                <w:szCs w:val="20"/>
              </w:rPr>
              <w:t>, c</w:t>
            </w:r>
            <w:r w:rsidRPr="009010E7">
              <w:rPr>
                <w:rFonts w:ascii="Arial Narrow" w:hAnsi="Arial Narrow"/>
                <w:sz w:val="20"/>
                <w:szCs w:val="20"/>
              </w:rPr>
              <w:t>hange in joint scores or other orthopaedic outcome measures from basel</w:t>
            </w:r>
            <w:r w:rsidR="00545D2A" w:rsidRPr="009010E7">
              <w:rPr>
                <w:rFonts w:ascii="Arial Narrow" w:hAnsi="Arial Narrow"/>
                <w:sz w:val="20"/>
                <w:szCs w:val="20"/>
              </w:rPr>
              <w:t>ine status while on EHL product).</w:t>
            </w:r>
          </w:p>
          <w:p w14:paraId="1EC26949" w14:textId="5DCC27A6" w:rsidR="00195FE7" w:rsidRDefault="00FF2C42" w:rsidP="00195FE7">
            <w:pPr>
              <w:spacing w:beforeLines="40" w:before="96" w:after="40" w:line="240" w:lineRule="auto"/>
              <w:rPr>
                <w:rFonts w:ascii="Arial Narrow" w:hAnsi="Arial Narrow"/>
                <w:sz w:val="20"/>
                <w:szCs w:val="20"/>
              </w:rPr>
            </w:pPr>
            <w:r>
              <w:rPr>
                <w:rFonts w:ascii="Arial Narrow" w:hAnsi="Arial Narrow"/>
                <w:sz w:val="20"/>
                <w:szCs w:val="20"/>
              </w:rPr>
              <w:t>Quality of life outcomes</w:t>
            </w:r>
            <w:r w:rsidR="00C11FEF">
              <w:rPr>
                <w:rFonts w:ascii="Arial Narrow" w:hAnsi="Arial Narrow"/>
                <w:sz w:val="20"/>
                <w:szCs w:val="20"/>
              </w:rPr>
              <w:t xml:space="preserve"> for patients and/or family members</w:t>
            </w:r>
          </w:p>
          <w:p w14:paraId="3776202D" w14:textId="784CFBB2" w:rsidR="00FF2C42" w:rsidRPr="009010E7" w:rsidRDefault="00FF2C42" w:rsidP="00195FE7">
            <w:pPr>
              <w:spacing w:beforeLines="40" w:before="96" w:after="40" w:line="240" w:lineRule="auto"/>
              <w:rPr>
                <w:rFonts w:ascii="Arial Narrow" w:hAnsi="Arial Narrow"/>
                <w:sz w:val="20"/>
                <w:szCs w:val="20"/>
              </w:rPr>
            </w:pPr>
            <w:r>
              <w:rPr>
                <w:rFonts w:ascii="Arial Narrow" w:hAnsi="Arial Narrow"/>
                <w:sz w:val="20"/>
                <w:szCs w:val="20"/>
              </w:rPr>
              <w:t>Pain</w:t>
            </w:r>
          </w:p>
          <w:p w14:paraId="7BEBEB3C" w14:textId="77777777" w:rsidR="00AE32DD" w:rsidRDefault="00195FE7" w:rsidP="00E5623C">
            <w:pPr>
              <w:spacing w:beforeLines="40" w:before="96" w:after="40" w:line="240" w:lineRule="auto"/>
              <w:rPr>
                <w:rFonts w:ascii="Arial Narrow" w:hAnsi="Arial Narrow"/>
                <w:sz w:val="20"/>
                <w:szCs w:val="20"/>
              </w:rPr>
            </w:pPr>
            <w:r w:rsidRPr="009010E7">
              <w:rPr>
                <w:rFonts w:ascii="Arial Narrow" w:hAnsi="Arial Narrow"/>
                <w:b/>
                <w:sz w:val="20"/>
                <w:szCs w:val="20"/>
              </w:rPr>
              <w:t>Acceptability of treatment to patient:</w:t>
            </w:r>
            <w:r w:rsidR="00E5623C" w:rsidRPr="009010E7">
              <w:rPr>
                <w:rFonts w:ascii="Arial Narrow" w:hAnsi="Arial Narrow"/>
                <w:b/>
                <w:sz w:val="20"/>
                <w:szCs w:val="20"/>
              </w:rPr>
              <w:t xml:space="preserve"> </w:t>
            </w:r>
            <w:r w:rsidR="00FF2C42">
              <w:rPr>
                <w:rFonts w:ascii="Arial Narrow" w:hAnsi="Arial Narrow"/>
                <w:sz w:val="20"/>
                <w:szCs w:val="20"/>
              </w:rPr>
              <w:t xml:space="preserve">Compliance </w:t>
            </w:r>
            <w:r w:rsidRPr="009010E7">
              <w:rPr>
                <w:rFonts w:ascii="Arial Narrow" w:hAnsi="Arial Narrow"/>
                <w:sz w:val="20"/>
                <w:szCs w:val="20"/>
              </w:rPr>
              <w:t>- percentage expected doses administered</w:t>
            </w:r>
            <w:r w:rsidR="00E5623C" w:rsidRPr="009010E7">
              <w:rPr>
                <w:rFonts w:ascii="Arial Narrow" w:hAnsi="Arial Narrow"/>
                <w:sz w:val="20"/>
                <w:szCs w:val="20"/>
              </w:rPr>
              <w:t>.</w:t>
            </w:r>
            <w:r w:rsidR="00AE32DD">
              <w:rPr>
                <w:rFonts w:ascii="Arial Narrow" w:hAnsi="Arial Narrow"/>
                <w:sz w:val="20"/>
                <w:szCs w:val="20"/>
              </w:rPr>
              <w:t xml:space="preserve"> </w:t>
            </w:r>
          </w:p>
          <w:p w14:paraId="234DE0E6" w14:textId="24AC5FB3" w:rsidR="00195FE7" w:rsidRPr="009010E7" w:rsidRDefault="00AE32DD" w:rsidP="00322EFB">
            <w:pPr>
              <w:spacing w:beforeLines="40" w:before="96" w:after="120" w:line="240" w:lineRule="auto"/>
              <w:rPr>
                <w:rFonts w:ascii="Arial Narrow" w:hAnsi="Arial Narrow"/>
                <w:sz w:val="20"/>
                <w:szCs w:val="20"/>
              </w:rPr>
            </w:pPr>
            <w:r>
              <w:rPr>
                <w:rFonts w:ascii="Arial Narrow" w:hAnsi="Arial Narrow"/>
                <w:sz w:val="20"/>
                <w:szCs w:val="20"/>
              </w:rPr>
              <w:t>Any clinical outcomes linked to compliance</w:t>
            </w:r>
          </w:p>
          <w:p w14:paraId="7ADB066D" w14:textId="763E92CE" w:rsidR="00F1256C" w:rsidRDefault="00DC5DE8" w:rsidP="00322EFB">
            <w:pPr>
              <w:spacing w:line="240" w:lineRule="auto"/>
              <w:rPr>
                <w:rFonts w:ascii="Arial Narrow" w:hAnsi="Arial Narrow"/>
                <w:sz w:val="20"/>
                <w:szCs w:val="20"/>
              </w:rPr>
            </w:pPr>
            <w:r>
              <w:rPr>
                <w:rFonts w:ascii="Arial Narrow" w:hAnsi="Arial Narrow"/>
                <w:b/>
                <w:sz w:val="20"/>
                <w:szCs w:val="20"/>
              </w:rPr>
              <w:t>Pharmacokinetics</w:t>
            </w:r>
            <w:r w:rsidR="000A3C20">
              <w:rPr>
                <w:rFonts w:ascii="Arial Narrow" w:hAnsi="Arial Narrow"/>
                <w:b/>
                <w:sz w:val="20"/>
                <w:szCs w:val="20"/>
              </w:rPr>
              <w:t xml:space="preserve">: </w:t>
            </w:r>
            <w:r w:rsidR="00630476" w:rsidRPr="00322EFB">
              <w:rPr>
                <w:rFonts w:ascii="Arial Narrow" w:hAnsi="Arial Narrow"/>
                <w:sz w:val="20"/>
                <w:szCs w:val="20"/>
              </w:rPr>
              <w:t>Incremental recovery, area under the curve (AUC), terminal half-life; clearance, time to clotting factor levels of 3 and 1 IU/</w:t>
            </w:r>
            <w:proofErr w:type="spellStart"/>
            <w:r w:rsidR="00630476" w:rsidRPr="00322EFB">
              <w:rPr>
                <w:rFonts w:ascii="Arial Narrow" w:hAnsi="Arial Narrow"/>
                <w:sz w:val="20"/>
                <w:szCs w:val="20"/>
              </w:rPr>
              <w:t>dL</w:t>
            </w:r>
            <w:proofErr w:type="spellEnd"/>
            <w:r w:rsidR="00630476" w:rsidRPr="00322EFB">
              <w:rPr>
                <w:rFonts w:ascii="Arial Narrow" w:hAnsi="Arial Narrow"/>
                <w:sz w:val="20"/>
                <w:szCs w:val="20"/>
              </w:rPr>
              <w:t>, mean trough levels</w:t>
            </w:r>
          </w:p>
          <w:p w14:paraId="320CB480" w14:textId="159EE651" w:rsidR="00F1256C" w:rsidRPr="00322EFB" w:rsidRDefault="00F1256C" w:rsidP="00322EFB">
            <w:pPr>
              <w:spacing w:after="120" w:line="240" w:lineRule="auto"/>
              <w:rPr>
                <w:rFonts w:ascii="Arial Narrow" w:hAnsi="Arial Narrow"/>
                <w:sz w:val="20"/>
                <w:szCs w:val="20"/>
              </w:rPr>
            </w:pPr>
            <w:r>
              <w:rPr>
                <w:rFonts w:ascii="Arial Narrow" w:hAnsi="Arial Narrow"/>
                <w:sz w:val="20"/>
                <w:szCs w:val="20"/>
              </w:rPr>
              <w:t>Correlation between pharmacokinetics and clinical outcomes.</w:t>
            </w:r>
          </w:p>
          <w:p w14:paraId="6E506834" w14:textId="2B32DDF5" w:rsidR="00E5623C" w:rsidRDefault="00E5623C" w:rsidP="00E5623C">
            <w:pPr>
              <w:spacing w:beforeLines="40" w:before="96" w:after="40"/>
              <w:rPr>
                <w:rFonts w:ascii="Arial Narrow" w:hAnsi="Arial Narrow"/>
                <w:sz w:val="20"/>
                <w:szCs w:val="20"/>
              </w:rPr>
            </w:pPr>
            <w:r w:rsidRPr="009010E7">
              <w:rPr>
                <w:rFonts w:ascii="Arial Narrow" w:hAnsi="Arial Narrow"/>
                <w:b/>
                <w:sz w:val="20"/>
                <w:szCs w:val="20"/>
              </w:rPr>
              <w:t>Cost</w:t>
            </w:r>
            <w:r w:rsidR="00255180">
              <w:rPr>
                <w:rFonts w:ascii="Arial Narrow" w:hAnsi="Arial Narrow"/>
                <w:b/>
                <w:sz w:val="20"/>
                <w:szCs w:val="20"/>
              </w:rPr>
              <w:t xml:space="preserve"> and cost</w:t>
            </w:r>
            <w:r w:rsidRPr="009010E7">
              <w:rPr>
                <w:rFonts w:ascii="Arial Narrow" w:hAnsi="Arial Narrow"/>
                <w:b/>
                <w:sz w:val="20"/>
                <w:szCs w:val="20"/>
              </w:rPr>
              <w:t xml:space="preserve">-effectiveness: </w:t>
            </w:r>
            <w:proofErr w:type="gramStart"/>
            <w:r w:rsidRPr="009010E7">
              <w:rPr>
                <w:rFonts w:ascii="Arial Narrow" w:hAnsi="Arial Narrow"/>
                <w:sz w:val="20"/>
                <w:szCs w:val="20"/>
              </w:rPr>
              <w:t>Costs,</w:t>
            </w:r>
            <w:proofErr w:type="gramEnd"/>
            <w:r w:rsidRPr="009010E7">
              <w:rPr>
                <w:rFonts w:ascii="Arial Narrow" w:hAnsi="Arial Narrow"/>
                <w:sz w:val="20"/>
                <w:szCs w:val="20"/>
              </w:rPr>
              <w:t xml:space="preserve"> cost per QALY. </w:t>
            </w:r>
          </w:p>
          <w:p w14:paraId="7DB9A70D" w14:textId="482BF2CD" w:rsidR="00255180" w:rsidRPr="009010E7" w:rsidRDefault="00201568">
            <w:pPr>
              <w:spacing w:beforeLines="40" w:before="96" w:after="40"/>
              <w:rPr>
                <w:rFonts w:ascii="Arial Narrow" w:hAnsi="Arial Narrow"/>
                <w:sz w:val="20"/>
                <w:szCs w:val="20"/>
              </w:rPr>
            </w:pPr>
            <w:r w:rsidRPr="00322EFB">
              <w:rPr>
                <w:rFonts w:ascii="Arial Narrow" w:hAnsi="Arial Narrow"/>
                <w:b/>
                <w:sz w:val="20"/>
                <w:szCs w:val="20"/>
              </w:rPr>
              <w:t>Descriptive statistics:</w:t>
            </w:r>
            <w:r>
              <w:rPr>
                <w:rFonts w:ascii="Arial Narrow" w:hAnsi="Arial Narrow"/>
                <w:sz w:val="20"/>
                <w:szCs w:val="20"/>
              </w:rPr>
              <w:t xml:space="preserve"> </w:t>
            </w:r>
            <w:r w:rsidR="00255180">
              <w:rPr>
                <w:rFonts w:ascii="Arial Narrow" w:hAnsi="Arial Narrow"/>
                <w:sz w:val="20"/>
                <w:szCs w:val="20"/>
              </w:rPr>
              <w:t xml:space="preserve">Annualised </w:t>
            </w:r>
            <w:r>
              <w:rPr>
                <w:rFonts w:ascii="Arial Narrow" w:hAnsi="Arial Narrow"/>
                <w:sz w:val="20"/>
                <w:szCs w:val="20"/>
              </w:rPr>
              <w:t>infusion frequency and consumption</w:t>
            </w:r>
          </w:p>
        </w:tc>
      </w:tr>
      <w:tr w:rsidR="00825C0A" w:rsidRPr="00084393" w14:paraId="63ACC3E0" w14:textId="77777777" w:rsidTr="00195FE7">
        <w:tc>
          <w:tcPr>
            <w:tcW w:w="746" w:type="pct"/>
            <w:tcBorders>
              <w:right w:val="single" w:sz="4" w:space="0" w:color="auto"/>
            </w:tcBorders>
          </w:tcPr>
          <w:p w14:paraId="1700B4BB" w14:textId="25B76203" w:rsidR="00825C0A" w:rsidRPr="00825C0A" w:rsidRDefault="00825C0A" w:rsidP="00AB2D12">
            <w:pPr>
              <w:spacing w:before="20" w:after="20" w:line="240" w:lineRule="auto"/>
              <w:rPr>
                <w:rFonts w:ascii="Arial Narrow" w:hAnsi="Arial Narrow" w:cs="Arial"/>
                <w:b/>
                <w:sz w:val="20"/>
                <w:szCs w:val="20"/>
              </w:rPr>
            </w:pPr>
            <w:r w:rsidRPr="00825C0A">
              <w:rPr>
                <w:rFonts w:ascii="Arial Narrow" w:hAnsi="Arial Narrow" w:cs="Arial"/>
                <w:b/>
                <w:sz w:val="20"/>
                <w:szCs w:val="20"/>
              </w:rPr>
              <w:lastRenderedPageBreak/>
              <w:t>Questions for evidence review</w:t>
            </w:r>
          </w:p>
        </w:tc>
        <w:tc>
          <w:tcPr>
            <w:tcW w:w="4254" w:type="pct"/>
            <w:tcBorders>
              <w:top w:val="single" w:sz="4" w:space="0" w:color="auto"/>
              <w:left w:val="single" w:sz="4" w:space="0" w:color="auto"/>
              <w:bottom w:val="single" w:sz="4" w:space="0" w:color="auto"/>
              <w:right w:val="single" w:sz="4" w:space="0" w:color="auto"/>
            </w:tcBorders>
          </w:tcPr>
          <w:p w14:paraId="3472D4BB" w14:textId="1EEA7EEE" w:rsidR="00825C0A" w:rsidRPr="00825C0A" w:rsidRDefault="00825C0A" w:rsidP="00825C0A">
            <w:pPr>
              <w:pStyle w:val="ListParagraph"/>
              <w:numPr>
                <w:ilvl w:val="0"/>
                <w:numId w:val="19"/>
              </w:numPr>
              <w:ind w:left="239" w:hanging="239"/>
              <w:jc w:val="both"/>
              <w:rPr>
                <w:rFonts w:ascii="Arial Narrow" w:hAnsi="Arial Narrow"/>
                <w:sz w:val="20"/>
                <w:szCs w:val="20"/>
                <w:lang w:eastAsia="en-AU"/>
              </w:rPr>
            </w:pPr>
            <w:r w:rsidRPr="00825C0A">
              <w:rPr>
                <w:rFonts w:ascii="Arial Narrow" w:hAnsi="Arial Narrow"/>
                <w:sz w:val="20"/>
                <w:szCs w:val="20"/>
                <w:lang w:eastAsia="en-AU"/>
              </w:rPr>
              <w:t xml:space="preserve">How safe, effective and cost-effective are EHL factor VIII products compared to SHL factor VIII products for the treatment of Haemophilia A (on-demand, prophylaxis, </w:t>
            </w:r>
            <w:r w:rsidR="000A3C20">
              <w:rPr>
                <w:rFonts w:ascii="Arial Narrow" w:hAnsi="Arial Narrow"/>
                <w:sz w:val="20"/>
                <w:szCs w:val="20"/>
                <w:lang w:eastAsia="en-AU"/>
              </w:rPr>
              <w:t xml:space="preserve">or </w:t>
            </w:r>
            <w:r w:rsidRPr="00825C0A">
              <w:rPr>
                <w:rFonts w:ascii="Arial Narrow" w:hAnsi="Arial Narrow"/>
                <w:sz w:val="20"/>
                <w:szCs w:val="20"/>
                <w:lang w:eastAsia="en-AU"/>
              </w:rPr>
              <w:t>for surgical prophylaxis)?</w:t>
            </w:r>
          </w:p>
          <w:p w14:paraId="112215D8" w14:textId="10B65FBC" w:rsidR="000A3C20" w:rsidRPr="00322EFB" w:rsidRDefault="00825C0A">
            <w:pPr>
              <w:pStyle w:val="ListParagraph"/>
              <w:numPr>
                <w:ilvl w:val="0"/>
                <w:numId w:val="19"/>
              </w:numPr>
              <w:ind w:left="239" w:hanging="239"/>
              <w:jc w:val="both"/>
              <w:rPr>
                <w:rFonts w:ascii="Arial Narrow" w:hAnsi="Arial Narrow"/>
                <w:sz w:val="20"/>
                <w:szCs w:val="20"/>
                <w:lang w:eastAsia="en-AU"/>
              </w:rPr>
            </w:pPr>
            <w:r w:rsidRPr="00825C0A">
              <w:rPr>
                <w:rFonts w:ascii="Arial Narrow" w:hAnsi="Arial Narrow"/>
                <w:sz w:val="20"/>
                <w:szCs w:val="20"/>
                <w:lang w:eastAsia="en-AU"/>
              </w:rPr>
              <w:t xml:space="preserve">How safe, effective and cost-effective are EHL factor IX products, compared to SHL factor IX products for the treatment of Haemophilia B (on-demand, prophylaxis, </w:t>
            </w:r>
            <w:r w:rsidR="000A3C20">
              <w:rPr>
                <w:rFonts w:ascii="Arial Narrow" w:hAnsi="Arial Narrow"/>
                <w:sz w:val="20"/>
                <w:szCs w:val="20"/>
                <w:lang w:eastAsia="en-AU"/>
              </w:rPr>
              <w:t xml:space="preserve">or </w:t>
            </w:r>
            <w:r w:rsidRPr="00825C0A">
              <w:rPr>
                <w:rFonts w:ascii="Arial Narrow" w:hAnsi="Arial Narrow"/>
                <w:sz w:val="20"/>
                <w:szCs w:val="20"/>
                <w:lang w:eastAsia="en-AU"/>
              </w:rPr>
              <w:t>for surgical prophylaxis)?</w:t>
            </w:r>
          </w:p>
        </w:tc>
      </w:tr>
    </w:tbl>
    <w:p w14:paraId="05FE5144" w14:textId="51B98FAC" w:rsidR="00AB2D12" w:rsidRDefault="00AB2D12" w:rsidP="00AB2D12">
      <w:pPr>
        <w:rPr>
          <w:rFonts w:ascii="Arial Narrow" w:hAnsi="Arial Narrow" w:cstheme="minorHAnsi"/>
          <w:sz w:val="18"/>
          <w:szCs w:val="18"/>
        </w:rPr>
      </w:pPr>
      <w:r w:rsidRPr="00F9555D">
        <w:rPr>
          <w:rFonts w:ascii="Arial Narrow" w:hAnsi="Arial Narrow" w:cstheme="minorHAnsi"/>
          <w:sz w:val="18"/>
          <w:szCs w:val="18"/>
        </w:rPr>
        <w:t xml:space="preserve">ABR = annualised bleeding rate; </w:t>
      </w:r>
      <w:r>
        <w:rPr>
          <w:rFonts w:ascii="Arial Narrow" w:hAnsi="Arial Narrow" w:cstheme="minorHAnsi"/>
          <w:sz w:val="18"/>
          <w:szCs w:val="18"/>
        </w:rPr>
        <w:t>AUC = area under the curve;</w:t>
      </w:r>
      <w:r w:rsidRPr="00F9555D">
        <w:rPr>
          <w:rFonts w:ascii="Arial Narrow" w:hAnsi="Arial Narrow" w:cstheme="minorHAnsi"/>
          <w:sz w:val="18"/>
          <w:szCs w:val="18"/>
        </w:rPr>
        <w:t xml:space="preserve"> </w:t>
      </w:r>
      <w:r w:rsidR="009316AC">
        <w:rPr>
          <w:rFonts w:ascii="Arial Narrow" w:hAnsi="Arial Narrow" w:cstheme="minorHAnsi"/>
          <w:sz w:val="18"/>
          <w:szCs w:val="18"/>
        </w:rPr>
        <w:t xml:space="preserve">EHL = extended </w:t>
      </w:r>
      <w:proofErr w:type="spellStart"/>
      <w:r w:rsidR="009316AC">
        <w:rPr>
          <w:rFonts w:ascii="Arial Narrow" w:hAnsi="Arial Narrow" w:cstheme="minorHAnsi"/>
          <w:sz w:val="18"/>
          <w:szCs w:val="18"/>
        </w:rPr>
        <w:t>half life</w:t>
      </w:r>
      <w:proofErr w:type="spellEnd"/>
      <w:r w:rsidR="009316AC">
        <w:rPr>
          <w:rFonts w:ascii="Arial Narrow" w:hAnsi="Arial Narrow" w:cstheme="minorHAnsi"/>
          <w:sz w:val="18"/>
          <w:szCs w:val="18"/>
        </w:rPr>
        <w:t xml:space="preserve">; </w:t>
      </w:r>
      <w:r w:rsidR="00BC25D2">
        <w:rPr>
          <w:rFonts w:ascii="Arial Narrow" w:hAnsi="Arial Narrow" w:cstheme="minorHAnsi"/>
          <w:sz w:val="18"/>
          <w:szCs w:val="18"/>
        </w:rPr>
        <w:t xml:space="preserve">IU = international units; </w:t>
      </w:r>
      <w:r w:rsidRPr="00F9555D">
        <w:rPr>
          <w:rFonts w:ascii="Arial Narrow" w:hAnsi="Arial Narrow" w:cstheme="minorHAnsi"/>
          <w:sz w:val="18"/>
          <w:szCs w:val="18"/>
        </w:rPr>
        <w:t>QOL = Quality of Life</w:t>
      </w:r>
      <w:r w:rsidR="009316AC">
        <w:rPr>
          <w:rFonts w:ascii="Arial Narrow" w:hAnsi="Arial Narrow" w:cstheme="minorHAnsi"/>
          <w:sz w:val="18"/>
          <w:szCs w:val="18"/>
        </w:rPr>
        <w:t>; SHL = standard half life</w:t>
      </w:r>
    </w:p>
    <w:p w14:paraId="67C7D9B5" w14:textId="3F835E34" w:rsidR="00DC5DE8" w:rsidRDefault="00B521A8" w:rsidP="00322EFB">
      <w:pPr>
        <w:spacing w:after="120"/>
      </w:pPr>
      <w:r>
        <w:t xml:space="preserve">In addition to the question regarding clinical superiority or at least non-inferiority of EHL clotting factor products over SHL clotting factors, the NBA will also look to MSAC for advice regarding the following questions: </w:t>
      </w:r>
    </w:p>
    <w:p w14:paraId="78F7F40E" w14:textId="726CFF2F" w:rsidR="00DC5DE8" w:rsidRDefault="00B521A8" w:rsidP="00DC5DE8">
      <w:pPr>
        <w:spacing w:after="120"/>
        <w:ind w:left="720" w:hanging="720"/>
      </w:pPr>
      <w:r>
        <w:t>1</w:t>
      </w:r>
      <w:r w:rsidR="00DC5DE8">
        <w:t>.</w:t>
      </w:r>
      <w:r w:rsidR="00DC5DE8">
        <w:tab/>
        <w:t>Taking into account the variables affecting dosing including clinical debate in relation to appropriate therapeutic trough level, and the potential range of clinician and patient responses to the potential benefits of EHL products (including clinical effectiveness, efficient maintenance of trough level, improved adherence and quality of life improvements), what are the likely clinical use scenarios of EHL products, and which of these represent use which is appropriate for public funding?</w:t>
      </w:r>
    </w:p>
    <w:p w14:paraId="5B5AAE3A" w14:textId="77637EF4" w:rsidR="00DC5DE8" w:rsidRDefault="00B521A8" w:rsidP="00DC5DE8">
      <w:pPr>
        <w:spacing w:after="120"/>
        <w:ind w:left="720" w:hanging="720"/>
      </w:pPr>
      <w:r>
        <w:t>2</w:t>
      </w:r>
      <w:r w:rsidR="00DC5DE8">
        <w:t>.</w:t>
      </w:r>
      <w:r w:rsidR="00DC5DE8">
        <w:tab/>
        <w:t>Taking into account that pricing under NBA supply arrangements is established by competitive tendering where possible, and greater competition in general leads to lower tendered prices:</w:t>
      </w:r>
    </w:p>
    <w:p w14:paraId="40DACBB3" w14:textId="77777777" w:rsidR="00DC5DE8" w:rsidRDefault="00DC5DE8" w:rsidP="00DC5DE8">
      <w:pPr>
        <w:spacing w:after="120"/>
        <w:ind w:left="1440" w:hanging="720"/>
      </w:pPr>
      <w:r>
        <w:t>a)</w:t>
      </w:r>
      <w:r>
        <w:tab/>
        <w:t>can the EHL clotting factor products (for each of FVIII and FIX) be considered commensurable with current products, and with each other, and if so, what is an appropriate comparison methodology for the NBA to use within tender evaluation or contract price setting processes, and</w:t>
      </w:r>
    </w:p>
    <w:p w14:paraId="24C569B2" w14:textId="77777777" w:rsidR="00DC5DE8" w:rsidRDefault="00DC5DE8" w:rsidP="00DC5DE8">
      <w:pPr>
        <w:spacing w:after="120"/>
        <w:ind w:left="1440" w:hanging="720"/>
      </w:pPr>
      <w:r>
        <w:t>b)</w:t>
      </w:r>
      <w:r>
        <w:tab/>
      </w:r>
      <w:proofErr w:type="gramStart"/>
      <w:r>
        <w:t>is</w:t>
      </w:r>
      <w:proofErr w:type="gramEnd"/>
      <w:r>
        <w:t xml:space="preserve"> there a maximum relative price level (compared to current products) at which public funding of EHL products is appropriate, and if so, what is the order of magnitude of this and how is it determined?</w:t>
      </w:r>
    </w:p>
    <w:p w14:paraId="48212559" w14:textId="671433C7" w:rsidR="00DC5DE8" w:rsidRDefault="00B521A8">
      <w:pPr>
        <w:spacing w:after="120"/>
        <w:ind w:left="720" w:hanging="720"/>
      </w:pPr>
      <w:r>
        <w:t>3</w:t>
      </w:r>
      <w:r w:rsidR="00DC5DE8">
        <w:t>.</w:t>
      </w:r>
      <w:r w:rsidR="00DC5DE8">
        <w:tab/>
        <w:t>For each of FVIII and FIX, is there any particular clinical need for or advantage in</w:t>
      </w:r>
      <w:proofErr w:type="gramStart"/>
      <w:r w:rsidR="00DC5DE8">
        <w:t>:</w:t>
      </w:r>
      <w:proofErr w:type="gramEnd"/>
      <w:r w:rsidR="00DC5DE8">
        <w:br/>
        <w:t>a)</w:t>
      </w:r>
      <w:r w:rsidR="00DC5DE8">
        <w:tab/>
        <w:t>having more than one EHL product available under NBA supply arrangements, and</w:t>
      </w:r>
    </w:p>
    <w:p w14:paraId="3AA2B10E" w14:textId="77777777" w:rsidR="00DC5DE8" w:rsidRDefault="00DC5DE8" w:rsidP="00DC5DE8">
      <w:pPr>
        <w:spacing w:after="120"/>
        <w:ind w:left="1440" w:hanging="731"/>
      </w:pPr>
      <w:r>
        <w:t>b)</w:t>
      </w:r>
      <w:r>
        <w:tab/>
      </w:r>
      <w:proofErr w:type="gramStart"/>
      <w:r>
        <w:t>continuing</w:t>
      </w:r>
      <w:proofErr w:type="gramEnd"/>
      <w:r>
        <w:t xml:space="preserve"> to have current normal half-life products available under NBA supply arrangements?</w:t>
      </w:r>
    </w:p>
    <w:p w14:paraId="0E6F4B3E" w14:textId="63276F05" w:rsidR="00DC5DE8" w:rsidRDefault="00F1256C" w:rsidP="00DC5DE8">
      <w:pPr>
        <w:spacing w:after="120"/>
        <w:ind w:left="720" w:hanging="720"/>
      </w:pPr>
      <w:r>
        <w:t>4</w:t>
      </w:r>
      <w:r w:rsidR="00DC5DE8">
        <w:t>.</w:t>
      </w:r>
      <w:r w:rsidR="00DC5DE8">
        <w:tab/>
        <w:t>Is there a need for particular specialist clinicians to be involved in the prescription or management of EHL products, or for particular governance or eligibility conditions to apply to the access of EHL clotting factor products under publicly funded arrangements?</w:t>
      </w:r>
    </w:p>
    <w:p w14:paraId="596EB49E" w14:textId="48AEA208" w:rsidR="00E84430" w:rsidRDefault="00E84430" w:rsidP="00E84430">
      <w:pPr>
        <w:spacing w:after="120"/>
      </w:pPr>
      <w:r>
        <w:t>In each case, these questions should be addressed having regard to the range of current and new EHL clotting factor products for each of haemophilia A (FVIII) and haemophilia B (FIX), and the identified clinical purposes for each condition (prophylaxis, acute treatment, perioperative management, immune tolerance induction).</w:t>
      </w:r>
      <w:r w:rsidR="00F1256C">
        <w:t xml:space="preserve"> </w:t>
      </w:r>
    </w:p>
    <w:p w14:paraId="162C818A" w14:textId="77777777" w:rsidR="00E311CF" w:rsidRDefault="00E311CF">
      <w:pPr>
        <w:rPr>
          <w:rFonts w:ascii="Arial Narrow" w:hAnsi="Arial Narrow" w:cstheme="minorHAnsi"/>
          <w:sz w:val="18"/>
          <w:szCs w:val="18"/>
        </w:rPr>
      </w:pPr>
      <w:r>
        <w:rPr>
          <w:rFonts w:ascii="Arial Narrow" w:hAnsi="Arial Narrow" w:cstheme="minorHAnsi"/>
          <w:sz w:val="18"/>
          <w:szCs w:val="18"/>
        </w:rPr>
        <w:br w:type="page"/>
      </w:r>
    </w:p>
    <w:p w14:paraId="60F6AE4D" w14:textId="15952802" w:rsidR="007F4E20" w:rsidRPr="00E364F7" w:rsidRDefault="001D0AC7">
      <w:pPr>
        <w:rPr>
          <w:rFonts w:eastAsia="MS Gothic"/>
          <w:bCs/>
          <w:color w:val="548DD4"/>
          <w:szCs w:val="26"/>
        </w:rPr>
      </w:pPr>
      <w:r>
        <w:rPr>
          <w:rFonts w:eastAsia="MS Gothic"/>
          <w:b/>
          <w:bCs/>
          <w:i/>
          <w:color w:val="548DD4"/>
          <w:szCs w:val="26"/>
          <w:u w:val="single"/>
        </w:rPr>
        <w:lastRenderedPageBreak/>
        <w:t>Population, Intervention, Comparator and Outcomes (</w:t>
      </w:r>
      <w:r w:rsidR="00E364F7" w:rsidRPr="00E364F7">
        <w:rPr>
          <w:rFonts w:eastAsia="MS Gothic"/>
          <w:b/>
          <w:bCs/>
          <w:i/>
          <w:color w:val="548DD4"/>
          <w:szCs w:val="26"/>
          <w:u w:val="single"/>
        </w:rPr>
        <w:t>PICO</w:t>
      </w:r>
      <w:r>
        <w:rPr>
          <w:rFonts w:eastAsia="MS Gothic"/>
          <w:b/>
          <w:bCs/>
          <w:i/>
          <w:color w:val="548DD4"/>
          <w:szCs w:val="26"/>
          <w:u w:val="single"/>
        </w:rPr>
        <w:t>)</w:t>
      </w:r>
      <w:r w:rsidR="00953ED7">
        <w:rPr>
          <w:rFonts w:eastAsia="MS Gothic"/>
          <w:b/>
          <w:bCs/>
          <w:i/>
          <w:color w:val="548DD4"/>
          <w:szCs w:val="26"/>
          <w:u w:val="single"/>
        </w:rPr>
        <w:t xml:space="preserve"> </w:t>
      </w:r>
    </w:p>
    <w:p w14:paraId="7289ACD7" w14:textId="77777777" w:rsidR="00896845" w:rsidRPr="00E364F7" w:rsidRDefault="00896845">
      <w:pPr>
        <w:rPr>
          <w:b/>
        </w:rPr>
      </w:pPr>
      <w:r w:rsidRPr="00E364F7">
        <w:rPr>
          <w:b/>
        </w:rPr>
        <w:t>Population</w:t>
      </w:r>
    </w:p>
    <w:p w14:paraId="26B8B163" w14:textId="347CC341" w:rsidR="00D10984" w:rsidRDefault="00D10984" w:rsidP="00D10984">
      <w:r w:rsidRPr="00D10984">
        <w:t xml:space="preserve">Haemophilia A and B are X-linked genetic diseases, caused by mutations affecting the coagulation protein factors VIII (Haemophilia A) and IX (Haemophilia B). Severe disease is defined as having &lt;1% of </w:t>
      </w:r>
      <w:r w:rsidR="0044463D">
        <w:t xml:space="preserve">normal </w:t>
      </w:r>
      <w:r w:rsidRPr="00D10984">
        <w:t xml:space="preserve">FVIII or IX clotting activity. Moderate disease is between 1 and 5% of </w:t>
      </w:r>
      <w:r w:rsidR="0044463D">
        <w:t xml:space="preserve">normal </w:t>
      </w:r>
      <w:r w:rsidRPr="00D10984">
        <w:t xml:space="preserve">clotting activity, and mild haemophilia is having between 5 and 49% of </w:t>
      </w:r>
      <w:r w:rsidR="0044463D">
        <w:t xml:space="preserve">normal </w:t>
      </w:r>
      <w:r w:rsidRPr="00D10984">
        <w:t xml:space="preserve">clotting activity </w:t>
      </w:r>
      <w:r w:rsidR="00284F1F">
        <w:fldChar w:fldCharType="begin"/>
      </w:r>
      <w:r w:rsidR="00E471E0">
        <w:instrText xml:space="preserve"> ADDIN EN.CITE &lt;EndNote&gt;&lt;Cite&gt;&lt;Author&gt;Miguelino&lt;/Author&gt;&lt;Year&gt;2014&lt;/Year&gt;&lt;RecNum&gt;407&lt;/RecNum&gt;&lt;IDText&gt;1073-83&lt;/IDText&gt;&lt;DisplayText&gt;(Miguelino &amp;amp; Powell 2014)&lt;/DisplayText&gt;&lt;record&gt;&lt;rec-number&gt;407&lt;/rec-number&gt;&lt;foreign-keys&gt;&lt;key app="EN" db-id="xxv29xwz59sarceazeax5p5kzxt2dafdzse0" timestamp="1479346204"&gt;407&lt;/key&gt;&lt;/foreign-keys&gt;&lt;ref-type name="Journal Article"&gt;17&lt;/ref-type&gt;&lt;contributors&gt;&lt;authors&gt;&lt;author&gt;Miguelino, M. G.&lt;/author&gt;&lt;author&gt;Powell, J. S.&lt;/author&gt;&lt;/authors&gt;&lt;/contributors&gt;&lt;titles&gt;&lt;title&gt;Clinical utility and patient perspectives on the use of extended half-life rFIXFc in the management of hemophilia B&lt;/title&gt;&lt;secondary-title&gt;Patient Prefer Adherence&lt;/secondary-title&gt;&lt;/titles&gt;&lt;periodical&gt;&lt;full-title&gt;Patient Prefer Adherence&lt;/full-title&gt;&lt;/periodical&gt;&lt;pages&gt;1073-83&lt;/pages&gt;&lt;volume&gt;8&lt;/volume&gt;&lt;dates&gt;&lt;year&gt;2014&lt;/year&gt;&lt;pub-dates&gt;&lt;date&gt;2014-01-01&lt;/date&gt;&lt;/pub-dates&gt;&lt;/dates&gt;&lt;isbn&gt;1177-889x&lt;/isbn&gt;&lt;urls&gt;&lt;related-urls&gt;&lt;url&gt;https://www.dovepress.com/getfile.php?fileID=21127&lt;/url&gt;&lt;/related-urls&gt;&lt;/urls&gt;&lt;custom1&gt;RAYYAN-INCLUSION: {&amp;quot;Klara&amp;quot;=&amp;gt;true, &amp;quot;Skye&amp;quot;=&amp;gt;true} | RAYYAN-LABELS: clin utility,patient perspectives,Fc-Fusion&lt;/custom1&gt;&lt;language&gt;Eng&lt;/language&gt;&lt;/record&gt;&lt;/Cite&gt;&lt;/EndNote&gt;</w:instrText>
      </w:r>
      <w:r w:rsidR="00284F1F">
        <w:fldChar w:fldCharType="separate"/>
      </w:r>
      <w:r w:rsidR="00284F1F">
        <w:rPr>
          <w:noProof/>
        </w:rPr>
        <w:t>(Miguelino &amp; Powell 2014)</w:t>
      </w:r>
      <w:r w:rsidR="00284F1F">
        <w:fldChar w:fldCharType="end"/>
      </w:r>
      <w:r w:rsidRPr="00D10984">
        <w:t xml:space="preserve">. Patients with severe haemophilia are at risk of severe, life-threatening bleeding episodes, which may occur spontaneously </w:t>
      </w:r>
      <w:r w:rsidR="00284F1F">
        <w:fldChar w:fldCharType="begin"/>
      </w:r>
      <w:r w:rsidR="00E471E0">
        <w:instrText xml:space="preserve"> ADDIN EN.CITE &lt;EndNote&gt;&lt;Cite&gt;&lt;Author&gt;Miguelino&lt;/Author&gt;&lt;Year&gt;2014&lt;/Year&gt;&lt;RecNum&gt;407&lt;/RecNum&gt;&lt;IDText&gt;1073-83&lt;/IDText&gt;&lt;DisplayText&gt;(Miguelino &amp;amp; Powell 2014)&lt;/DisplayText&gt;&lt;record&gt;&lt;rec-number&gt;407&lt;/rec-number&gt;&lt;foreign-keys&gt;&lt;key app="EN" db-id="xxv29xwz59sarceazeax5p5kzxt2dafdzse0" timestamp="1479346204"&gt;407&lt;/key&gt;&lt;/foreign-keys&gt;&lt;ref-type name="Journal Article"&gt;17&lt;/ref-type&gt;&lt;contributors&gt;&lt;authors&gt;&lt;author&gt;Miguelino, M. G.&lt;/author&gt;&lt;author&gt;Powell, J. S.&lt;/author&gt;&lt;/authors&gt;&lt;/contributors&gt;&lt;titles&gt;&lt;title&gt;Clinical utility and patient perspectives on the use of extended half-life rFIXFc in the management of hemophilia B&lt;/title&gt;&lt;secondary-title&gt;Patient Prefer Adherence&lt;/secondary-title&gt;&lt;/titles&gt;&lt;periodical&gt;&lt;full-title&gt;Patient Prefer Adherence&lt;/full-title&gt;&lt;/periodical&gt;&lt;pages&gt;1073-83&lt;/pages&gt;&lt;volume&gt;8&lt;/volume&gt;&lt;dates&gt;&lt;year&gt;2014&lt;/year&gt;&lt;pub-dates&gt;&lt;date&gt;2014-01-01&lt;/date&gt;&lt;/pub-dates&gt;&lt;/dates&gt;&lt;isbn&gt;1177-889x&lt;/isbn&gt;&lt;urls&gt;&lt;related-urls&gt;&lt;url&gt;https://www.dovepress.com/getfile.php?fileID=21127&lt;/url&gt;&lt;/related-urls&gt;&lt;/urls&gt;&lt;custom1&gt;RAYYAN-INCLUSION: {&amp;quot;Klara&amp;quot;=&amp;gt;true, &amp;quot;Skye&amp;quot;=&amp;gt;true} | RAYYAN-LABELS: clin utility,patient perspectives,Fc-Fusion&lt;/custom1&gt;&lt;language&gt;Eng&lt;/language&gt;&lt;/record&gt;&lt;/Cite&gt;&lt;/EndNote&gt;</w:instrText>
      </w:r>
      <w:r w:rsidR="00284F1F">
        <w:fldChar w:fldCharType="separate"/>
      </w:r>
      <w:r w:rsidR="00284F1F">
        <w:rPr>
          <w:noProof/>
        </w:rPr>
        <w:t>(Miguelino &amp; Powell 2014)</w:t>
      </w:r>
      <w:r w:rsidR="00284F1F">
        <w:fldChar w:fldCharType="end"/>
      </w:r>
      <w:r w:rsidRPr="00D10984">
        <w:t xml:space="preserve">.  Recurrent bleeds may cause severe </w:t>
      </w:r>
      <w:proofErr w:type="spellStart"/>
      <w:r w:rsidRPr="00D10984">
        <w:t>arthropathy</w:t>
      </w:r>
      <w:proofErr w:type="spellEnd"/>
      <w:r w:rsidRPr="00D10984">
        <w:t xml:space="preserve">, soft-tissue haematomas, and retroperitoneal and intracerebral haemorrhages </w:t>
      </w:r>
      <w:r w:rsidR="00284F1F">
        <w:fldChar w:fldCharType="begin"/>
      </w:r>
      <w:r w:rsidR="00E471E0">
        <w:instrText xml:space="preserve"> ADDIN EN.CITE &lt;EndNote&gt;&lt;Cite&gt;&lt;Author&gt;Mancuso&lt;/Author&gt;&lt;Year&gt;2014&lt;/Year&gt;&lt;RecNum&gt;59&lt;/RecNum&gt;&lt;IDText&gt;365-371&lt;/IDText&gt;&lt;DisplayText&gt;(Mancuso &amp;amp; Mannucci 2014)&lt;/DisplayText&gt;&lt;record&gt;&lt;rec-number&gt;59&lt;/rec-number&gt;&lt;foreign-keys&gt;&lt;key app="EN" db-id="xxv29xwz59sarceazeax5p5kzxt2dafdzse0" timestamp="1479346132"&gt;59&lt;/key&gt;&lt;/foreign-keys&gt;&lt;ref-type name="Journal Article"&gt;17&lt;/ref-type&gt;&lt;contributors&gt;&lt;authors&gt;&lt;author&gt;Mancuso, M. E.&lt;/author&gt;&lt;author&gt;Mannucci, P. M.&lt;/author&gt;&lt;/authors&gt;&lt;/contributors&gt;&lt;titles&gt;&lt;title&gt;Fc-fusion technology and recombinant FVIII and FIX in the management of the hemophiliac&lt;/title&gt;&lt;secondary-title&gt;Drug Design, Development and Therapy&lt;/secondary-title&gt;&lt;/titles&gt;&lt;periodical&gt;&lt;full-title&gt;Drug Design, Development and Therapy&lt;/full-title&gt;&lt;/periodical&gt;&lt;pages&gt;365-371&lt;/pages&gt;&lt;volume&gt;8&lt;/volume&gt;&lt;dates&gt;&lt;year&gt;2014&lt;/year&gt;&lt;pub-dates&gt;&lt;date&gt;2014-01-01&lt;/date&gt;&lt;/pub-dates&gt;&lt;/dates&gt;&lt;isbn&gt;NCT00324155/ClinicalTrials.gov NCT01119508/ClinicalTrials.gov&lt;/isbn&gt;&lt;urls&gt;&lt;related-urls&gt;&lt;url&gt;https://www.scopus.com/inward/record.uri?eid=2-s2.0-84897562467&amp;amp;partnerID=40&amp;amp;md5=9be2912ea2f45ab531392ba4b918778f&lt;/url&gt;&lt;url&gt;https://www.dovepress.com/getfile.php?fileID=19476&lt;/url&gt;&lt;/related-urls&gt;&lt;/urls&gt;&lt;custom1&gt;RAYYAN-INCLUSION: {&amp;quot;Klara&amp;quot;=&amp;gt;true, &amp;quot;Skye&amp;quot;=&amp;gt;false} | RAYYAN-LABELS: CONFLICT,checked,Fc-Fusion | RAYYAN-EXCLUSION-REASONS: non SR&lt;/custom1&gt;&lt;/record&gt;&lt;/Cite&gt;&lt;/EndNote&gt;</w:instrText>
      </w:r>
      <w:r w:rsidR="00284F1F">
        <w:fldChar w:fldCharType="separate"/>
      </w:r>
      <w:r w:rsidR="00284F1F">
        <w:rPr>
          <w:noProof/>
        </w:rPr>
        <w:t>(Mancuso &amp; Mannucci 2014)</w:t>
      </w:r>
      <w:r w:rsidR="00284F1F">
        <w:fldChar w:fldCharType="end"/>
      </w:r>
      <w:r w:rsidRPr="00D10984">
        <w:t xml:space="preserve">. When patients are untreated, they have a short life expectancy of approximately 25 years </w:t>
      </w:r>
      <w:r w:rsidR="00284F1F">
        <w:fldChar w:fldCharType="begin"/>
      </w:r>
      <w:r w:rsidR="00E471E0">
        <w:instrText xml:space="preserve"> ADDIN EN.CITE &lt;EndNote&gt;&lt;Cite&gt;&lt;Author&gt;Miguelino&lt;/Author&gt;&lt;Year&gt;2014&lt;/Year&gt;&lt;RecNum&gt;407&lt;/RecNum&gt;&lt;IDText&gt;1073-83&lt;/IDText&gt;&lt;DisplayText&gt;(Miguelino &amp;amp; Powell 2014)&lt;/DisplayText&gt;&lt;record&gt;&lt;rec-number&gt;407&lt;/rec-number&gt;&lt;foreign-keys&gt;&lt;key app="EN" db-id="xxv29xwz59sarceazeax5p5kzxt2dafdzse0" timestamp="1479346204"&gt;407&lt;/key&gt;&lt;/foreign-keys&gt;&lt;ref-type name="Journal Article"&gt;17&lt;/ref-type&gt;&lt;contributors&gt;&lt;authors&gt;&lt;author&gt;Miguelino, M. G.&lt;/author&gt;&lt;author&gt;Powell, J. S.&lt;/author&gt;&lt;/authors&gt;&lt;/contributors&gt;&lt;titles&gt;&lt;title&gt;Clinical utility and patient perspectives on the use of extended half-life rFIXFc in the management of hemophilia B&lt;/title&gt;&lt;secondary-title&gt;Patient Prefer Adherence&lt;/secondary-title&gt;&lt;/titles&gt;&lt;periodical&gt;&lt;full-title&gt;Patient Prefer Adherence&lt;/full-title&gt;&lt;/periodical&gt;&lt;pages&gt;1073-83&lt;/pages&gt;&lt;volume&gt;8&lt;/volume&gt;&lt;dates&gt;&lt;year&gt;2014&lt;/year&gt;&lt;pub-dates&gt;&lt;date&gt;2014-01-01&lt;/date&gt;&lt;/pub-dates&gt;&lt;/dates&gt;&lt;isbn&gt;1177-889x&lt;/isbn&gt;&lt;urls&gt;&lt;related-urls&gt;&lt;url&gt;https://www.dovepress.com/getfile.php?fileID=21127&lt;/url&gt;&lt;/related-urls&gt;&lt;/urls&gt;&lt;custom1&gt;RAYYAN-INCLUSION: {&amp;quot;Klara&amp;quot;=&amp;gt;true, &amp;quot;Skye&amp;quot;=&amp;gt;true} | RAYYAN-LABELS: clin utility,patient perspectives,Fc-Fusion&lt;/custom1&gt;&lt;language&gt;Eng&lt;/language&gt;&lt;/record&gt;&lt;/Cite&gt;&lt;/EndNote&gt;</w:instrText>
      </w:r>
      <w:r w:rsidR="00284F1F">
        <w:fldChar w:fldCharType="separate"/>
      </w:r>
      <w:r w:rsidR="00284F1F">
        <w:rPr>
          <w:noProof/>
        </w:rPr>
        <w:t>(Miguelino &amp; Powell 2014)</w:t>
      </w:r>
      <w:r w:rsidR="00284F1F">
        <w:fldChar w:fldCharType="end"/>
      </w:r>
      <w:r w:rsidRPr="00D10984">
        <w:t>.</w:t>
      </w:r>
    </w:p>
    <w:p w14:paraId="54A01B7C" w14:textId="1E60E8E9" w:rsidR="0044463D" w:rsidRDefault="00530B4A" w:rsidP="0044463D">
      <w:r>
        <w:t xml:space="preserve">Internationally, haemophilia occurs in 1 in 6000 to 10 000 males </w:t>
      </w:r>
      <w:r w:rsidR="00284F1F">
        <w:fldChar w:fldCharType="begin"/>
      </w:r>
      <w:r w:rsidR="00284F1F">
        <w:instrText xml:space="preserve"> ADDIN EN.CITE &lt;EndNote&gt;&lt;Cite&gt;&lt;Author&gt;National Blood Authority&lt;/Author&gt;&lt;Year&gt;2017&lt;/Year&gt;&lt;RecNum&gt;3&lt;/RecNum&gt;&lt;DisplayText&gt;(National Blood Authority 2017a)&lt;/DisplayText&gt;&lt;record&gt;&lt;rec-number&gt;3&lt;/rec-number&gt;&lt;foreign-keys&gt;&lt;key app="EN" db-id="05dfrv5t4ppa58ep50ixt0zyxesew55t555a" timestamp="1507849060"&gt;3&lt;/key&gt;&lt;/foreign-keys&gt;&lt;ref-type name="Web Page"&gt;12&lt;/ref-type&gt;&lt;contributors&gt;&lt;authors&gt;&lt;author&gt;National Blood Authority,&lt;/author&gt;&lt;/authors&gt;&lt;/contributors&gt;&lt;titles&gt;&lt;title&gt;Australian Bleeding Disorders Registry (ABDR) Annual Report 2015-16&lt;/title&gt;&lt;/titles&gt;&lt;dates&gt;&lt;year&gt;2017&lt;/year&gt;&lt;/dates&gt;&lt;urls&gt;&lt;related-urls&gt;&lt;url&gt;https://www.blood.gov.au/system/files/abdr-annual-report-2015-16-final.pdf&lt;/url&gt;&lt;/related-urls&gt;&lt;/urls&gt;&lt;/record&gt;&lt;/Cite&gt;&lt;/EndNote&gt;</w:instrText>
      </w:r>
      <w:r w:rsidR="00284F1F">
        <w:fldChar w:fldCharType="separate"/>
      </w:r>
      <w:r w:rsidR="00284F1F">
        <w:rPr>
          <w:noProof/>
        </w:rPr>
        <w:t>(National Blood Authority 2017a)</w:t>
      </w:r>
      <w:r w:rsidR="00284F1F">
        <w:fldChar w:fldCharType="end"/>
      </w:r>
      <w:r w:rsidR="0044463D">
        <w:t xml:space="preserve">. </w:t>
      </w:r>
      <w:r w:rsidR="00CB0EB1">
        <w:t>T</w:t>
      </w:r>
      <w:r>
        <w:t xml:space="preserve">here </w:t>
      </w:r>
      <w:r w:rsidR="00DB1A36">
        <w:t>are</w:t>
      </w:r>
      <w:r>
        <w:t xml:space="preserve"> currently 2,</w:t>
      </w:r>
      <w:r w:rsidR="00CB0EB1">
        <w:t>849</w:t>
      </w:r>
      <w:r>
        <w:t xml:space="preserve"> people with </w:t>
      </w:r>
      <w:r w:rsidR="0044463D">
        <w:t>Haemophilia</w:t>
      </w:r>
      <w:r w:rsidR="00CB0EB1">
        <w:t xml:space="preserve"> A and B </w:t>
      </w:r>
      <w:r w:rsidR="0044463D">
        <w:t xml:space="preserve">listed on the Australian Bleeding Disorders Registry (ABDR; </w:t>
      </w:r>
      <w:r w:rsidR="0044463D">
        <w:fldChar w:fldCharType="begin"/>
      </w:r>
      <w:r w:rsidR="0044463D">
        <w:instrText xml:space="preserve"> REF _Ref495650661 \h </w:instrText>
      </w:r>
      <w:r w:rsidR="0044463D">
        <w:fldChar w:fldCharType="separate"/>
      </w:r>
      <w:r w:rsidR="00205D92">
        <w:t xml:space="preserve">Table </w:t>
      </w:r>
      <w:r w:rsidR="00205D92">
        <w:rPr>
          <w:noProof/>
        </w:rPr>
        <w:t>3</w:t>
      </w:r>
      <w:r w:rsidR="0044463D">
        <w:fldChar w:fldCharType="end"/>
      </w:r>
      <w:r w:rsidR="0044463D">
        <w:t>)</w:t>
      </w:r>
      <w:r>
        <w:t xml:space="preserve">. </w:t>
      </w:r>
      <w:r w:rsidR="0044463D">
        <w:t>Of these, 1</w:t>
      </w:r>
      <w:r w:rsidR="00CB0EB1">
        <w:t>,</w:t>
      </w:r>
      <w:r w:rsidR="0044463D">
        <w:t>2</w:t>
      </w:r>
      <w:r w:rsidR="00CB0EB1">
        <w:t>41</w:t>
      </w:r>
      <w:r w:rsidR="0044463D">
        <w:t xml:space="preserve"> received treatment with clotting factor VIII or IX products in the </w:t>
      </w:r>
      <w:r w:rsidR="00DB1A36">
        <w:t xml:space="preserve">2015-16 </w:t>
      </w:r>
      <w:r w:rsidR="0044463D">
        <w:t xml:space="preserve">financial year. </w:t>
      </w:r>
    </w:p>
    <w:p w14:paraId="3523413C" w14:textId="5A3C9AF8" w:rsidR="00770EB2" w:rsidRDefault="00770EB2" w:rsidP="00770EB2">
      <w:pPr>
        <w:pStyle w:val="Caption"/>
      </w:pPr>
      <w:bookmarkStart w:id="2" w:name="_Ref495650661"/>
      <w:r>
        <w:t xml:space="preserve">Table </w:t>
      </w:r>
      <w:r>
        <w:fldChar w:fldCharType="begin"/>
      </w:r>
      <w:r>
        <w:instrText xml:space="preserve"> SEQ Table \* ARABIC </w:instrText>
      </w:r>
      <w:r>
        <w:fldChar w:fldCharType="separate"/>
      </w:r>
      <w:r w:rsidR="00205D92">
        <w:rPr>
          <w:noProof/>
        </w:rPr>
        <w:t>3</w:t>
      </w:r>
      <w:r>
        <w:fldChar w:fldCharType="end"/>
      </w:r>
      <w:bookmarkEnd w:id="2"/>
      <w:r>
        <w:tab/>
        <w:t>Number of people in Australian Bleeding Disorders Registry (ABDR) in 2015-16</w:t>
      </w:r>
      <w:r w:rsidR="006B7BA5">
        <w:t xml:space="preserve"> </w:t>
      </w:r>
    </w:p>
    <w:tbl>
      <w:tblPr>
        <w:tblStyle w:val="TableGrid"/>
        <w:tblW w:w="9016" w:type="dxa"/>
        <w:tblLook w:val="04A0" w:firstRow="1" w:lastRow="0" w:firstColumn="1" w:lastColumn="0" w:noHBand="0" w:noVBand="1"/>
        <w:tblCaption w:val="Prevalence of haemophilia in Australia"/>
        <w:tblDescription w:val="numbers in the Australian Bleeding Disorders Registry"/>
      </w:tblPr>
      <w:tblGrid>
        <w:gridCol w:w="2233"/>
        <w:gridCol w:w="2157"/>
        <w:gridCol w:w="1938"/>
        <w:gridCol w:w="2688"/>
      </w:tblGrid>
      <w:tr w:rsidR="0044463D" w14:paraId="65D80108" w14:textId="77777777" w:rsidTr="000D0BB0">
        <w:trPr>
          <w:trHeight w:val="559"/>
          <w:tblHeader/>
        </w:trPr>
        <w:tc>
          <w:tcPr>
            <w:tcW w:w="2233" w:type="dxa"/>
          </w:tcPr>
          <w:p w14:paraId="248A7CCE" w14:textId="0B6D0A74" w:rsidR="0044463D" w:rsidRPr="00825C0A" w:rsidRDefault="0072720F" w:rsidP="00EE4161">
            <w:pPr>
              <w:pStyle w:val="Tabletext"/>
              <w:rPr>
                <w:b/>
              </w:rPr>
            </w:pPr>
            <w:r w:rsidRPr="00825C0A">
              <w:rPr>
                <w:b/>
                <w:color w:val="FFFFFF" w:themeColor="background1"/>
              </w:rPr>
              <w:t>-</w:t>
            </w:r>
          </w:p>
        </w:tc>
        <w:tc>
          <w:tcPr>
            <w:tcW w:w="2157" w:type="dxa"/>
          </w:tcPr>
          <w:p w14:paraId="6FE2B4CA" w14:textId="77777777" w:rsidR="0044463D" w:rsidRPr="00825C0A" w:rsidRDefault="0044463D" w:rsidP="00EE4161">
            <w:pPr>
              <w:pStyle w:val="Tabletext"/>
              <w:rPr>
                <w:b/>
              </w:rPr>
            </w:pPr>
            <w:r w:rsidRPr="00825C0A">
              <w:rPr>
                <w:b/>
              </w:rPr>
              <w:t>No. in ABDR registry</w:t>
            </w:r>
          </w:p>
        </w:tc>
        <w:tc>
          <w:tcPr>
            <w:tcW w:w="1938" w:type="dxa"/>
          </w:tcPr>
          <w:p w14:paraId="3144458D" w14:textId="5A056B02" w:rsidR="0044463D" w:rsidRPr="00825C0A" w:rsidRDefault="0044463D" w:rsidP="00EE4161">
            <w:pPr>
              <w:pStyle w:val="Tabletext"/>
              <w:rPr>
                <w:b/>
              </w:rPr>
            </w:pPr>
            <w:r w:rsidRPr="00825C0A">
              <w:rPr>
                <w:b/>
              </w:rPr>
              <w:t>Severe disease</w:t>
            </w:r>
          </w:p>
        </w:tc>
        <w:tc>
          <w:tcPr>
            <w:tcW w:w="2688" w:type="dxa"/>
          </w:tcPr>
          <w:p w14:paraId="673E8DEF" w14:textId="7B10095E" w:rsidR="0044463D" w:rsidRPr="00825C0A" w:rsidRDefault="0044463D" w:rsidP="00EE4161">
            <w:pPr>
              <w:pStyle w:val="Tabletext"/>
              <w:rPr>
                <w:b/>
              </w:rPr>
            </w:pPr>
            <w:r w:rsidRPr="00825C0A">
              <w:rPr>
                <w:b/>
              </w:rPr>
              <w:t>No. who received product</w:t>
            </w:r>
          </w:p>
        </w:tc>
      </w:tr>
      <w:tr w:rsidR="0044463D" w14:paraId="02B85B23" w14:textId="77777777" w:rsidTr="00EE4161">
        <w:trPr>
          <w:trHeight w:val="559"/>
        </w:trPr>
        <w:tc>
          <w:tcPr>
            <w:tcW w:w="2233" w:type="dxa"/>
          </w:tcPr>
          <w:p w14:paraId="2AAC8FBC" w14:textId="77777777" w:rsidR="0044463D" w:rsidRDefault="0044463D" w:rsidP="00EE4161">
            <w:pPr>
              <w:pStyle w:val="Tabletext"/>
            </w:pPr>
            <w:r>
              <w:t>Haemophilia A</w:t>
            </w:r>
          </w:p>
        </w:tc>
        <w:tc>
          <w:tcPr>
            <w:tcW w:w="2157" w:type="dxa"/>
          </w:tcPr>
          <w:p w14:paraId="3912F47E" w14:textId="77777777" w:rsidR="0044463D" w:rsidRDefault="0044463D" w:rsidP="00EE4161">
            <w:pPr>
              <w:pStyle w:val="Tabletext"/>
            </w:pPr>
            <w:r>
              <w:t>2301</w:t>
            </w:r>
          </w:p>
        </w:tc>
        <w:tc>
          <w:tcPr>
            <w:tcW w:w="1938" w:type="dxa"/>
          </w:tcPr>
          <w:p w14:paraId="0F82B287" w14:textId="1CE70664" w:rsidR="0044463D" w:rsidRDefault="0044463D" w:rsidP="00EE4161">
            <w:pPr>
              <w:pStyle w:val="Tabletext"/>
            </w:pPr>
            <w:r>
              <w:t>660</w:t>
            </w:r>
          </w:p>
        </w:tc>
        <w:tc>
          <w:tcPr>
            <w:tcW w:w="2688" w:type="dxa"/>
          </w:tcPr>
          <w:p w14:paraId="273A4D68" w14:textId="232CFA15" w:rsidR="0044463D" w:rsidRDefault="0044463D" w:rsidP="00EE4161">
            <w:pPr>
              <w:pStyle w:val="Tabletext"/>
            </w:pPr>
            <w:r>
              <w:t>1022</w:t>
            </w:r>
          </w:p>
        </w:tc>
      </w:tr>
      <w:tr w:rsidR="0044463D" w14:paraId="30B4BB63" w14:textId="77777777" w:rsidTr="00EE4161">
        <w:trPr>
          <w:trHeight w:val="559"/>
        </w:trPr>
        <w:tc>
          <w:tcPr>
            <w:tcW w:w="2233" w:type="dxa"/>
          </w:tcPr>
          <w:p w14:paraId="758D04B6" w14:textId="77777777" w:rsidR="0044463D" w:rsidRDefault="0044463D" w:rsidP="00EE4161">
            <w:pPr>
              <w:pStyle w:val="Tabletext"/>
            </w:pPr>
            <w:r>
              <w:t>Haemophilia B</w:t>
            </w:r>
          </w:p>
        </w:tc>
        <w:tc>
          <w:tcPr>
            <w:tcW w:w="2157" w:type="dxa"/>
          </w:tcPr>
          <w:p w14:paraId="3DFAA066" w14:textId="77777777" w:rsidR="0044463D" w:rsidRDefault="0044463D" w:rsidP="00EE4161">
            <w:pPr>
              <w:pStyle w:val="Tabletext"/>
            </w:pPr>
            <w:r>
              <w:t>548</w:t>
            </w:r>
          </w:p>
        </w:tc>
        <w:tc>
          <w:tcPr>
            <w:tcW w:w="1938" w:type="dxa"/>
          </w:tcPr>
          <w:p w14:paraId="511FC73F" w14:textId="65ECFBEC" w:rsidR="0044463D" w:rsidRDefault="0044463D" w:rsidP="00EE4161">
            <w:pPr>
              <w:pStyle w:val="Tabletext"/>
            </w:pPr>
            <w:r>
              <w:t>102</w:t>
            </w:r>
          </w:p>
        </w:tc>
        <w:tc>
          <w:tcPr>
            <w:tcW w:w="2688" w:type="dxa"/>
          </w:tcPr>
          <w:p w14:paraId="52E83136" w14:textId="24078FAE" w:rsidR="0044463D" w:rsidRDefault="0044463D" w:rsidP="00EE4161">
            <w:pPr>
              <w:pStyle w:val="Tabletext"/>
            </w:pPr>
            <w:r>
              <w:t>219</w:t>
            </w:r>
          </w:p>
        </w:tc>
      </w:tr>
      <w:tr w:rsidR="0044463D" w14:paraId="6D0DFBBC" w14:textId="77777777" w:rsidTr="00EE4161">
        <w:trPr>
          <w:trHeight w:val="559"/>
        </w:trPr>
        <w:tc>
          <w:tcPr>
            <w:tcW w:w="2233" w:type="dxa"/>
          </w:tcPr>
          <w:p w14:paraId="68C45327" w14:textId="4C7F4851" w:rsidR="0044463D" w:rsidRDefault="0044463D" w:rsidP="00EE4161">
            <w:pPr>
              <w:pStyle w:val="Tabletext"/>
            </w:pPr>
            <w:r>
              <w:t>Total</w:t>
            </w:r>
          </w:p>
        </w:tc>
        <w:tc>
          <w:tcPr>
            <w:tcW w:w="2157" w:type="dxa"/>
          </w:tcPr>
          <w:p w14:paraId="4EB6EBE3" w14:textId="36F69A26" w:rsidR="0044463D" w:rsidRDefault="0044463D" w:rsidP="00EE4161">
            <w:pPr>
              <w:pStyle w:val="Tabletext"/>
            </w:pPr>
            <w:r>
              <w:t>2</w:t>
            </w:r>
            <w:r w:rsidR="00CB0EB1">
              <w:t>849</w:t>
            </w:r>
          </w:p>
        </w:tc>
        <w:tc>
          <w:tcPr>
            <w:tcW w:w="1938" w:type="dxa"/>
          </w:tcPr>
          <w:p w14:paraId="5A8452CF" w14:textId="609C3B15" w:rsidR="0044463D" w:rsidRDefault="0044463D" w:rsidP="00EE4161">
            <w:pPr>
              <w:pStyle w:val="Tabletext"/>
            </w:pPr>
            <w:r>
              <w:t>762</w:t>
            </w:r>
          </w:p>
        </w:tc>
        <w:tc>
          <w:tcPr>
            <w:tcW w:w="2688" w:type="dxa"/>
          </w:tcPr>
          <w:p w14:paraId="2169A5E5" w14:textId="55237557" w:rsidR="0044463D" w:rsidRDefault="0044463D" w:rsidP="00EE4161">
            <w:pPr>
              <w:pStyle w:val="Tabletext"/>
            </w:pPr>
            <w:r>
              <w:t>12</w:t>
            </w:r>
            <w:r w:rsidR="00CB0EB1">
              <w:t>41</w:t>
            </w:r>
          </w:p>
        </w:tc>
      </w:tr>
    </w:tbl>
    <w:p w14:paraId="2A49BB0D" w14:textId="5D11F97B" w:rsidR="0019750B" w:rsidRPr="00EE4161" w:rsidRDefault="006B7BA5" w:rsidP="00D10984">
      <w:pPr>
        <w:rPr>
          <w:rFonts w:ascii="Arial Narrow" w:hAnsi="Arial Narrow"/>
          <w:sz w:val="18"/>
          <w:szCs w:val="18"/>
        </w:rPr>
      </w:pPr>
      <w:r w:rsidRPr="00EE4161">
        <w:rPr>
          <w:rFonts w:ascii="Arial Narrow" w:hAnsi="Arial Narrow"/>
          <w:sz w:val="18"/>
          <w:szCs w:val="18"/>
        </w:rPr>
        <w:t xml:space="preserve">Source: </w:t>
      </w:r>
      <w:r w:rsidR="00284F1F">
        <w:rPr>
          <w:rFonts w:ascii="Arial Narrow" w:hAnsi="Arial Narrow"/>
          <w:sz w:val="18"/>
          <w:szCs w:val="18"/>
        </w:rPr>
        <w:fldChar w:fldCharType="begin"/>
      </w:r>
      <w:r w:rsidR="00284F1F">
        <w:rPr>
          <w:rFonts w:ascii="Arial Narrow" w:hAnsi="Arial Narrow"/>
          <w:sz w:val="18"/>
          <w:szCs w:val="18"/>
        </w:rPr>
        <w:instrText xml:space="preserve"> ADDIN EN.CITE &lt;EndNote&gt;&lt;Cite&gt;&lt;Author&gt;National Blood Authority&lt;/Author&gt;&lt;Year&gt;2017&lt;/Year&gt;&lt;RecNum&gt;3&lt;/RecNum&gt;&lt;DisplayText&gt;(National Blood Authority 2017a)&lt;/DisplayText&gt;&lt;record&gt;&lt;rec-number&gt;3&lt;/rec-number&gt;&lt;foreign-keys&gt;&lt;key app="EN" db-id="05dfrv5t4ppa58ep50ixt0zyxesew55t555a" timestamp="1507849060"&gt;3&lt;/key&gt;&lt;/foreign-keys&gt;&lt;ref-type name="Web Page"&gt;12&lt;/ref-type&gt;&lt;contributors&gt;&lt;authors&gt;&lt;author&gt;National Blood Authority,&lt;/author&gt;&lt;/authors&gt;&lt;/contributors&gt;&lt;titles&gt;&lt;title&gt;Australian Bleeding Disorders Registry (ABDR) Annual Report 2015-16&lt;/title&gt;&lt;/titles&gt;&lt;dates&gt;&lt;year&gt;2017&lt;/year&gt;&lt;/dates&gt;&lt;urls&gt;&lt;related-urls&gt;&lt;url&gt;https://www.blood.gov.au/system/files/abdr-annual-report-2015-16-final.pdf&lt;/url&gt;&lt;/related-urls&gt;&lt;/urls&gt;&lt;/record&gt;&lt;/Cite&gt;&lt;/EndNote&gt;</w:instrText>
      </w:r>
      <w:r w:rsidR="00284F1F">
        <w:rPr>
          <w:rFonts w:ascii="Arial Narrow" w:hAnsi="Arial Narrow"/>
          <w:sz w:val="18"/>
          <w:szCs w:val="18"/>
        </w:rPr>
        <w:fldChar w:fldCharType="separate"/>
      </w:r>
      <w:r w:rsidR="00284F1F">
        <w:rPr>
          <w:rFonts w:ascii="Arial Narrow" w:hAnsi="Arial Narrow"/>
          <w:noProof/>
          <w:sz w:val="18"/>
          <w:szCs w:val="18"/>
        </w:rPr>
        <w:t>(National Blood Authority 2017a)</w:t>
      </w:r>
      <w:r w:rsidR="00284F1F">
        <w:rPr>
          <w:rFonts w:ascii="Arial Narrow" w:hAnsi="Arial Narrow"/>
          <w:sz w:val="18"/>
          <w:szCs w:val="18"/>
        </w:rPr>
        <w:fldChar w:fldCharType="end"/>
      </w:r>
      <w:r w:rsidRPr="00EE4161">
        <w:rPr>
          <w:rFonts w:ascii="Arial Narrow" w:hAnsi="Arial Narrow"/>
          <w:sz w:val="18"/>
          <w:szCs w:val="18"/>
        </w:rPr>
        <w:t xml:space="preserve">. </w:t>
      </w:r>
    </w:p>
    <w:p w14:paraId="15A686C0" w14:textId="77777777" w:rsidR="001A10DA" w:rsidRDefault="001A10DA" w:rsidP="001A10DA">
      <w:r>
        <w:t>Haemophilia is usually diagnosed by assessing the following:</w:t>
      </w:r>
    </w:p>
    <w:p w14:paraId="308C202F" w14:textId="77777777" w:rsidR="001A10DA" w:rsidRDefault="001A10DA" w:rsidP="001A10DA">
      <w:pPr>
        <w:pStyle w:val="ListParagraph"/>
        <w:numPr>
          <w:ilvl w:val="0"/>
          <w:numId w:val="20"/>
        </w:numPr>
        <w:spacing w:before="120" w:after="120" w:line="240" w:lineRule="auto"/>
      </w:pPr>
      <w:r>
        <w:t>the person has a history of prolonged bleeding (e.g. with injury, surgery, dental work or other medical procedures);</w:t>
      </w:r>
    </w:p>
    <w:p w14:paraId="0ABB79E7" w14:textId="77777777" w:rsidR="001A10DA" w:rsidRDefault="001A10DA" w:rsidP="001A10DA">
      <w:pPr>
        <w:pStyle w:val="ListParagraph"/>
        <w:numPr>
          <w:ilvl w:val="0"/>
          <w:numId w:val="20"/>
        </w:numPr>
        <w:spacing w:before="120" w:after="120" w:line="240" w:lineRule="auto"/>
      </w:pPr>
      <w:r>
        <w:t>checking if there is a family history of haemophilia or bleeding problems; and</w:t>
      </w:r>
    </w:p>
    <w:p w14:paraId="554049B1" w14:textId="77777777" w:rsidR="001A10DA" w:rsidRDefault="001A10DA" w:rsidP="001A10DA">
      <w:pPr>
        <w:pStyle w:val="ListParagraph"/>
        <w:numPr>
          <w:ilvl w:val="0"/>
          <w:numId w:val="20"/>
        </w:numPr>
        <w:spacing w:before="120" w:after="120" w:line="240" w:lineRule="auto"/>
      </w:pPr>
      <w:proofErr w:type="gramStart"/>
      <w:r>
        <w:t>laboratory</w:t>
      </w:r>
      <w:proofErr w:type="gramEnd"/>
      <w:r>
        <w:t xml:space="preserve"> tests on a blood sample for a person’s clotting factor levels.</w:t>
      </w:r>
    </w:p>
    <w:p w14:paraId="0D134B86" w14:textId="20EBBD1A" w:rsidR="00712F51" w:rsidRDefault="001A10DA">
      <w:r>
        <w:t xml:space="preserve">The majority of people </w:t>
      </w:r>
      <w:r w:rsidR="004B0A4C">
        <w:t xml:space="preserve">in Australia </w:t>
      </w:r>
      <w:r>
        <w:t xml:space="preserve">with </w:t>
      </w:r>
      <w:r w:rsidR="00DB1A36">
        <w:t>Haemophilia</w:t>
      </w:r>
      <w:r>
        <w:t xml:space="preserve"> </w:t>
      </w:r>
      <w:r w:rsidR="009316AC">
        <w:t xml:space="preserve">have their condition managed through </w:t>
      </w:r>
      <w:r w:rsidR="004B0A4C">
        <w:t xml:space="preserve">one of 18 </w:t>
      </w:r>
      <w:r w:rsidR="00DB1A36">
        <w:t>Haemophilia Treatment Centre</w:t>
      </w:r>
      <w:r w:rsidR="004B0A4C">
        <w:t>s</w:t>
      </w:r>
      <w:r w:rsidR="00DB1A36">
        <w:t xml:space="preserve"> (HTC</w:t>
      </w:r>
      <w:r>
        <w:t xml:space="preserve">), which are specialist centres that provide comprehensive care to people with haemophilia and other bleeding disorders. The comprehensive care model ensures preventative and general treatment for the complex aspects of haemophilia are given in a co-ordinated way by a multi-disciplinary team, with specialised expertise within one centre. </w:t>
      </w:r>
    </w:p>
    <w:p w14:paraId="5FF55ABF" w14:textId="77777777" w:rsidR="00896845" w:rsidRPr="00E364F7" w:rsidRDefault="00896845">
      <w:pPr>
        <w:rPr>
          <w:b/>
        </w:rPr>
      </w:pPr>
      <w:r w:rsidRPr="00E364F7">
        <w:rPr>
          <w:b/>
        </w:rPr>
        <w:t>Intervention</w:t>
      </w:r>
    </w:p>
    <w:p w14:paraId="0DE2EC9E" w14:textId="26FF9C61" w:rsidR="00344FF7" w:rsidRDefault="00344FF7" w:rsidP="00344FF7">
      <w:pPr>
        <w:rPr>
          <w:rFonts w:eastAsia="Times New Roman"/>
          <w:szCs w:val="20"/>
        </w:rPr>
      </w:pPr>
      <w:r>
        <w:rPr>
          <w:rFonts w:eastAsia="Times New Roman"/>
          <w:szCs w:val="20"/>
        </w:rPr>
        <w:t xml:space="preserve">The </w:t>
      </w:r>
      <w:r w:rsidR="00B02B5E">
        <w:rPr>
          <w:rFonts w:eastAsia="Times New Roman"/>
          <w:szCs w:val="20"/>
        </w:rPr>
        <w:t>mainstay of</w:t>
      </w:r>
      <w:r>
        <w:rPr>
          <w:rFonts w:eastAsia="Times New Roman"/>
          <w:szCs w:val="20"/>
        </w:rPr>
        <w:t xml:space="preserve"> treatment for haemophilia is </w:t>
      </w:r>
      <w:r w:rsidR="00805A70">
        <w:rPr>
          <w:rFonts w:eastAsia="Times New Roman"/>
          <w:szCs w:val="20"/>
        </w:rPr>
        <w:t>the replacement of the missing or defecti</w:t>
      </w:r>
      <w:r w:rsidR="005C0758">
        <w:rPr>
          <w:rFonts w:eastAsia="Times New Roman"/>
          <w:szCs w:val="20"/>
        </w:rPr>
        <w:t>ve</w:t>
      </w:r>
      <w:r w:rsidR="00805A70">
        <w:rPr>
          <w:rFonts w:eastAsia="Times New Roman"/>
          <w:szCs w:val="20"/>
        </w:rPr>
        <w:t xml:space="preserve"> </w:t>
      </w:r>
      <w:r>
        <w:rPr>
          <w:rFonts w:eastAsia="Times New Roman"/>
          <w:szCs w:val="20"/>
        </w:rPr>
        <w:t>clotting factor</w:t>
      </w:r>
      <w:r w:rsidR="00805A70">
        <w:rPr>
          <w:rFonts w:eastAsia="Times New Roman"/>
          <w:szCs w:val="20"/>
        </w:rPr>
        <w:t>s</w:t>
      </w:r>
      <w:r w:rsidR="00B53F56">
        <w:rPr>
          <w:rFonts w:eastAsia="Times New Roman"/>
          <w:szCs w:val="20"/>
        </w:rPr>
        <w:t xml:space="preserve">. </w:t>
      </w:r>
      <w:r w:rsidR="00AB7181">
        <w:rPr>
          <w:rFonts w:eastAsia="Times New Roman"/>
          <w:szCs w:val="20"/>
        </w:rPr>
        <w:t xml:space="preserve">The aim is to achieve sufficient levels of that blood plasma protein level to avoid bleeding or to stop bleeding that has already occurred </w:t>
      </w:r>
      <w:r w:rsidR="00284F1F">
        <w:rPr>
          <w:rFonts w:eastAsia="Times New Roman"/>
          <w:szCs w:val="20"/>
        </w:rPr>
        <w:fldChar w:fldCharType="begin"/>
      </w:r>
      <w:r w:rsidR="00284F1F">
        <w:rPr>
          <w:rFonts w:eastAsia="Times New Roman"/>
          <w:szCs w:val="20"/>
        </w:rPr>
        <w:instrText xml:space="preserve"> ADDIN EN.CITE &lt;EndNote&gt;&lt;Cite&gt;&lt;Author&gt;Australian Haemophilia Centre Directors&amp;apos; Organisation&lt;/Author&gt;&lt;Year&gt;2016&lt;/Year&gt;&lt;RecNum&gt;5&lt;/RecNum&gt;&lt;DisplayText&gt;(Australian Haemophilia Centre Directors&amp;apos; Organisation 2016)&lt;/DisplayText&gt;&lt;record&gt;&lt;rec-number&gt;5&lt;/rec-number&gt;&lt;foreign-keys&gt;&lt;key app="EN" db-id="05dfrv5t4ppa58ep50ixt0zyxesew55t555a" timestamp="1507869959"&gt;5&lt;/key&gt;&lt;/foreign-keys&gt;&lt;ref-type name="Web Page"&gt;12&lt;/ref-type&gt;&lt;contributors&gt;&lt;authors&gt;&lt;author&gt;Australian Haemophilia Centre Directors&amp;apos; Organisation,&lt;/author&gt;&lt;/authors&gt;&lt;/contributors&gt;&lt;titles&gt;&lt;title&gt;Guidelines for the management of haemophilia in Australia&lt;/title&gt;&lt;/titles&gt;&lt;dates&gt;&lt;year&gt;2016&lt;/year&gt;&lt;/dates&gt;&lt;urls&gt;&lt;related-urls&gt;&lt;url&gt;https://www.blood.gov.au/system/files/HaemophiliaGuidelines-interactive-updated-260317v2.pdf&lt;/url&gt;&lt;/related-urls&gt;&lt;/urls&gt;&lt;/record&gt;&lt;/Cite&gt;&lt;/EndNote&gt;</w:instrText>
      </w:r>
      <w:r w:rsidR="00284F1F">
        <w:rPr>
          <w:rFonts w:eastAsia="Times New Roman"/>
          <w:szCs w:val="20"/>
        </w:rPr>
        <w:fldChar w:fldCharType="separate"/>
      </w:r>
      <w:r w:rsidR="00284F1F">
        <w:rPr>
          <w:rFonts w:eastAsia="Times New Roman"/>
          <w:noProof/>
          <w:szCs w:val="20"/>
        </w:rPr>
        <w:t>(Australian Haemophilia Centre Directors' Organisation 2016)</w:t>
      </w:r>
      <w:r w:rsidR="00284F1F">
        <w:rPr>
          <w:rFonts w:eastAsia="Times New Roman"/>
          <w:szCs w:val="20"/>
        </w:rPr>
        <w:fldChar w:fldCharType="end"/>
      </w:r>
      <w:r w:rsidR="00AB7181">
        <w:rPr>
          <w:rFonts w:eastAsia="Times New Roman"/>
          <w:szCs w:val="20"/>
        </w:rPr>
        <w:t xml:space="preserve">. </w:t>
      </w:r>
      <w:r w:rsidR="00B53F56">
        <w:rPr>
          <w:rFonts w:eastAsia="Times New Roman"/>
          <w:szCs w:val="20"/>
        </w:rPr>
        <w:t>F</w:t>
      </w:r>
      <w:r w:rsidR="00805A70">
        <w:rPr>
          <w:rFonts w:eastAsia="Times New Roman"/>
          <w:szCs w:val="20"/>
        </w:rPr>
        <w:t>actor</w:t>
      </w:r>
      <w:r>
        <w:rPr>
          <w:rFonts w:eastAsia="Times New Roman"/>
          <w:szCs w:val="20"/>
        </w:rPr>
        <w:t xml:space="preserve"> VIII (FVIII) product</w:t>
      </w:r>
      <w:r w:rsidR="00805A70">
        <w:rPr>
          <w:rFonts w:eastAsia="Times New Roman"/>
          <w:szCs w:val="20"/>
        </w:rPr>
        <w:t>s are used</w:t>
      </w:r>
      <w:r w:rsidR="00B53F56">
        <w:rPr>
          <w:rFonts w:eastAsia="Times New Roman"/>
          <w:szCs w:val="20"/>
        </w:rPr>
        <w:t xml:space="preserve"> for haemophilia A</w:t>
      </w:r>
      <w:r>
        <w:rPr>
          <w:rFonts w:eastAsia="Times New Roman"/>
          <w:szCs w:val="20"/>
        </w:rPr>
        <w:t>, and clotting factor IX (FIX) product</w:t>
      </w:r>
      <w:r w:rsidR="00805A70">
        <w:rPr>
          <w:rFonts w:eastAsia="Times New Roman"/>
          <w:szCs w:val="20"/>
        </w:rPr>
        <w:t>s are used</w:t>
      </w:r>
      <w:r w:rsidR="00B53F56">
        <w:rPr>
          <w:rFonts w:eastAsia="Times New Roman"/>
          <w:szCs w:val="20"/>
        </w:rPr>
        <w:t xml:space="preserve"> for haemophilia B</w:t>
      </w:r>
      <w:r>
        <w:rPr>
          <w:rFonts w:eastAsia="Times New Roman"/>
          <w:szCs w:val="20"/>
        </w:rPr>
        <w:t xml:space="preserve">. Products may either </w:t>
      </w:r>
      <w:r w:rsidR="003A70D5">
        <w:rPr>
          <w:rFonts w:eastAsia="Times New Roman"/>
          <w:szCs w:val="20"/>
        </w:rPr>
        <w:t xml:space="preserve">be </w:t>
      </w:r>
      <w:r>
        <w:rPr>
          <w:rFonts w:eastAsia="Times New Roman"/>
          <w:szCs w:val="20"/>
        </w:rPr>
        <w:t xml:space="preserve">plasma-derived or recombinant. </w:t>
      </w:r>
    </w:p>
    <w:p w14:paraId="203DCF5A" w14:textId="63B6E066" w:rsidR="00344FF7" w:rsidRDefault="00DB1A36" w:rsidP="00344FF7">
      <w:pPr>
        <w:rPr>
          <w:rFonts w:eastAsia="Times New Roman"/>
          <w:szCs w:val="20"/>
        </w:rPr>
      </w:pPr>
      <w:r>
        <w:rPr>
          <w:rFonts w:eastAsia="Times New Roman"/>
          <w:szCs w:val="20"/>
        </w:rPr>
        <w:lastRenderedPageBreak/>
        <w:t xml:space="preserve">The interventions to be assessed are extended half-life (EHL) clotting factors VIII and IX. </w:t>
      </w:r>
      <w:r w:rsidR="00A031C8" w:rsidRPr="00D10984">
        <w:rPr>
          <w:rFonts w:eastAsia="Times New Roman"/>
          <w:szCs w:val="20"/>
        </w:rPr>
        <w:t xml:space="preserve">A number of </w:t>
      </w:r>
      <w:r>
        <w:rPr>
          <w:rFonts w:eastAsia="Times New Roman"/>
          <w:szCs w:val="20"/>
        </w:rPr>
        <w:t>EHL</w:t>
      </w:r>
      <w:r w:rsidR="00A031C8" w:rsidRPr="00D10984">
        <w:rPr>
          <w:rFonts w:eastAsia="Times New Roman"/>
          <w:szCs w:val="20"/>
        </w:rPr>
        <w:t xml:space="preserve"> clotting factors have now been developed for the treatment of haemophilia A and B</w:t>
      </w:r>
      <w:r w:rsidR="005C0758">
        <w:rPr>
          <w:rFonts w:eastAsia="Times New Roman"/>
          <w:szCs w:val="20"/>
        </w:rPr>
        <w:t>. These use</w:t>
      </w:r>
      <w:r w:rsidR="003A70D5">
        <w:rPr>
          <w:rFonts w:eastAsia="Times New Roman"/>
          <w:szCs w:val="20"/>
        </w:rPr>
        <w:t xml:space="preserve"> d</w:t>
      </w:r>
      <w:r w:rsidR="00A031C8" w:rsidRPr="00D10984">
        <w:rPr>
          <w:rFonts w:eastAsia="Times New Roman"/>
          <w:szCs w:val="20"/>
        </w:rPr>
        <w:t xml:space="preserve">ifferent strategies to prolong the half-life with greater extension achieved for factor IX than factor VIII. </w:t>
      </w:r>
      <w:r w:rsidR="00AF0FE5">
        <w:rPr>
          <w:rFonts w:eastAsia="Times New Roman"/>
          <w:szCs w:val="20"/>
        </w:rPr>
        <w:t>The EHL products and methods of half-life exten</w:t>
      </w:r>
      <w:r w:rsidR="009316AC">
        <w:rPr>
          <w:rFonts w:eastAsia="Times New Roman"/>
          <w:szCs w:val="20"/>
        </w:rPr>
        <w:t>s</w:t>
      </w:r>
      <w:r w:rsidR="00AF0FE5">
        <w:rPr>
          <w:rFonts w:eastAsia="Times New Roman"/>
          <w:szCs w:val="20"/>
        </w:rPr>
        <w:t xml:space="preserve">ion are outlined in </w:t>
      </w:r>
      <w:r w:rsidR="00AF0FE5">
        <w:rPr>
          <w:rFonts w:eastAsia="Times New Roman"/>
          <w:szCs w:val="20"/>
        </w:rPr>
        <w:fldChar w:fldCharType="begin"/>
      </w:r>
      <w:r w:rsidR="00AF0FE5">
        <w:rPr>
          <w:rFonts w:eastAsia="Times New Roman"/>
          <w:szCs w:val="20"/>
        </w:rPr>
        <w:instrText xml:space="preserve"> REF _Ref473890651 \h </w:instrText>
      </w:r>
      <w:r w:rsidR="00AF0FE5">
        <w:rPr>
          <w:rFonts w:eastAsia="Times New Roman"/>
          <w:szCs w:val="20"/>
        </w:rPr>
      </w:r>
      <w:r w:rsidR="00AF0FE5">
        <w:rPr>
          <w:rFonts w:eastAsia="Times New Roman"/>
          <w:szCs w:val="20"/>
        </w:rPr>
        <w:fldChar w:fldCharType="separate"/>
      </w:r>
      <w:r w:rsidR="00205D92">
        <w:t xml:space="preserve">Table </w:t>
      </w:r>
      <w:r w:rsidR="00205D92">
        <w:rPr>
          <w:noProof/>
        </w:rPr>
        <w:t>4</w:t>
      </w:r>
      <w:r w:rsidR="00AF0FE5">
        <w:rPr>
          <w:rFonts w:eastAsia="Times New Roman"/>
          <w:szCs w:val="20"/>
        </w:rPr>
        <w:fldChar w:fldCharType="end"/>
      </w:r>
      <w:r w:rsidR="009316AC">
        <w:rPr>
          <w:rFonts w:eastAsia="Times New Roman"/>
          <w:szCs w:val="20"/>
        </w:rPr>
        <w:t xml:space="preserve"> and </w:t>
      </w:r>
      <w:r w:rsidR="009316AC">
        <w:rPr>
          <w:rFonts w:eastAsia="Times New Roman"/>
          <w:szCs w:val="20"/>
        </w:rPr>
        <w:fldChar w:fldCharType="begin"/>
      </w:r>
      <w:r w:rsidR="009316AC">
        <w:rPr>
          <w:rFonts w:eastAsia="Times New Roman"/>
          <w:szCs w:val="20"/>
        </w:rPr>
        <w:instrText xml:space="preserve"> REF _Ref495668269 \h </w:instrText>
      </w:r>
      <w:r w:rsidR="009316AC">
        <w:rPr>
          <w:rFonts w:eastAsia="Times New Roman"/>
          <w:szCs w:val="20"/>
        </w:rPr>
      </w:r>
      <w:r w:rsidR="009316AC">
        <w:rPr>
          <w:rFonts w:eastAsia="Times New Roman"/>
          <w:szCs w:val="20"/>
        </w:rPr>
        <w:fldChar w:fldCharType="separate"/>
      </w:r>
      <w:r w:rsidR="00205D92">
        <w:t xml:space="preserve">Table </w:t>
      </w:r>
      <w:r w:rsidR="00205D92">
        <w:rPr>
          <w:noProof/>
        </w:rPr>
        <w:t>5</w:t>
      </w:r>
      <w:r w:rsidR="009316AC">
        <w:rPr>
          <w:rFonts w:eastAsia="Times New Roman"/>
          <w:szCs w:val="20"/>
        </w:rPr>
        <w:fldChar w:fldCharType="end"/>
      </w:r>
      <w:r w:rsidR="00AF0FE5">
        <w:rPr>
          <w:rFonts w:eastAsia="Times New Roman"/>
          <w:szCs w:val="20"/>
        </w:rPr>
        <w:t xml:space="preserve">. The extension in half-life allows longer intervals between prophylactic doses, as the clotting factors remain elevated for longer. </w:t>
      </w:r>
    </w:p>
    <w:p w14:paraId="68A60F0D" w14:textId="77777777" w:rsidR="009316AC" w:rsidRDefault="009316AC" w:rsidP="009316AC">
      <w:pPr>
        <w:pStyle w:val="Caption"/>
      </w:pPr>
      <w:bookmarkStart w:id="3" w:name="_Ref473890651"/>
      <w:bookmarkStart w:id="4" w:name="_Toc477354030"/>
      <w:r>
        <w:t xml:space="preserve">Table </w:t>
      </w:r>
      <w:r>
        <w:fldChar w:fldCharType="begin"/>
      </w:r>
      <w:r>
        <w:instrText xml:space="preserve"> SEQ Table \* ARABIC </w:instrText>
      </w:r>
      <w:r>
        <w:fldChar w:fldCharType="separate"/>
      </w:r>
      <w:r w:rsidR="00205D92">
        <w:rPr>
          <w:noProof/>
        </w:rPr>
        <w:t>4</w:t>
      </w:r>
      <w:r>
        <w:rPr>
          <w:noProof/>
        </w:rPr>
        <w:fldChar w:fldCharType="end"/>
      </w:r>
      <w:bookmarkEnd w:id="3"/>
      <w:r>
        <w:tab/>
        <w:t xml:space="preserve">Extended half-life products for treating haemophilia A </w:t>
      </w:r>
      <w:bookmarkEnd w:id="4"/>
      <w:r>
        <w:t>(FVIII products)</w:t>
      </w:r>
    </w:p>
    <w:tbl>
      <w:tblPr>
        <w:tblStyle w:val="TableGrid"/>
        <w:tblW w:w="9016" w:type="dxa"/>
        <w:tblLook w:val="04A0" w:firstRow="1" w:lastRow="0" w:firstColumn="1" w:lastColumn="0" w:noHBand="0" w:noVBand="1"/>
        <w:tblCaption w:val="EHL products for haemophilia A"/>
        <w:tblDescription w:val="Different EHL products, their TGA status and recommended prophylactic regimen"/>
      </w:tblPr>
      <w:tblGrid>
        <w:gridCol w:w="1916"/>
        <w:gridCol w:w="1119"/>
        <w:gridCol w:w="1355"/>
        <w:gridCol w:w="2268"/>
        <w:gridCol w:w="2358"/>
      </w:tblGrid>
      <w:tr w:rsidR="009316AC" w:rsidRPr="008813C9" w14:paraId="3E37A3DF" w14:textId="77777777" w:rsidTr="00985F83">
        <w:trPr>
          <w:trHeight w:val="537"/>
          <w:tblHeader/>
        </w:trPr>
        <w:tc>
          <w:tcPr>
            <w:tcW w:w="1916" w:type="dxa"/>
            <w:vAlign w:val="center"/>
          </w:tcPr>
          <w:p w14:paraId="459C53F1" w14:textId="77777777" w:rsidR="009316AC" w:rsidRPr="008813C9" w:rsidRDefault="009316AC" w:rsidP="00985F83">
            <w:pPr>
              <w:pStyle w:val="Tableheader"/>
            </w:pPr>
            <w:r>
              <w:t>Product (trade/generic name)</w:t>
            </w:r>
          </w:p>
        </w:tc>
        <w:tc>
          <w:tcPr>
            <w:tcW w:w="1119" w:type="dxa"/>
            <w:vAlign w:val="center"/>
          </w:tcPr>
          <w:p w14:paraId="194D25CF" w14:textId="77777777" w:rsidR="009316AC" w:rsidRPr="008813C9" w:rsidRDefault="009316AC" w:rsidP="00985F83">
            <w:pPr>
              <w:pStyle w:val="Tableheader"/>
            </w:pPr>
            <w:r>
              <w:t>Company</w:t>
            </w:r>
          </w:p>
        </w:tc>
        <w:tc>
          <w:tcPr>
            <w:tcW w:w="1355" w:type="dxa"/>
            <w:vAlign w:val="center"/>
          </w:tcPr>
          <w:p w14:paraId="3FB04732" w14:textId="77777777" w:rsidR="009316AC" w:rsidRPr="008813C9" w:rsidRDefault="009316AC" w:rsidP="00985F83">
            <w:pPr>
              <w:pStyle w:val="Tableheader"/>
            </w:pPr>
            <w:r>
              <w:t>Method of half-life extension</w:t>
            </w:r>
          </w:p>
        </w:tc>
        <w:tc>
          <w:tcPr>
            <w:tcW w:w="2268" w:type="dxa"/>
          </w:tcPr>
          <w:p w14:paraId="68A83090" w14:textId="77777777" w:rsidR="009316AC" w:rsidRDefault="009316AC" w:rsidP="00985F83">
            <w:pPr>
              <w:pStyle w:val="Tableheader"/>
            </w:pPr>
            <w:r>
              <w:t xml:space="preserve">TGA status </w:t>
            </w:r>
          </w:p>
        </w:tc>
        <w:tc>
          <w:tcPr>
            <w:tcW w:w="2358" w:type="dxa"/>
          </w:tcPr>
          <w:p w14:paraId="175BF7A1" w14:textId="77777777" w:rsidR="009316AC" w:rsidRDefault="009316AC" w:rsidP="00985F83">
            <w:pPr>
              <w:pStyle w:val="Tableheader"/>
            </w:pPr>
            <w:r>
              <w:t>Prophylaxis regimen recommended in PI</w:t>
            </w:r>
          </w:p>
        </w:tc>
      </w:tr>
      <w:tr w:rsidR="009316AC" w14:paraId="215ED935" w14:textId="77777777" w:rsidTr="00985F83">
        <w:trPr>
          <w:trHeight w:val="559"/>
        </w:trPr>
        <w:tc>
          <w:tcPr>
            <w:tcW w:w="1916" w:type="dxa"/>
            <w:vAlign w:val="center"/>
          </w:tcPr>
          <w:p w14:paraId="77966751" w14:textId="77777777" w:rsidR="009316AC" w:rsidRDefault="009316AC" w:rsidP="00985F83">
            <w:pPr>
              <w:pStyle w:val="Tabletext"/>
            </w:pPr>
            <w:r>
              <w:t>BAX-855 (</w:t>
            </w:r>
            <w:proofErr w:type="spellStart"/>
            <w:r>
              <w:t>Adynovate</w:t>
            </w:r>
            <w:proofErr w:type="spellEnd"/>
            <w:r>
              <w:t>)</w:t>
            </w:r>
          </w:p>
        </w:tc>
        <w:tc>
          <w:tcPr>
            <w:tcW w:w="1119" w:type="dxa"/>
            <w:vAlign w:val="center"/>
          </w:tcPr>
          <w:p w14:paraId="60068F4D" w14:textId="77777777" w:rsidR="009316AC" w:rsidRDefault="009316AC" w:rsidP="00985F83">
            <w:pPr>
              <w:pStyle w:val="Tabletext"/>
            </w:pPr>
            <w:proofErr w:type="spellStart"/>
            <w:r>
              <w:t>Baxalta</w:t>
            </w:r>
            <w:proofErr w:type="spellEnd"/>
            <w:r>
              <w:t xml:space="preserve"> / Shire</w:t>
            </w:r>
          </w:p>
        </w:tc>
        <w:tc>
          <w:tcPr>
            <w:tcW w:w="1355" w:type="dxa"/>
            <w:vAlign w:val="center"/>
          </w:tcPr>
          <w:p w14:paraId="76B466FE" w14:textId="77777777" w:rsidR="009316AC" w:rsidRDefault="009316AC" w:rsidP="00985F83">
            <w:pPr>
              <w:pStyle w:val="Tabletext"/>
            </w:pPr>
            <w:proofErr w:type="spellStart"/>
            <w:r>
              <w:t>PEGylation</w:t>
            </w:r>
            <w:proofErr w:type="spellEnd"/>
            <w:r>
              <w:t xml:space="preserve"> (20kDa)</w:t>
            </w:r>
          </w:p>
        </w:tc>
        <w:tc>
          <w:tcPr>
            <w:tcW w:w="2268" w:type="dxa"/>
          </w:tcPr>
          <w:p w14:paraId="01E01F4E" w14:textId="77777777" w:rsidR="009316AC" w:rsidRDefault="009316AC" w:rsidP="00985F83">
            <w:pPr>
              <w:pStyle w:val="Tabletext"/>
            </w:pPr>
            <w:r>
              <w:t>ARTG listings: 278729, 278728, 278727, 273517</w:t>
            </w:r>
          </w:p>
        </w:tc>
        <w:tc>
          <w:tcPr>
            <w:tcW w:w="2358" w:type="dxa"/>
          </w:tcPr>
          <w:p w14:paraId="0E1D9EB9" w14:textId="77777777" w:rsidR="009316AC" w:rsidRDefault="009316AC" w:rsidP="00985F83">
            <w:pPr>
              <w:pStyle w:val="Tabletext"/>
            </w:pPr>
            <w:r>
              <w:t>40-50 IU/kg/2 x weekly (starting dose 55 IU/kg/2 x weekly in patients &lt;12 years of age, maximum 70 IU/kg)</w:t>
            </w:r>
          </w:p>
        </w:tc>
      </w:tr>
      <w:tr w:rsidR="009316AC" w14:paraId="5471AA7D" w14:textId="77777777" w:rsidTr="00985F83">
        <w:trPr>
          <w:trHeight w:val="559"/>
        </w:trPr>
        <w:tc>
          <w:tcPr>
            <w:tcW w:w="1916" w:type="dxa"/>
          </w:tcPr>
          <w:p w14:paraId="4EBF80FF" w14:textId="77777777" w:rsidR="009316AC" w:rsidRDefault="009316AC" w:rsidP="00985F83">
            <w:pPr>
              <w:pStyle w:val="Tabletext"/>
            </w:pPr>
            <w:r w:rsidRPr="00A47869">
              <w:t>BAY 81-8973</w:t>
            </w:r>
            <w:r>
              <w:t xml:space="preserve"> (</w:t>
            </w:r>
            <w:proofErr w:type="spellStart"/>
            <w:r>
              <w:t>Kovaltry</w:t>
            </w:r>
            <w:proofErr w:type="spellEnd"/>
            <w:r>
              <w:t>)</w:t>
            </w:r>
          </w:p>
        </w:tc>
        <w:tc>
          <w:tcPr>
            <w:tcW w:w="1119" w:type="dxa"/>
          </w:tcPr>
          <w:p w14:paraId="23C4A010" w14:textId="77777777" w:rsidR="009316AC" w:rsidRDefault="009316AC" w:rsidP="00985F83">
            <w:pPr>
              <w:pStyle w:val="Tabletext"/>
            </w:pPr>
            <w:r>
              <w:t>Bayer Australia</w:t>
            </w:r>
          </w:p>
        </w:tc>
        <w:tc>
          <w:tcPr>
            <w:tcW w:w="1355" w:type="dxa"/>
          </w:tcPr>
          <w:p w14:paraId="493D4F18" w14:textId="77777777" w:rsidR="009316AC" w:rsidRDefault="009316AC" w:rsidP="00985F83">
            <w:pPr>
              <w:pStyle w:val="Tabletext"/>
            </w:pPr>
            <w:r>
              <w:t xml:space="preserve">Formulated with </w:t>
            </w:r>
            <w:r w:rsidRPr="00C10F1D">
              <w:t>Heat-Shock Protein (HSP) 70</w:t>
            </w:r>
          </w:p>
        </w:tc>
        <w:tc>
          <w:tcPr>
            <w:tcW w:w="2268" w:type="dxa"/>
          </w:tcPr>
          <w:p w14:paraId="501017EC" w14:textId="77777777" w:rsidR="009316AC" w:rsidRDefault="009316AC" w:rsidP="00985F83">
            <w:pPr>
              <w:pStyle w:val="Tabletext"/>
            </w:pPr>
            <w:r>
              <w:t>ARTG listings: 236280, 246793, 246794, 246795, 246796</w:t>
            </w:r>
          </w:p>
        </w:tc>
        <w:tc>
          <w:tcPr>
            <w:tcW w:w="2358" w:type="dxa"/>
          </w:tcPr>
          <w:p w14:paraId="14728829" w14:textId="77777777" w:rsidR="009316AC" w:rsidRDefault="009316AC" w:rsidP="00985F83">
            <w:pPr>
              <w:pStyle w:val="Tabletext"/>
            </w:pPr>
            <w:r>
              <w:t xml:space="preserve">Patients &gt;12 years old: 20 – </w:t>
            </w:r>
            <w:bookmarkStart w:id="5" w:name="_GoBack"/>
            <w:bookmarkEnd w:id="5"/>
            <w:r>
              <w:t>40 IU/kg 2 or 3 times per week</w:t>
            </w:r>
          </w:p>
          <w:p w14:paraId="08DE550E" w14:textId="77777777" w:rsidR="009316AC" w:rsidRDefault="009316AC" w:rsidP="00985F83">
            <w:pPr>
              <w:pStyle w:val="Tabletext"/>
            </w:pPr>
            <w:r>
              <w:t>Patients ≤12 years old: 25 – 50 IU/kg 2 or 4 x per week or every other day</w:t>
            </w:r>
          </w:p>
        </w:tc>
      </w:tr>
      <w:tr w:rsidR="009316AC" w14:paraId="7D6F34F9" w14:textId="77777777" w:rsidTr="00985F83">
        <w:trPr>
          <w:trHeight w:val="559"/>
        </w:trPr>
        <w:tc>
          <w:tcPr>
            <w:tcW w:w="1916" w:type="dxa"/>
            <w:vAlign w:val="center"/>
          </w:tcPr>
          <w:p w14:paraId="27A6644A" w14:textId="77777777" w:rsidR="009316AC" w:rsidRPr="00A47869" w:rsidRDefault="009316AC" w:rsidP="00985F83">
            <w:pPr>
              <w:pStyle w:val="Tabletext"/>
            </w:pPr>
            <w:r>
              <w:t>BAY 94-9027 (</w:t>
            </w:r>
            <w:proofErr w:type="spellStart"/>
            <w:r w:rsidRPr="004743A6">
              <w:t>Damoctocog</w:t>
            </w:r>
            <w:proofErr w:type="spellEnd"/>
            <w:r w:rsidRPr="004743A6">
              <w:t xml:space="preserve"> alfa </w:t>
            </w:r>
            <w:proofErr w:type="spellStart"/>
            <w:r w:rsidRPr="004743A6">
              <w:t>pegol</w:t>
            </w:r>
            <w:proofErr w:type="spellEnd"/>
            <w:r>
              <w:t>)</w:t>
            </w:r>
          </w:p>
        </w:tc>
        <w:tc>
          <w:tcPr>
            <w:tcW w:w="1119" w:type="dxa"/>
            <w:vAlign w:val="center"/>
          </w:tcPr>
          <w:p w14:paraId="35622D6C" w14:textId="77777777" w:rsidR="009316AC" w:rsidRDefault="009316AC" w:rsidP="00985F83">
            <w:pPr>
              <w:pStyle w:val="Tabletext"/>
            </w:pPr>
            <w:r>
              <w:t>Bayer Australia</w:t>
            </w:r>
          </w:p>
        </w:tc>
        <w:tc>
          <w:tcPr>
            <w:tcW w:w="1355" w:type="dxa"/>
            <w:vAlign w:val="center"/>
          </w:tcPr>
          <w:p w14:paraId="1275471A" w14:textId="77777777" w:rsidR="009316AC" w:rsidRDefault="009316AC" w:rsidP="00985F83">
            <w:pPr>
              <w:pStyle w:val="Tabletext"/>
            </w:pPr>
            <w:r>
              <w:t xml:space="preserve">Targeted </w:t>
            </w:r>
            <w:proofErr w:type="spellStart"/>
            <w:r>
              <w:t>PEGylation</w:t>
            </w:r>
            <w:proofErr w:type="spellEnd"/>
            <w:r>
              <w:t xml:space="preserve"> (60kDa)</w:t>
            </w:r>
          </w:p>
        </w:tc>
        <w:tc>
          <w:tcPr>
            <w:tcW w:w="2268" w:type="dxa"/>
          </w:tcPr>
          <w:p w14:paraId="38357322" w14:textId="77777777" w:rsidR="009316AC" w:rsidRPr="00193A64" w:rsidRDefault="009316AC" w:rsidP="00985F83">
            <w:pPr>
              <w:pStyle w:val="Tabletext"/>
            </w:pPr>
            <w:r w:rsidRPr="00193A64">
              <w:t>Not TGA registered.</w:t>
            </w:r>
          </w:p>
        </w:tc>
        <w:tc>
          <w:tcPr>
            <w:tcW w:w="2358" w:type="dxa"/>
          </w:tcPr>
          <w:p w14:paraId="758EAC26" w14:textId="77777777" w:rsidR="009316AC" w:rsidRPr="00193A64" w:rsidRDefault="009316AC" w:rsidP="00985F83">
            <w:pPr>
              <w:rPr>
                <w:b/>
                <w:szCs w:val="20"/>
              </w:rPr>
            </w:pPr>
            <w:r w:rsidRPr="00193A64">
              <w:rPr>
                <w:b/>
                <w:szCs w:val="20"/>
              </w:rPr>
              <w:t>-</w:t>
            </w:r>
          </w:p>
        </w:tc>
      </w:tr>
      <w:tr w:rsidR="009316AC" w14:paraId="5359A653" w14:textId="77777777" w:rsidTr="00985F83">
        <w:trPr>
          <w:trHeight w:val="559"/>
        </w:trPr>
        <w:tc>
          <w:tcPr>
            <w:tcW w:w="1916" w:type="dxa"/>
          </w:tcPr>
          <w:p w14:paraId="2E50285F" w14:textId="77777777" w:rsidR="009316AC" w:rsidRDefault="009316AC" w:rsidP="00985F83">
            <w:pPr>
              <w:pStyle w:val="Tabletext"/>
            </w:pPr>
            <w:r w:rsidRPr="00A47869">
              <w:t>CSL</w:t>
            </w:r>
            <w:r>
              <w:t xml:space="preserve"> 627 (</w:t>
            </w:r>
            <w:proofErr w:type="spellStart"/>
            <w:r>
              <w:t>Afstyla</w:t>
            </w:r>
            <w:proofErr w:type="spellEnd"/>
            <w:r>
              <w:t>)</w:t>
            </w:r>
          </w:p>
        </w:tc>
        <w:tc>
          <w:tcPr>
            <w:tcW w:w="1119" w:type="dxa"/>
          </w:tcPr>
          <w:p w14:paraId="54299E5A" w14:textId="77777777" w:rsidR="009316AC" w:rsidRDefault="009316AC" w:rsidP="00985F83">
            <w:pPr>
              <w:pStyle w:val="Tabletext"/>
            </w:pPr>
            <w:r>
              <w:t>CSL Behring</w:t>
            </w:r>
          </w:p>
        </w:tc>
        <w:tc>
          <w:tcPr>
            <w:tcW w:w="1355" w:type="dxa"/>
          </w:tcPr>
          <w:p w14:paraId="5BACB45E" w14:textId="77777777" w:rsidR="009316AC" w:rsidRDefault="009316AC" w:rsidP="00985F83">
            <w:pPr>
              <w:pStyle w:val="Tabletext"/>
            </w:pPr>
            <w:r>
              <w:t xml:space="preserve">Single-chain and increased </w:t>
            </w:r>
            <w:proofErr w:type="spellStart"/>
            <w:r>
              <w:t>vWF</w:t>
            </w:r>
            <w:proofErr w:type="spellEnd"/>
            <w:r>
              <w:t xml:space="preserve"> binding</w:t>
            </w:r>
          </w:p>
        </w:tc>
        <w:tc>
          <w:tcPr>
            <w:tcW w:w="2268" w:type="dxa"/>
          </w:tcPr>
          <w:p w14:paraId="0B90538B" w14:textId="77777777" w:rsidR="009316AC" w:rsidRDefault="009316AC" w:rsidP="00985F83">
            <w:pPr>
              <w:pStyle w:val="Tabletext"/>
            </w:pPr>
            <w:r>
              <w:t>ARTG listings</w:t>
            </w:r>
            <w:r w:rsidRPr="0043654D">
              <w:rPr>
                <w:szCs w:val="20"/>
              </w:rPr>
              <w:t>:</w:t>
            </w:r>
            <w:r>
              <w:rPr>
                <w:szCs w:val="20"/>
              </w:rPr>
              <w:t xml:space="preserve">  </w:t>
            </w:r>
            <w:r>
              <w:t>271638, 271637, 271636, 271635, 271634, 271633, 270335</w:t>
            </w:r>
          </w:p>
        </w:tc>
        <w:tc>
          <w:tcPr>
            <w:tcW w:w="2358" w:type="dxa"/>
          </w:tcPr>
          <w:p w14:paraId="3AE1A35C" w14:textId="77777777" w:rsidR="009316AC" w:rsidRDefault="009316AC" w:rsidP="00985F83">
            <w:pPr>
              <w:pStyle w:val="Tabletext"/>
            </w:pPr>
            <w:r>
              <w:t>Patients ≥12 years old: 20 – 50 IU/kg/2 or 3 x per week</w:t>
            </w:r>
          </w:p>
          <w:p w14:paraId="7D44CC2C" w14:textId="77777777" w:rsidR="009316AC" w:rsidRDefault="009316AC" w:rsidP="00985F83">
            <w:pPr>
              <w:pStyle w:val="Tabletext"/>
            </w:pPr>
            <w:r>
              <w:t xml:space="preserve">Patients &lt;12 years old: 30 – 50 IU/kg/2 or 3 </w:t>
            </w:r>
            <w:proofErr w:type="gramStart"/>
            <w:r>
              <w:t>x</w:t>
            </w:r>
            <w:proofErr w:type="gramEnd"/>
            <w:r>
              <w:t xml:space="preserve"> per week. More frequent or higher doses may be required </w:t>
            </w:r>
          </w:p>
        </w:tc>
      </w:tr>
      <w:tr w:rsidR="009316AC" w14:paraId="2DBA4A2C" w14:textId="77777777" w:rsidTr="00985F83">
        <w:trPr>
          <w:trHeight w:val="559"/>
        </w:trPr>
        <w:tc>
          <w:tcPr>
            <w:tcW w:w="1916" w:type="dxa"/>
            <w:vAlign w:val="center"/>
          </w:tcPr>
          <w:p w14:paraId="314E9F30" w14:textId="77777777" w:rsidR="009316AC" w:rsidRPr="00A47869" w:rsidRDefault="009316AC" w:rsidP="00985F83">
            <w:pPr>
              <w:pStyle w:val="Tabletext"/>
            </w:pPr>
            <w:r>
              <w:t>N8-GP (</w:t>
            </w:r>
            <w:proofErr w:type="spellStart"/>
            <w:r>
              <w:t>Turoctocog</w:t>
            </w:r>
            <w:proofErr w:type="spellEnd"/>
            <w:r>
              <w:t xml:space="preserve"> Alfa </w:t>
            </w:r>
            <w:proofErr w:type="spellStart"/>
            <w:r>
              <w:t>Pegol</w:t>
            </w:r>
            <w:proofErr w:type="spellEnd"/>
            <w:r>
              <w:t>)</w:t>
            </w:r>
          </w:p>
        </w:tc>
        <w:tc>
          <w:tcPr>
            <w:tcW w:w="1119" w:type="dxa"/>
            <w:vAlign w:val="center"/>
          </w:tcPr>
          <w:p w14:paraId="303DB088" w14:textId="77777777" w:rsidR="009316AC" w:rsidRDefault="009316AC" w:rsidP="00985F83">
            <w:pPr>
              <w:pStyle w:val="Tabletext"/>
            </w:pPr>
            <w:r>
              <w:t>Novo Nordisk</w:t>
            </w:r>
          </w:p>
        </w:tc>
        <w:tc>
          <w:tcPr>
            <w:tcW w:w="1355" w:type="dxa"/>
            <w:vAlign w:val="center"/>
          </w:tcPr>
          <w:p w14:paraId="49AA1ECF" w14:textId="77777777" w:rsidR="009316AC" w:rsidRDefault="009316AC" w:rsidP="00985F83">
            <w:pPr>
              <w:pStyle w:val="Tabletext"/>
            </w:pPr>
            <w:proofErr w:type="spellStart"/>
            <w:r>
              <w:t>Glyco-PEGylation</w:t>
            </w:r>
            <w:proofErr w:type="spellEnd"/>
            <w:r>
              <w:t xml:space="preserve"> (40kDa)</w:t>
            </w:r>
          </w:p>
        </w:tc>
        <w:tc>
          <w:tcPr>
            <w:tcW w:w="2268" w:type="dxa"/>
          </w:tcPr>
          <w:p w14:paraId="1E6CB707" w14:textId="77777777" w:rsidR="009316AC" w:rsidRDefault="009316AC" w:rsidP="00985F83">
            <w:pPr>
              <w:pStyle w:val="Tabletext"/>
            </w:pPr>
            <w:r>
              <w:t>Not TGA registered.</w:t>
            </w:r>
          </w:p>
        </w:tc>
        <w:tc>
          <w:tcPr>
            <w:tcW w:w="2358" w:type="dxa"/>
          </w:tcPr>
          <w:p w14:paraId="4BB65A7D" w14:textId="77777777" w:rsidR="009316AC" w:rsidRDefault="009316AC" w:rsidP="00985F83">
            <w:pPr>
              <w:pStyle w:val="Tabletext"/>
            </w:pPr>
            <w:r>
              <w:t>-</w:t>
            </w:r>
          </w:p>
        </w:tc>
      </w:tr>
      <w:tr w:rsidR="009316AC" w14:paraId="572DB79F" w14:textId="77777777" w:rsidTr="00985F83">
        <w:trPr>
          <w:trHeight w:val="559"/>
        </w:trPr>
        <w:tc>
          <w:tcPr>
            <w:tcW w:w="1916" w:type="dxa"/>
            <w:vAlign w:val="center"/>
          </w:tcPr>
          <w:p w14:paraId="5EBC4EE0" w14:textId="77777777" w:rsidR="009316AC" w:rsidRDefault="009316AC" w:rsidP="00985F83">
            <w:pPr>
              <w:pStyle w:val="Tabletext"/>
            </w:pPr>
            <w:proofErr w:type="spellStart"/>
            <w:r>
              <w:t>rFVIII</w:t>
            </w:r>
            <w:proofErr w:type="spellEnd"/>
            <w:r>
              <w:t>-Fc (</w:t>
            </w:r>
            <w:proofErr w:type="spellStart"/>
            <w:r>
              <w:t>Eloctate</w:t>
            </w:r>
            <w:proofErr w:type="spellEnd"/>
            <w:r>
              <w:t>)</w:t>
            </w:r>
          </w:p>
        </w:tc>
        <w:tc>
          <w:tcPr>
            <w:tcW w:w="1119" w:type="dxa"/>
            <w:vAlign w:val="center"/>
          </w:tcPr>
          <w:p w14:paraId="792ADFDB" w14:textId="1D511E4C" w:rsidR="009316AC" w:rsidRDefault="0008336C" w:rsidP="00985F83">
            <w:pPr>
              <w:pStyle w:val="Tabletext"/>
            </w:pPr>
            <w:proofErr w:type="spellStart"/>
            <w:r w:rsidRPr="0008336C">
              <w:t>Bioverativ</w:t>
            </w:r>
            <w:proofErr w:type="spellEnd"/>
            <w:r>
              <w:t xml:space="preserve"> Australia</w:t>
            </w:r>
          </w:p>
        </w:tc>
        <w:tc>
          <w:tcPr>
            <w:tcW w:w="1355" w:type="dxa"/>
            <w:vAlign w:val="center"/>
          </w:tcPr>
          <w:p w14:paraId="7CDAD7C1" w14:textId="77777777" w:rsidR="009316AC" w:rsidRDefault="009316AC" w:rsidP="00985F83">
            <w:pPr>
              <w:pStyle w:val="Tabletext"/>
            </w:pPr>
            <w:r>
              <w:t>Fc Fusion</w:t>
            </w:r>
          </w:p>
        </w:tc>
        <w:tc>
          <w:tcPr>
            <w:tcW w:w="2268" w:type="dxa"/>
          </w:tcPr>
          <w:p w14:paraId="72940969" w14:textId="77777777" w:rsidR="009316AC" w:rsidRDefault="009316AC" w:rsidP="00985F83">
            <w:pPr>
              <w:pStyle w:val="Tabletext"/>
            </w:pPr>
            <w:r>
              <w:t>ARTG listings</w:t>
            </w:r>
            <w:r w:rsidRPr="0043654D">
              <w:rPr>
                <w:szCs w:val="20"/>
              </w:rPr>
              <w:t>:</w:t>
            </w:r>
            <w:r>
              <w:rPr>
                <w:szCs w:val="20"/>
              </w:rPr>
              <w:t xml:space="preserve">  </w:t>
            </w:r>
            <w:r>
              <w:t>210525, 210524, 210523, 210522, 210521, 210520, 210519</w:t>
            </w:r>
          </w:p>
        </w:tc>
        <w:tc>
          <w:tcPr>
            <w:tcW w:w="2358" w:type="dxa"/>
          </w:tcPr>
          <w:p w14:paraId="3439FC8D" w14:textId="77777777" w:rsidR="009316AC" w:rsidRDefault="009316AC" w:rsidP="00985F83">
            <w:pPr>
              <w:pStyle w:val="Tabletext"/>
            </w:pPr>
            <w:r>
              <w:t>50 IU/kg every 3-5 days or 65 IU/kg/week</w:t>
            </w:r>
          </w:p>
          <w:p w14:paraId="2F9A8D5B" w14:textId="77777777" w:rsidR="009316AC" w:rsidRDefault="009316AC" w:rsidP="00985F83">
            <w:pPr>
              <w:pStyle w:val="Tabletext"/>
            </w:pPr>
            <w:r>
              <w:t>More frequent doses up to 80 IU/kg may be required in children &lt;12 years of age</w:t>
            </w:r>
          </w:p>
        </w:tc>
      </w:tr>
    </w:tbl>
    <w:p w14:paraId="0FEA2741" w14:textId="51D2F9F3" w:rsidR="009316AC" w:rsidRDefault="009316AC" w:rsidP="009316AC">
      <w:pPr>
        <w:rPr>
          <w:rFonts w:eastAsia="Times New Roman"/>
          <w:szCs w:val="20"/>
        </w:rPr>
      </w:pPr>
      <w:r>
        <w:rPr>
          <w:rFonts w:ascii="Arial Narrow" w:hAnsi="Arial Narrow"/>
          <w:sz w:val="18"/>
          <w:szCs w:val="18"/>
        </w:rPr>
        <w:t xml:space="preserve">ARTG: Australian Register of Therapeutic Goods; </w:t>
      </w:r>
      <w:r w:rsidR="00481D59">
        <w:rPr>
          <w:rFonts w:ascii="Arial Narrow" w:hAnsi="Arial Narrow"/>
          <w:sz w:val="18"/>
          <w:szCs w:val="18"/>
        </w:rPr>
        <w:t xml:space="preserve">IU = International Units; </w:t>
      </w:r>
      <w:r w:rsidRPr="007A626D">
        <w:rPr>
          <w:rFonts w:ascii="Arial Narrow" w:hAnsi="Arial Narrow"/>
          <w:sz w:val="18"/>
          <w:szCs w:val="18"/>
        </w:rPr>
        <w:t>PI = Product Information</w:t>
      </w:r>
      <w:r>
        <w:rPr>
          <w:rFonts w:ascii="Arial Narrow" w:hAnsi="Arial Narrow"/>
          <w:sz w:val="18"/>
          <w:szCs w:val="18"/>
        </w:rPr>
        <w:t>; TGA = Therapeutic Goods Administration</w:t>
      </w:r>
    </w:p>
    <w:p w14:paraId="18398631" w14:textId="77777777" w:rsidR="009316AC" w:rsidRDefault="009316AC" w:rsidP="009316AC">
      <w:pPr>
        <w:pStyle w:val="Caption"/>
      </w:pPr>
      <w:bookmarkStart w:id="6" w:name="_Ref495668269"/>
      <w:r>
        <w:lastRenderedPageBreak/>
        <w:t xml:space="preserve">Table </w:t>
      </w:r>
      <w:r>
        <w:fldChar w:fldCharType="begin"/>
      </w:r>
      <w:r>
        <w:instrText xml:space="preserve"> SEQ Table \* ARABIC </w:instrText>
      </w:r>
      <w:r>
        <w:fldChar w:fldCharType="separate"/>
      </w:r>
      <w:r w:rsidR="00205D92">
        <w:rPr>
          <w:noProof/>
        </w:rPr>
        <w:t>5</w:t>
      </w:r>
      <w:r>
        <w:rPr>
          <w:noProof/>
        </w:rPr>
        <w:fldChar w:fldCharType="end"/>
      </w:r>
      <w:bookmarkEnd w:id="6"/>
      <w:r>
        <w:tab/>
        <w:t>Extended half-life products for treating haemophilia B (FIX products)</w:t>
      </w:r>
    </w:p>
    <w:tbl>
      <w:tblPr>
        <w:tblStyle w:val="TableGrid"/>
        <w:tblW w:w="9016" w:type="dxa"/>
        <w:tblLook w:val="04A0" w:firstRow="1" w:lastRow="0" w:firstColumn="1" w:lastColumn="0" w:noHBand="0" w:noVBand="1"/>
        <w:tblCaption w:val="EHL products of haemophilia B"/>
        <w:tblDescription w:val="EHL products of haemophilia B"/>
      </w:tblPr>
      <w:tblGrid>
        <w:gridCol w:w="1916"/>
        <w:gridCol w:w="1119"/>
        <w:gridCol w:w="1355"/>
        <w:gridCol w:w="2268"/>
        <w:gridCol w:w="2358"/>
      </w:tblGrid>
      <w:tr w:rsidR="009316AC" w14:paraId="321B9515" w14:textId="77777777" w:rsidTr="00985F83">
        <w:trPr>
          <w:trHeight w:val="537"/>
          <w:tblHeader/>
        </w:trPr>
        <w:tc>
          <w:tcPr>
            <w:tcW w:w="1916" w:type="dxa"/>
          </w:tcPr>
          <w:p w14:paraId="71DDCC61" w14:textId="77777777" w:rsidR="009316AC" w:rsidRPr="008813C9" w:rsidRDefault="009316AC" w:rsidP="00985F83">
            <w:pPr>
              <w:pStyle w:val="Tableheader"/>
            </w:pPr>
            <w:r>
              <w:t>Product (trade/generic name)</w:t>
            </w:r>
          </w:p>
        </w:tc>
        <w:tc>
          <w:tcPr>
            <w:tcW w:w="1119" w:type="dxa"/>
          </w:tcPr>
          <w:p w14:paraId="64F6A97C" w14:textId="77777777" w:rsidR="009316AC" w:rsidRPr="008813C9" w:rsidRDefault="009316AC" w:rsidP="00985F83">
            <w:pPr>
              <w:pStyle w:val="Tableheader"/>
            </w:pPr>
            <w:r>
              <w:t>Company</w:t>
            </w:r>
          </w:p>
        </w:tc>
        <w:tc>
          <w:tcPr>
            <w:tcW w:w="1355" w:type="dxa"/>
          </w:tcPr>
          <w:p w14:paraId="65D0EAD0" w14:textId="77777777" w:rsidR="009316AC" w:rsidRPr="008813C9" w:rsidRDefault="009316AC" w:rsidP="00985F83">
            <w:pPr>
              <w:pStyle w:val="Tableheader"/>
            </w:pPr>
            <w:r>
              <w:t>Method of half-life extension</w:t>
            </w:r>
          </w:p>
        </w:tc>
        <w:tc>
          <w:tcPr>
            <w:tcW w:w="2268" w:type="dxa"/>
          </w:tcPr>
          <w:p w14:paraId="1ACD1591" w14:textId="77777777" w:rsidR="009316AC" w:rsidRDefault="009316AC" w:rsidP="00985F83">
            <w:pPr>
              <w:pStyle w:val="Tableheader"/>
            </w:pPr>
            <w:r>
              <w:t xml:space="preserve">TGA status </w:t>
            </w:r>
          </w:p>
        </w:tc>
        <w:tc>
          <w:tcPr>
            <w:tcW w:w="2358" w:type="dxa"/>
          </w:tcPr>
          <w:p w14:paraId="48C113A6" w14:textId="77777777" w:rsidR="009316AC" w:rsidRDefault="009316AC" w:rsidP="00985F83">
            <w:pPr>
              <w:pStyle w:val="Tableheader"/>
            </w:pPr>
            <w:r>
              <w:t>Prophylaxis regimen recommended in PI</w:t>
            </w:r>
          </w:p>
        </w:tc>
      </w:tr>
      <w:tr w:rsidR="009316AC" w14:paraId="6FD2CF3E" w14:textId="77777777" w:rsidTr="00985F83">
        <w:trPr>
          <w:trHeight w:val="559"/>
        </w:trPr>
        <w:tc>
          <w:tcPr>
            <w:tcW w:w="1916" w:type="dxa"/>
          </w:tcPr>
          <w:p w14:paraId="67330EEF" w14:textId="77777777" w:rsidR="009316AC" w:rsidRDefault="009316AC" w:rsidP="00985F83">
            <w:pPr>
              <w:pStyle w:val="Tabletext"/>
            </w:pPr>
            <w:bookmarkStart w:id="7" w:name="_Toc473544529"/>
            <w:r>
              <w:t>N9-GP (</w:t>
            </w:r>
            <w:proofErr w:type="spellStart"/>
            <w:r>
              <w:t>Refixia</w:t>
            </w:r>
            <w:proofErr w:type="spellEnd"/>
            <w:r>
              <w:t xml:space="preserve">® or </w:t>
            </w:r>
            <w:proofErr w:type="spellStart"/>
            <w:r>
              <w:t>Rebinyn</w:t>
            </w:r>
            <w:proofErr w:type="spellEnd"/>
            <w:r>
              <w:t xml:space="preserve">® </w:t>
            </w:r>
            <w:proofErr w:type="spellStart"/>
            <w:r>
              <w:t>Nonacog</w:t>
            </w:r>
            <w:proofErr w:type="spellEnd"/>
            <w:r>
              <w:t xml:space="preserve"> beta </w:t>
            </w:r>
            <w:proofErr w:type="spellStart"/>
            <w:r>
              <w:t>pegol</w:t>
            </w:r>
            <w:proofErr w:type="spellEnd"/>
            <w:r>
              <w:t>)</w:t>
            </w:r>
            <w:bookmarkEnd w:id="7"/>
          </w:p>
        </w:tc>
        <w:tc>
          <w:tcPr>
            <w:tcW w:w="1119" w:type="dxa"/>
          </w:tcPr>
          <w:p w14:paraId="2CD0CB88" w14:textId="77777777" w:rsidR="009316AC" w:rsidRDefault="009316AC" w:rsidP="00985F83">
            <w:pPr>
              <w:pStyle w:val="Tabletext"/>
            </w:pPr>
            <w:bookmarkStart w:id="8" w:name="_Toc473544530"/>
            <w:r>
              <w:t>Novo-Nordisk</w:t>
            </w:r>
            <w:bookmarkEnd w:id="8"/>
          </w:p>
        </w:tc>
        <w:tc>
          <w:tcPr>
            <w:tcW w:w="1355" w:type="dxa"/>
          </w:tcPr>
          <w:p w14:paraId="611CD8AD" w14:textId="77777777" w:rsidR="009316AC" w:rsidRDefault="009316AC" w:rsidP="00985F83">
            <w:pPr>
              <w:pStyle w:val="Tabletext"/>
            </w:pPr>
            <w:bookmarkStart w:id="9" w:name="_Toc473544531"/>
            <w:proofErr w:type="spellStart"/>
            <w:r>
              <w:t>Glyco-PEGylation</w:t>
            </w:r>
            <w:bookmarkEnd w:id="9"/>
            <w:proofErr w:type="spellEnd"/>
          </w:p>
        </w:tc>
        <w:tc>
          <w:tcPr>
            <w:tcW w:w="2268" w:type="dxa"/>
          </w:tcPr>
          <w:p w14:paraId="2AB14E80" w14:textId="77777777" w:rsidR="009316AC" w:rsidRDefault="009316AC" w:rsidP="00985F83">
            <w:pPr>
              <w:pStyle w:val="Tabletext"/>
            </w:pPr>
            <w:r>
              <w:t xml:space="preserve">Not TGA- registered </w:t>
            </w:r>
          </w:p>
          <w:p w14:paraId="6F1D3C52" w14:textId="77777777" w:rsidR="009316AC" w:rsidRDefault="009316AC" w:rsidP="00985F83">
            <w:pPr>
              <w:pStyle w:val="Tabletext"/>
            </w:pPr>
            <w:r>
              <w:t>FDA approved May 2017 for on-demand treatment and perioperative management of bleeding</w:t>
            </w:r>
          </w:p>
          <w:p w14:paraId="4F9FFBFE" w14:textId="0EC24AEA" w:rsidR="009316AC" w:rsidRDefault="0040031F" w:rsidP="00985F83">
            <w:pPr>
              <w:pStyle w:val="Tabletext"/>
            </w:pPr>
            <w:r>
              <w:t>EU approval 2 June 2017</w:t>
            </w:r>
          </w:p>
        </w:tc>
        <w:tc>
          <w:tcPr>
            <w:tcW w:w="2358" w:type="dxa"/>
          </w:tcPr>
          <w:p w14:paraId="01650306" w14:textId="77777777" w:rsidR="009316AC" w:rsidRDefault="009316AC" w:rsidP="00985F83">
            <w:pPr>
              <w:pStyle w:val="Tabletext"/>
            </w:pPr>
            <w:r>
              <w:t>Not currently indicated for prophylaxis by FDA</w:t>
            </w:r>
          </w:p>
          <w:p w14:paraId="47930FD2" w14:textId="2FABA499" w:rsidR="0040031F" w:rsidRDefault="0040031F" w:rsidP="00985F83">
            <w:pPr>
              <w:pStyle w:val="Tabletext"/>
            </w:pPr>
            <w:r>
              <w:t>In EU: indicated for treatment and prophylaxis in patients 12 years and older</w:t>
            </w:r>
          </w:p>
        </w:tc>
      </w:tr>
      <w:tr w:rsidR="009316AC" w14:paraId="7C4D24A2" w14:textId="77777777" w:rsidTr="00985F83">
        <w:trPr>
          <w:trHeight w:val="559"/>
        </w:trPr>
        <w:tc>
          <w:tcPr>
            <w:tcW w:w="1916" w:type="dxa"/>
          </w:tcPr>
          <w:p w14:paraId="05656334" w14:textId="77777777" w:rsidR="009316AC" w:rsidRDefault="009316AC" w:rsidP="00985F83">
            <w:pPr>
              <w:pStyle w:val="Tabletext"/>
            </w:pPr>
            <w:bookmarkStart w:id="10" w:name="_Toc473544532"/>
            <w:proofErr w:type="spellStart"/>
            <w:r>
              <w:t>rFIXFc</w:t>
            </w:r>
            <w:proofErr w:type="spellEnd"/>
            <w:r>
              <w:t xml:space="preserve"> (</w:t>
            </w:r>
            <w:proofErr w:type="spellStart"/>
            <w:r>
              <w:t>Alprolix</w:t>
            </w:r>
            <w:proofErr w:type="spellEnd"/>
            <w:r>
              <w:t>)</w:t>
            </w:r>
            <w:bookmarkEnd w:id="10"/>
          </w:p>
        </w:tc>
        <w:tc>
          <w:tcPr>
            <w:tcW w:w="1119" w:type="dxa"/>
          </w:tcPr>
          <w:p w14:paraId="1D9B881A" w14:textId="679A533C" w:rsidR="009316AC" w:rsidRDefault="0008336C" w:rsidP="00985F83">
            <w:pPr>
              <w:pStyle w:val="Tabletext"/>
            </w:pPr>
            <w:proofErr w:type="spellStart"/>
            <w:r w:rsidRPr="0008336C">
              <w:t>Bioverativ</w:t>
            </w:r>
            <w:proofErr w:type="spellEnd"/>
            <w:r>
              <w:t xml:space="preserve"> Australia</w:t>
            </w:r>
          </w:p>
        </w:tc>
        <w:tc>
          <w:tcPr>
            <w:tcW w:w="1355" w:type="dxa"/>
          </w:tcPr>
          <w:p w14:paraId="72C1087C" w14:textId="77777777" w:rsidR="009316AC" w:rsidRDefault="009316AC" w:rsidP="00985F83">
            <w:pPr>
              <w:pStyle w:val="Tabletext"/>
            </w:pPr>
            <w:bookmarkStart w:id="11" w:name="_Toc473544534"/>
            <w:r>
              <w:t>Fc Fusion</w:t>
            </w:r>
            <w:bookmarkEnd w:id="11"/>
          </w:p>
        </w:tc>
        <w:tc>
          <w:tcPr>
            <w:tcW w:w="2268" w:type="dxa"/>
          </w:tcPr>
          <w:p w14:paraId="726F8257" w14:textId="77777777" w:rsidR="009316AC" w:rsidRDefault="009316AC" w:rsidP="00985F83">
            <w:pPr>
              <w:pStyle w:val="Tabletext"/>
            </w:pPr>
            <w:r>
              <w:t>ARTG listings</w:t>
            </w:r>
            <w:r w:rsidRPr="0043654D">
              <w:rPr>
                <w:szCs w:val="20"/>
              </w:rPr>
              <w:t>:</w:t>
            </w:r>
            <w:r>
              <w:rPr>
                <w:szCs w:val="20"/>
              </w:rPr>
              <w:t xml:space="preserve">  </w:t>
            </w:r>
            <w:r>
              <w:t>209227, 209226, 209225, 209224, 209223</w:t>
            </w:r>
          </w:p>
        </w:tc>
        <w:tc>
          <w:tcPr>
            <w:tcW w:w="2358" w:type="dxa"/>
          </w:tcPr>
          <w:p w14:paraId="3AE84934" w14:textId="77777777" w:rsidR="009316AC" w:rsidRDefault="009316AC" w:rsidP="00985F83">
            <w:pPr>
              <w:pStyle w:val="Tabletext"/>
            </w:pPr>
            <w:r>
              <w:t>50 IU/kg/weekly or 100 IU/kg/10 days</w:t>
            </w:r>
          </w:p>
        </w:tc>
      </w:tr>
      <w:tr w:rsidR="009316AC" w14:paraId="0F29AFBF" w14:textId="77777777" w:rsidTr="00985F83">
        <w:trPr>
          <w:trHeight w:val="559"/>
        </w:trPr>
        <w:tc>
          <w:tcPr>
            <w:tcW w:w="1916" w:type="dxa"/>
          </w:tcPr>
          <w:p w14:paraId="36834567" w14:textId="77777777" w:rsidR="009316AC" w:rsidRDefault="009316AC" w:rsidP="00985F83">
            <w:pPr>
              <w:pStyle w:val="Tabletext"/>
            </w:pPr>
            <w:bookmarkStart w:id="12" w:name="_Toc473544535"/>
            <w:proofErr w:type="spellStart"/>
            <w:r>
              <w:t>rIX</w:t>
            </w:r>
            <w:proofErr w:type="spellEnd"/>
            <w:r>
              <w:t>-FP (</w:t>
            </w:r>
            <w:proofErr w:type="spellStart"/>
            <w:r>
              <w:t>Idelvion</w:t>
            </w:r>
            <w:proofErr w:type="spellEnd"/>
            <w:r>
              <w:t>)</w:t>
            </w:r>
            <w:bookmarkEnd w:id="12"/>
          </w:p>
        </w:tc>
        <w:tc>
          <w:tcPr>
            <w:tcW w:w="1119" w:type="dxa"/>
          </w:tcPr>
          <w:p w14:paraId="650A3F48" w14:textId="77777777" w:rsidR="009316AC" w:rsidRDefault="009316AC" w:rsidP="00985F83">
            <w:pPr>
              <w:pStyle w:val="Tabletext"/>
            </w:pPr>
            <w:bookmarkStart w:id="13" w:name="_Toc473544536"/>
            <w:r>
              <w:t>CSL Behring</w:t>
            </w:r>
            <w:bookmarkEnd w:id="13"/>
          </w:p>
        </w:tc>
        <w:tc>
          <w:tcPr>
            <w:tcW w:w="1355" w:type="dxa"/>
          </w:tcPr>
          <w:p w14:paraId="552A9634" w14:textId="77777777" w:rsidR="009316AC" w:rsidRDefault="009316AC" w:rsidP="00985F83">
            <w:pPr>
              <w:pStyle w:val="Tabletext"/>
            </w:pPr>
            <w:bookmarkStart w:id="14" w:name="_Toc473544537"/>
            <w:r>
              <w:t>Albumin Fusion</w:t>
            </w:r>
            <w:bookmarkEnd w:id="14"/>
          </w:p>
        </w:tc>
        <w:tc>
          <w:tcPr>
            <w:tcW w:w="2268" w:type="dxa"/>
          </w:tcPr>
          <w:p w14:paraId="5DD13C0E" w14:textId="77777777" w:rsidR="009316AC" w:rsidRDefault="009316AC" w:rsidP="00985F83">
            <w:pPr>
              <w:pStyle w:val="Tabletext"/>
            </w:pPr>
            <w:r>
              <w:t>ARTG listings</w:t>
            </w:r>
            <w:r w:rsidRPr="0043654D">
              <w:rPr>
                <w:szCs w:val="20"/>
              </w:rPr>
              <w:t>:</w:t>
            </w:r>
            <w:r>
              <w:rPr>
                <w:szCs w:val="20"/>
              </w:rPr>
              <w:t xml:space="preserve">  </w:t>
            </w:r>
            <w:r>
              <w:t>259940, 259939, 259938, 255552</w:t>
            </w:r>
          </w:p>
        </w:tc>
        <w:tc>
          <w:tcPr>
            <w:tcW w:w="2358" w:type="dxa"/>
          </w:tcPr>
          <w:p w14:paraId="3EF9C5E5" w14:textId="77777777" w:rsidR="009316AC" w:rsidRDefault="009316AC" w:rsidP="00985F83">
            <w:pPr>
              <w:pStyle w:val="Tabletext"/>
            </w:pPr>
            <w:r>
              <w:t>Patients ≥12 years old: 25-40 IU/kg/weekly or 50-75 IU/kg/14 days</w:t>
            </w:r>
          </w:p>
        </w:tc>
      </w:tr>
    </w:tbl>
    <w:p w14:paraId="22711E59" w14:textId="0DD0F9B2" w:rsidR="009316AC" w:rsidRDefault="009316AC" w:rsidP="00344FF7">
      <w:pPr>
        <w:rPr>
          <w:rFonts w:eastAsia="Times New Roman"/>
          <w:szCs w:val="20"/>
        </w:rPr>
      </w:pPr>
      <w:r>
        <w:rPr>
          <w:rFonts w:ascii="Arial Narrow" w:hAnsi="Arial Narrow"/>
          <w:sz w:val="18"/>
          <w:szCs w:val="18"/>
        </w:rPr>
        <w:t xml:space="preserve">ARTG: Australian Register of Therapeutic Goods; EMA = European Medicines Agency; FDA = Food and Drug Administration (United States); </w:t>
      </w:r>
      <w:r w:rsidR="00481D59">
        <w:rPr>
          <w:rFonts w:ascii="Arial Narrow" w:hAnsi="Arial Narrow"/>
          <w:sz w:val="18"/>
          <w:szCs w:val="18"/>
        </w:rPr>
        <w:t xml:space="preserve">IU = International Units; </w:t>
      </w:r>
      <w:r w:rsidRPr="007A626D">
        <w:rPr>
          <w:rFonts w:ascii="Arial Narrow" w:hAnsi="Arial Narrow"/>
          <w:sz w:val="18"/>
          <w:szCs w:val="18"/>
        </w:rPr>
        <w:t>PI = Product Information</w:t>
      </w:r>
      <w:r>
        <w:rPr>
          <w:rFonts w:ascii="Arial Narrow" w:hAnsi="Arial Narrow"/>
          <w:sz w:val="18"/>
          <w:szCs w:val="18"/>
        </w:rPr>
        <w:t>; TGA = Therapeutic Goods Administration</w:t>
      </w:r>
    </w:p>
    <w:p w14:paraId="638E2A39" w14:textId="5C1CA69B" w:rsidR="005C0758" w:rsidRDefault="00F97926" w:rsidP="000A34B6">
      <w:pPr>
        <w:rPr>
          <w:rFonts w:eastAsia="Times New Roman"/>
          <w:szCs w:val="20"/>
        </w:rPr>
      </w:pPr>
      <w:r>
        <w:t>I</w:t>
      </w:r>
      <w:r w:rsidRPr="00F97926">
        <w:t>n practice</w:t>
      </w:r>
      <w:r>
        <w:t>,</w:t>
      </w:r>
      <w:r w:rsidRPr="00F97926">
        <w:t xml:space="preserve"> clotting factor products are generally prescribed by specialist haematologists</w:t>
      </w:r>
      <w:r w:rsidR="00DB1A36">
        <w:rPr>
          <w:rFonts w:eastAsia="Times New Roman"/>
          <w:szCs w:val="20"/>
        </w:rPr>
        <w:t xml:space="preserve">. </w:t>
      </w:r>
      <w:r w:rsidR="00B53F56">
        <w:rPr>
          <w:rFonts w:eastAsia="Times New Roman"/>
          <w:szCs w:val="20"/>
        </w:rPr>
        <w:t xml:space="preserve">Different </w:t>
      </w:r>
      <w:r w:rsidR="005C0758">
        <w:rPr>
          <w:rFonts w:eastAsia="Times New Roman"/>
          <w:szCs w:val="20"/>
        </w:rPr>
        <w:t>type</w:t>
      </w:r>
      <w:r w:rsidR="00B53F56">
        <w:rPr>
          <w:rFonts w:eastAsia="Times New Roman"/>
          <w:szCs w:val="20"/>
        </w:rPr>
        <w:t>s of treatment regimens may be given</w:t>
      </w:r>
      <w:r w:rsidR="00E42297">
        <w:rPr>
          <w:rFonts w:eastAsia="Times New Roman"/>
          <w:szCs w:val="20"/>
        </w:rPr>
        <w:t>, depending on the patient</w:t>
      </w:r>
      <w:r>
        <w:rPr>
          <w:rFonts w:eastAsia="Times New Roman"/>
          <w:szCs w:val="20"/>
        </w:rPr>
        <w:t>’</w:t>
      </w:r>
      <w:r w:rsidR="00E42297">
        <w:rPr>
          <w:rFonts w:eastAsia="Times New Roman"/>
          <w:szCs w:val="20"/>
        </w:rPr>
        <w:t>s bleeding phenotype, disease severity, patient choice or preferenc</w:t>
      </w:r>
      <w:r w:rsidR="00712F51">
        <w:rPr>
          <w:rFonts w:eastAsia="Times New Roman"/>
          <w:szCs w:val="20"/>
        </w:rPr>
        <w:t>e, adherence, or other factors</w:t>
      </w:r>
      <w:r w:rsidR="00344FF7">
        <w:rPr>
          <w:rFonts w:eastAsia="Times New Roman"/>
          <w:szCs w:val="20"/>
        </w:rPr>
        <w:t xml:space="preserve">. </w:t>
      </w:r>
      <w:r w:rsidR="00D10984" w:rsidRPr="00DE43BA">
        <w:rPr>
          <w:rFonts w:eastAsia="Times New Roman"/>
          <w:szCs w:val="20"/>
        </w:rPr>
        <w:t xml:space="preserve">In patients with severe haemophilia, the </w:t>
      </w:r>
      <w:r w:rsidR="000A68F3">
        <w:rPr>
          <w:rFonts w:eastAsia="Times New Roman"/>
          <w:szCs w:val="20"/>
        </w:rPr>
        <w:t xml:space="preserve">standard of care </w:t>
      </w:r>
      <w:r w:rsidR="00D10984" w:rsidRPr="00DE43BA">
        <w:rPr>
          <w:rFonts w:eastAsia="Times New Roman"/>
          <w:szCs w:val="20"/>
        </w:rPr>
        <w:t xml:space="preserve">is </w:t>
      </w:r>
      <w:r w:rsidR="000A68F3">
        <w:rPr>
          <w:rFonts w:eastAsia="Times New Roman"/>
          <w:szCs w:val="20"/>
        </w:rPr>
        <w:t xml:space="preserve">primary </w:t>
      </w:r>
      <w:r w:rsidR="00D10984" w:rsidRPr="00DE43BA">
        <w:rPr>
          <w:rFonts w:eastAsia="Times New Roman"/>
          <w:szCs w:val="20"/>
        </w:rPr>
        <w:t>prophylaxis with regular infusions of factor VIII or fact</w:t>
      </w:r>
      <w:r w:rsidR="000A68F3">
        <w:rPr>
          <w:rFonts w:eastAsia="Times New Roman"/>
          <w:szCs w:val="20"/>
        </w:rPr>
        <w:t xml:space="preserve">or IX containing products. </w:t>
      </w:r>
      <w:r w:rsidR="00D10984" w:rsidRPr="00DE43BA">
        <w:rPr>
          <w:rFonts w:eastAsia="Times New Roman"/>
          <w:szCs w:val="20"/>
        </w:rPr>
        <w:t xml:space="preserve">An alternative style of treatment is “on-demand”, administering clotting factors only after bleeds appear. </w:t>
      </w:r>
    </w:p>
    <w:p w14:paraId="08B04974" w14:textId="173FC147" w:rsidR="006B7BA5" w:rsidRDefault="00370C90" w:rsidP="000A34B6">
      <w:pPr>
        <w:rPr>
          <w:rFonts w:eastAsia="Times New Roman"/>
          <w:szCs w:val="20"/>
        </w:rPr>
      </w:pPr>
      <w:r>
        <w:rPr>
          <w:rFonts w:eastAsia="Times New Roman"/>
          <w:szCs w:val="20"/>
        </w:rPr>
        <w:t xml:space="preserve">It is assumed that patients currently receiving standard </w:t>
      </w:r>
      <w:r w:rsidR="00DB1A36">
        <w:rPr>
          <w:rFonts w:eastAsia="Times New Roman"/>
          <w:szCs w:val="20"/>
        </w:rPr>
        <w:t>half-life</w:t>
      </w:r>
      <w:r>
        <w:rPr>
          <w:rFonts w:eastAsia="Times New Roman"/>
          <w:szCs w:val="20"/>
        </w:rPr>
        <w:t xml:space="preserve"> (SHL) clotting factors prophylactically would continue on a prophylactic regimen if they </w:t>
      </w:r>
      <w:r w:rsidR="00FF2C42">
        <w:rPr>
          <w:rFonts w:eastAsia="Times New Roman"/>
          <w:szCs w:val="20"/>
        </w:rPr>
        <w:t xml:space="preserve">were to </w:t>
      </w:r>
      <w:r>
        <w:rPr>
          <w:rFonts w:eastAsia="Times New Roman"/>
          <w:szCs w:val="20"/>
        </w:rPr>
        <w:t>swap to an EHL product. However, some patients currently on an on-demand regimen are expected to swap to a prophylactic regimen if EHL products become available (based on what occurred within trial settings internationally).</w:t>
      </w:r>
      <w:r w:rsidR="00E42297">
        <w:rPr>
          <w:rFonts w:eastAsia="Times New Roman"/>
          <w:szCs w:val="20"/>
        </w:rPr>
        <w:t xml:space="preserve"> </w:t>
      </w:r>
    </w:p>
    <w:p w14:paraId="067ADD45" w14:textId="276B80BE" w:rsidR="00650C64" w:rsidRDefault="00650C64" w:rsidP="00650C64">
      <w:pPr>
        <w:spacing w:after="0"/>
      </w:pPr>
      <w:r>
        <w:rPr>
          <w:rFonts w:eastAsia="Times New Roman"/>
          <w:szCs w:val="20"/>
        </w:rPr>
        <w:t xml:space="preserve">The EHL products currently listed on the </w:t>
      </w:r>
      <w:r w:rsidR="00AF0FE5">
        <w:rPr>
          <w:rFonts w:eastAsia="Times New Roman"/>
          <w:szCs w:val="20"/>
        </w:rPr>
        <w:t>Australian Register of Therapeutic Goods (</w:t>
      </w:r>
      <w:r>
        <w:rPr>
          <w:rFonts w:eastAsia="Times New Roman"/>
          <w:szCs w:val="20"/>
        </w:rPr>
        <w:t>ARTG</w:t>
      </w:r>
      <w:r w:rsidR="00AF0FE5">
        <w:rPr>
          <w:rFonts w:eastAsia="Times New Roman"/>
          <w:szCs w:val="20"/>
        </w:rPr>
        <w:t>)</w:t>
      </w:r>
      <w:r>
        <w:rPr>
          <w:rFonts w:eastAsia="Times New Roman"/>
          <w:szCs w:val="20"/>
        </w:rPr>
        <w:t xml:space="preserve"> are indicated for </w:t>
      </w:r>
      <w:r>
        <w:t xml:space="preserve">adults and children with haemophilia A and B for: </w:t>
      </w:r>
    </w:p>
    <w:p w14:paraId="3287556B" w14:textId="77777777" w:rsidR="00650C64" w:rsidRDefault="00650C64" w:rsidP="00650C64">
      <w:pPr>
        <w:pStyle w:val="ListParagraph"/>
        <w:numPr>
          <w:ilvl w:val="0"/>
          <w:numId w:val="18"/>
        </w:numPr>
        <w:spacing w:after="0" w:line="240" w:lineRule="auto"/>
      </w:pPr>
      <w:r>
        <w:t>Control and prevention of bleeding episodes</w:t>
      </w:r>
    </w:p>
    <w:p w14:paraId="0CE4A9F0" w14:textId="77777777" w:rsidR="00650C64" w:rsidRDefault="00650C64" w:rsidP="00650C64">
      <w:pPr>
        <w:pStyle w:val="ListParagraph"/>
        <w:numPr>
          <w:ilvl w:val="0"/>
          <w:numId w:val="18"/>
        </w:numPr>
        <w:spacing w:after="0" w:line="240" w:lineRule="auto"/>
      </w:pPr>
      <w:r>
        <w:t xml:space="preserve">Routine prophylaxis to prevent or reduce the frequency of bleeding episodes </w:t>
      </w:r>
    </w:p>
    <w:p w14:paraId="667C9F6E" w14:textId="21EDD81F" w:rsidR="00650C64" w:rsidRDefault="00650C64" w:rsidP="00DB1A36">
      <w:pPr>
        <w:pStyle w:val="ListParagraph"/>
        <w:numPr>
          <w:ilvl w:val="0"/>
          <w:numId w:val="18"/>
        </w:numPr>
        <w:spacing w:after="0" w:line="240" w:lineRule="auto"/>
      </w:pPr>
      <w:r>
        <w:t>Perioperative management (surgical prophylaxis)</w:t>
      </w:r>
    </w:p>
    <w:p w14:paraId="058A01BA" w14:textId="314CB997" w:rsidR="00193A64" w:rsidRPr="00193A64" w:rsidRDefault="00650C64" w:rsidP="00D10984">
      <w:pPr>
        <w:rPr>
          <w:szCs w:val="20"/>
        </w:rPr>
      </w:pPr>
      <w:r>
        <w:t xml:space="preserve">They are not indicated for the treatment of von </w:t>
      </w:r>
      <w:proofErr w:type="spellStart"/>
      <w:r>
        <w:t>Willebrand</w:t>
      </w:r>
      <w:proofErr w:type="spellEnd"/>
      <w:r>
        <w:t xml:space="preserve"> disease.</w:t>
      </w:r>
    </w:p>
    <w:p w14:paraId="0AFF7D69" w14:textId="3C88E44B" w:rsidR="00650C64" w:rsidRPr="00193A64" w:rsidRDefault="002C4DD5" w:rsidP="00D10984">
      <w:pPr>
        <w:rPr>
          <w:rFonts w:eastAsia="Times New Roman"/>
          <w:szCs w:val="20"/>
        </w:rPr>
      </w:pPr>
      <w:r>
        <w:rPr>
          <w:rFonts w:eastAsia="Times New Roman"/>
          <w:szCs w:val="20"/>
        </w:rPr>
        <w:t xml:space="preserve">Very little research has been </w:t>
      </w:r>
      <w:r w:rsidR="00193A64">
        <w:rPr>
          <w:rFonts w:eastAsia="Times New Roman"/>
          <w:szCs w:val="20"/>
        </w:rPr>
        <w:t>published</w:t>
      </w:r>
      <w:r>
        <w:rPr>
          <w:rFonts w:eastAsia="Times New Roman"/>
          <w:szCs w:val="20"/>
        </w:rPr>
        <w:t xml:space="preserve"> on the use of EHL products in patients with </w:t>
      </w:r>
      <w:r w:rsidR="00193A64">
        <w:rPr>
          <w:rFonts w:eastAsia="Times New Roman"/>
          <w:szCs w:val="20"/>
        </w:rPr>
        <w:t xml:space="preserve">active </w:t>
      </w:r>
      <w:r>
        <w:rPr>
          <w:rFonts w:eastAsia="Times New Roman"/>
          <w:szCs w:val="20"/>
        </w:rPr>
        <w:t>inhibitors</w:t>
      </w:r>
      <w:r w:rsidR="00193A64">
        <w:rPr>
          <w:rFonts w:eastAsia="Times New Roman"/>
          <w:szCs w:val="20"/>
        </w:rPr>
        <w:t xml:space="preserve"> or a history of inhibitors</w:t>
      </w:r>
      <w:r w:rsidR="00DB1A36">
        <w:rPr>
          <w:rFonts w:eastAsia="Times New Roman"/>
          <w:szCs w:val="20"/>
        </w:rPr>
        <w:t xml:space="preserve"> against clotting factors VIII or IX</w:t>
      </w:r>
      <w:r>
        <w:rPr>
          <w:rFonts w:eastAsia="Times New Roman"/>
          <w:szCs w:val="20"/>
        </w:rPr>
        <w:t xml:space="preserve">. </w:t>
      </w:r>
      <w:r w:rsidR="00193A64">
        <w:rPr>
          <w:rFonts w:eastAsia="Times New Roman"/>
          <w:szCs w:val="20"/>
        </w:rPr>
        <w:t>However, some patients with active inhibitors may undergo immune tolerance induction (tolerisation) with the relevant clotting factor, and EHL products would be used in the same manner as SHL products for this purpose.</w:t>
      </w:r>
    </w:p>
    <w:p w14:paraId="3058DEE2" w14:textId="0F7F3BD2" w:rsidR="00AF0FE5" w:rsidRPr="00DC25BC" w:rsidRDefault="00AF0FE5" w:rsidP="00AF0FE5">
      <w:r>
        <w:rPr>
          <w:rFonts w:eastAsia="Times New Roman"/>
          <w:szCs w:val="20"/>
        </w:rPr>
        <w:t xml:space="preserve">The EHL </w:t>
      </w:r>
      <w:r w:rsidR="009316AC">
        <w:rPr>
          <w:rFonts w:eastAsia="Times New Roman"/>
          <w:szCs w:val="20"/>
        </w:rPr>
        <w:t>products</w:t>
      </w:r>
      <w:r>
        <w:rPr>
          <w:rFonts w:eastAsia="Times New Roman"/>
          <w:szCs w:val="20"/>
        </w:rPr>
        <w:t xml:space="preserve"> come as a powder in single-use vials, which is reconstituted with a diluent (sterile water), and administered intravenously. EHL treatments are administered in the same manner as SHL treatments, although at a reduced frequency. Treatment is predominantly administered at home. The AHCDO guidelines for treating haemophilia state that: </w:t>
      </w:r>
      <w:r w:rsidRPr="00A0665C">
        <w:rPr>
          <w:rFonts w:eastAsia="Times New Roman"/>
          <w:i/>
          <w:szCs w:val="20"/>
        </w:rPr>
        <w:t>“Where appropriate and possible, people with haemophilia should be managed in a home therapy setting”</w:t>
      </w:r>
      <w:r>
        <w:rPr>
          <w:rFonts w:eastAsia="Times New Roman"/>
          <w:i/>
          <w:szCs w:val="20"/>
        </w:rPr>
        <w:t xml:space="preserve"> </w:t>
      </w:r>
      <w:r w:rsidR="00284F1F">
        <w:rPr>
          <w:rFonts w:eastAsia="Times New Roman"/>
          <w:szCs w:val="20"/>
        </w:rPr>
        <w:fldChar w:fldCharType="begin"/>
      </w:r>
      <w:r w:rsidR="00284F1F">
        <w:rPr>
          <w:rFonts w:eastAsia="Times New Roman"/>
          <w:szCs w:val="20"/>
        </w:rPr>
        <w:instrText xml:space="preserve"> ADDIN EN.CITE &lt;EndNote&gt;&lt;Cite&gt;&lt;Author&gt;Australian Haemophilia Centre Directors&amp;apos; Organisation&lt;/Author&gt;&lt;Year&gt;2016&lt;/Year&gt;&lt;RecNum&gt;5&lt;/RecNum&gt;&lt;DisplayText&gt;(Australian Haemophilia Centre Directors&amp;apos; Organisation 2016)&lt;/DisplayText&gt;&lt;record&gt;&lt;rec-number&gt;5&lt;/rec-number&gt;&lt;foreign-keys&gt;&lt;key app="EN" db-id="05dfrv5t4ppa58ep50ixt0zyxesew55t555a" timestamp="1507869959"&gt;5&lt;/key&gt;&lt;/foreign-keys&gt;&lt;ref-type name="Web Page"&gt;12&lt;/ref-type&gt;&lt;contributors&gt;&lt;authors&gt;&lt;author&gt;Australian Haemophilia Centre Directors&amp;apos; Organisation,&lt;/author&gt;&lt;/authors&gt;&lt;/contributors&gt;&lt;titles&gt;&lt;title&gt;Guidelines for the management of haemophilia in Australia&lt;/title&gt;&lt;/titles&gt;&lt;dates&gt;&lt;year&gt;2016&lt;/year&gt;&lt;/dates&gt;&lt;urls&gt;&lt;related-urls&gt;&lt;url&gt;https://www.blood.gov.au/system/files/HaemophiliaGuidelines-interactive-updated-260317v2.pdf&lt;/url&gt;&lt;/related-urls&gt;&lt;/urls&gt;&lt;/record&gt;&lt;/Cite&gt;&lt;/EndNote&gt;</w:instrText>
      </w:r>
      <w:r w:rsidR="00284F1F">
        <w:rPr>
          <w:rFonts w:eastAsia="Times New Roman"/>
          <w:szCs w:val="20"/>
        </w:rPr>
        <w:fldChar w:fldCharType="separate"/>
      </w:r>
      <w:r w:rsidR="00284F1F">
        <w:rPr>
          <w:rFonts w:eastAsia="Times New Roman"/>
          <w:noProof/>
          <w:szCs w:val="20"/>
        </w:rPr>
        <w:t>(Australian Haemophilia Centre Directors' Organisation 2016)</w:t>
      </w:r>
      <w:r w:rsidR="00284F1F">
        <w:rPr>
          <w:rFonts w:eastAsia="Times New Roman"/>
          <w:szCs w:val="20"/>
        </w:rPr>
        <w:fldChar w:fldCharType="end"/>
      </w:r>
      <w:r>
        <w:rPr>
          <w:rFonts w:eastAsia="Times New Roman"/>
          <w:szCs w:val="20"/>
        </w:rPr>
        <w:t xml:space="preserve">. </w:t>
      </w:r>
      <w:r>
        <w:t xml:space="preserve">Dosing should be determined and coordinated by a </w:t>
      </w:r>
      <w:r>
        <w:lastRenderedPageBreak/>
        <w:t xml:space="preserve">haemophilia treatment centre </w:t>
      </w:r>
      <w:r w:rsidR="00284F1F">
        <w:fldChar w:fldCharType="begin"/>
      </w:r>
      <w:r w:rsidR="00284F1F">
        <w:instrText xml:space="preserve"> ADDIN EN.CITE &lt;EndNote&gt;&lt;Cite&gt;&lt;Author&gt;Australian Haemophilia Centre Directors&amp;apos; Organisation&lt;/Author&gt;&lt;Year&gt;2016&lt;/Year&gt;&lt;RecNum&gt;5&lt;/RecNum&gt;&lt;DisplayText&gt;(Australian Haemophilia Centre Directors&amp;apos; Organisation 2016)&lt;/DisplayText&gt;&lt;record&gt;&lt;rec-number&gt;5&lt;/rec-number&gt;&lt;foreign-keys&gt;&lt;key app="EN" db-id="05dfrv5t4ppa58ep50ixt0zyxesew55t555a" timestamp="1507869959"&gt;5&lt;/key&gt;&lt;/foreign-keys&gt;&lt;ref-type name="Web Page"&gt;12&lt;/ref-type&gt;&lt;contributors&gt;&lt;authors&gt;&lt;author&gt;Australian Haemophilia Centre Directors&amp;apos; Organisation,&lt;/author&gt;&lt;/authors&gt;&lt;/contributors&gt;&lt;titles&gt;&lt;title&gt;Guidelines for the management of haemophilia in Australia&lt;/title&gt;&lt;/titles&gt;&lt;dates&gt;&lt;year&gt;2016&lt;/year&gt;&lt;/dates&gt;&lt;urls&gt;&lt;related-urls&gt;&lt;url&gt;https://www.blood.gov.au/system/files/HaemophiliaGuidelines-interactive-updated-260317v2.pdf&lt;/url&gt;&lt;/related-urls&gt;&lt;/urls&gt;&lt;/record&gt;&lt;/Cite&gt;&lt;/EndNote&gt;</w:instrText>
      </w:r>
      <w:r w:rsidR="00284F1F">
        <w:fldChar w:fldCharType="separate"/>
      </w:r>
      <w:r w:rsidR="00284F1F">
        <w:rPr>
          <w:noProof/>
        </w:rPr>
        <w:t>(Australian Haemophilia Centre Directors' Organisation 2016)</w:t>
      </w:r>
      <w:r w:rsidR="00284F1F">
        <w:fldChar w:fldCharType="end"/>
      </w:r>
      <w:r>
        <w:t xml:space="preserve">. Alternatively, haematologists, haemophilia nurses, or general practitioners may administer treatment. In cases of severe bleeding, patients would be treated in a Haemophilia Treatment Centre, or an emergency department. </w:t>
      </w:r>
    </w:p>
    <w:p w14:paraId="34A0B8AC" w14:textId="488D765B" w:rsidR="00FF5347" w:rsidRPr="003B55E3" w:rsidRDefault="00AF0FE5">
      <w:pPr>
        <w:rPr>
          <w:rFonts w:eastAsia="Times New Roman"/>
          <w:szCs w:val="20"/>
        </w:rPr>
      </w:pPr>
      <w:r>
        <w:rPr>
          <w:rFonts w:eastAsia="Times New Roman"/>
          <w:szCs w:val="20"/>
        </w:rPr>
        <w:t xml:space="preserve">EHL FVIII and IX products are currently available in Australia through participation in company clinical trials </w:t>
      </w:r>
      <w:r w:rsidR="00284F1F">
        <w:fldChar w:fldCharType="begin"/>
      </w:r>
      <w:r w:rsidR="00284F1F">
        <w:instrText xml:space="preserve"> ADDIN EN.CITE &lt;EndNote&gt;&lt;Cite&gt;&lt;Author&gt;National Blood Authority&lt;/Author&gt;&lt;Year&gt;2017&lt;/Year&gt;&lt;RecNum&gt;3&lt;/RecNum&gt;&lt;DisplayText&gt;(National Blood Authority 2017a)&lt;/DisplayText&gt;&lt;record&gt;&lt;rec-number&gt;3&lt;/rec-number&gt;&lt;foreign-keys&gt;&lt;key app="EN" db-id="05dfrv5t4ppa58ep50ixt0zyxesew55t555a" timestamp="1507849060"&gt;3&lt;/key&gt;&lt;/foreign-keys&gt;&lt;ref-type name="Web Page"&gt;12&lt;/ref-type&gt;&lt;contributors&gt;&lt;authors&gt;&lt;author&gt;National Blood Authority,&lt;/author&gt;&lt;/authors&gt;&lt;/contributors&gt;&lt;titles&gt;&lt;title&gt;Australian Bleeding Disorders Registry (ABDR) Annual Report 2015-16&lt;/title&gt;&lt;/titles&gt;&lt;dates&gt;&lt;year&gt;2017&lt;/year&gt;&lt;/dates&gt;&lt;urls&gt;&lt;related-urls&gt;&lt;url&gt;https://www.blood.gov.au/system/files/abdr-annual-report-2015-16-final.pdf&lt;/url&gt;&lt;/related-urls&gt;&lt;/urls&gt;&lt;/record&gt;&lt;/Cite&gt;&lt;/EndNote&gt;</w:instrText>
      </w:r>
      <w:r w:rsidR="00284F1F">
        <w:fldChar w:fldCharType="separate"/>
      </w:r>
      <w:r w:rsidR="00284F1F">
        <w:rPr>
          <w:noProof/>
        </w:rPr>
        <w:t>(National Blood Authority 2017a)</w:t>
      </w:r>
      <w:r w:rsidR="00284F1F">
        <w:fldChar w:fldCharType="end"/>
      </w:r>
      <w:r>
        <w:t xml:space="preserve">, but are not part of the NBA supply arrangement </w:t>
      </w:r>
      <w:r w:rsidR="00284F1F">
        <w:fldChar w:fldCharType="begin"/>
      </w:r>
      <w:r w:rsidR="00284F1F">
        <w:instrText xml:space="preserve"> ADDIN EN.CITE &lt;EndNote&gt;&lt;Cite&gt;&lt;Author&gt;National Blood Authority&lt;/Author&gt;&lt;Year&gt;2017&lt;/Year&gt;&lt;RecNum&gt;4&lt;/RecNum&gt;&lt;DisplayText&gt;(National Blood Authority 2017b)&lt;/DisplayText&gt;&lt;record&gt;&lt;rec-number&gt;4&lt;/rec-number&gt;&lt;foreign-keys&gt;&lt;key app="EN" db-id="05dfrv5t4ppa58ep50ixt0zyxesew55t555a" timestamp="1507867039"&gt;4&lt;/key&gt;&lt;/foreign-keys&gt;&lt;ref-type name="Web Page"&gt;12&lt;/ref-type&gt;&lt;contributors&gt;&lt;authors&gt;&lt;author&gt;National Blood Authority,&lt;/author&gt;&lt;/authors&gt;&lt;/contributors&gt;&lt;titles&gt;&lt;title&gt;Supply of plasma derived and recombinant blood products&lt;/title&gt;&lt;/titles&gt;&lt;dates&gt;&lt;year&gt;2017&lt;/year&gt;&lt;/dates&gt;&lt;urls&gt;&lt;related-urls&gt;&lt;url&gt;https://www.blood.gov.au/system/files/12July17-price-update-46.1-National-Blood-Authority-Fact-sheet-Supply-of-plasma-derived-and-recombinant-blood-products2.pdf&lt;/url&gt;&lt;/related-urls&gt;&lt;/urls&gt;&lt;/record&gt;&lt;/Cite&gt;&lt;/EndNote&gt;</w:instrText>
      </w:r>
      <w:r w:rsidR="00284F1F">
        <w:fldChar w:fldCharType="separate"/>
      </w:r>
      <w:r w:rsidR="00284F1F">
        <w:rPr>
          <w:noProof/>
        </w:rPr>
        <w:t>(National Blood Authority 2017b)</w:t>
      </w:r>
      <w:r w:rsidR="00284F1F">
        <w:fldChar w:fldCharType="end"/>
      </w:r>
      <w:r>
        <w:t>.</w:t>
      </w:r>
    </w:p>
    <w:p w14:paraId="14D977A7" w14:textId="77777777" w:rsidR="00896845" w:rsidRPr="00E364F7" w:rsidRDefault="00896845">
      <w:pPr>
        <w:rPr>
          <w:b/>
        </w:rPr>
      </w:pPr>
      <w:r w:rsidRPr="00E364F7">
        <w:rPr>
          <w:b/>
        </w:rPr>
        <w:t>Comparator</w:t>
      </w:r>
    </w:p>
    <w:p w14:paraId="7D32CE51" w14:textId="307B583C" w:rsidR="00B02B5E" w:rsidRDefault="00B02B5E" w:rsidP="00D10984">
      <w:r>
        <w:t xml:space="preserve">The comparators to EHL FVIII and FIX products are </w:t>
      </w:r>
      <w:r w:rsidR="00DB1A36">
        <w:t>SHL</w:t>
      </w:r>
      <w:r>
        <w:t xml:space="preserve"> FVIII and FIX products.</w:t>
      </w:r>
      <w:r w:rsidR="000A68F3">
        <w:t xml:space="preserve"> </w:t>
      </w:r>
      <w:r w:rsidR="00E87A7D">
        <w:t>However, any data comparing one form of EHL product to a</w:t>
      </w:r>
      <w:r w:rsidR="00E311CF">
        <w:t>nother should also be included.</w:t>
      </w:r>
    </w:p>
    <w:p w14:paraId="27A5F279" w14:textId="020417F7" w:rsidR="008E1A96" w:rsidRDefault="006B7BA5" w:rsidP="00D10984">
      <w:r>
        <w:t xml:space="preserve">Prophylaxis for haemophilia A </w:t>
      </w:r>
      <w:r w:rsidR="000A68F3">
        <w:t xml:space="preserve">with a SHL product </w:t>
      </w:r>
      <w:r>
        <w:t xml:space="preserve">is usually given 2-3 times a week, or more frequently, due to the short half-life of the standard half-life FVIII products (10 – 14 hours) </w:t>
      </w:r>
      <w:r w:rsidR="00284F1F">
        <w:fldChar w:fldCharType="begin"/>
      </w:r>
      <w:r w:rsidR="00E471E0">
        <w:instrText xml:space="preserve"> ADDIN EN.CITE &lt;EndNote&gt;&lt;Cite&gt;&lt;Author&gt;Mancuso&lt;/Author&gt;&lt;Year&gt;2014&lt;/Year&gt;&lt;RecNum&gt;59&lt;/RecNum&gt;&lt;IDText&gt;365-371&lt;/IDText&gt;&lt;DisplayText&gt;(Mancuso &amp;amp; Mannucci 2014)&lt;/DisplayText&gt;&lt;record&gt;&lt;rec-number&gt;59&lt;/rec-number&gt;&lt;foreign-keys&gt;&lt;key app="EN" db-id="xxv29xwz59sarceazeax5p5kzxt2dafdzse0" timestamp="1479346132"&gt;59&lt;/key&gt;&lt;/foreign-keys&gt;&lt;ref-type name="Journal Article"&gt;17&lt;/ref-type&gt;&lt;contributors&gt;&lt;authors&gt;&lt;author&gt;Mancuso, M. E.&lt;/author&gt;&lt;author&gt;Mannucci, P. M.&lt;/author&gt;&lt;/authors&gt;&lt;/contributors&gt;&lt;titles&gt;&lt;title&gt;Fc-fusion technology and recombinant FVIII and FIX in the management of the hemophiliac&lt;/title&gt;&lt;secondary-title&gt;Drug Design, Development and Therapy&lt;/secondary-title&gt;&lt;/titles&gt;&lt;periodical&gt;&lt;full-title&gt;Drug Design, Development and Therapy&lt;/full-title&gt;&lt;/periodical&gt;&lt;pages&gt;365-371&lt;/pages&gt;&lt;volume&gt;8&lt;/volume&gt;&lt;dates&gt;&lt;year&gt;2014&lt;/year&gt;&lt;pub-dates&gt;&lt;date&gt;2014-01-01&lt;/date&gt;&lt;/pub-dates&gt;&lt;/dates&gt;&lt;isbn&gt;NCT00324155/ClinicalTrials.gov NCT01119508/ClinicalTrials.gov&lt;/isbn&gt;&lt;urls&gt;&lt;related-urls&gt;&lt;url&gt;https://www.scopus.com/inward/record.uri?eid=2-s2.0-84897562467&amp;amp;partnerID=40&amp;amp;md5=9be2912ea2f45ab531392ba4b918778f&lt;/url&gt;&lt;url&gt;https://www.dovepress.com/getfile.php?fileID=19476&lt;/url&gt;&lt;/related-urls&gt;&lt;/urls&gt;&lt;custom1&gt;RAYYAN-INCLUSION: {&amp;quot;Klara&amp;quot;=&amp;gt;true, &amp;quot;Skye&amp;quot;=&amp;gt;false} | RAYYAN-LABELS: CONFLICT,checked,Fc-Fusion | RAYYAN-EXCLUSION-REASONS: non SR&lt;/custom1&gt;&lt;/record&gt;&lt;/Cite&gt;&lt;/EndNote&gt;</w:instrText>
      </w:r>
      <w:r w:rsidR="00284F1F">
        <w:fldChar w:fldCharType="separate"/>
      </w:r>
      <w:r w:rsidR="00284F1F">
        <w:rPr>
          <w:noProof/>
        </w:rPr>
        <w:t>(Mancuso &amp; Mannucci 2014)</w:t>
      </w:r>
      <w:r w:rsidR="00284F1F">
        <w:fldChar w:fldCharType="end"/>
      </w:r>
      <w:r>
        <w:t xml:space="preserve">. </w:t>
      </w:r>
      <w:r w:rsidR="008E1A96">
        <w:t xml:space="preserve">Standard doses for prophylaxis in Australia range from 25 to 40 IU/kg three times per week or on alternate days </w:t>
      </w:r>
      <w:r w:rsidR="00284F1F">
        <w:fldChar w:fldCharType="begin"/>
      </w:r>
      <w:r w:rsidR="00284F1F">
        <w:instrText xml:space="preserve"> ADDIN EN.CITE &lt;EndNote&gt;&lt;Cite&gt;&lt;Author&gt;Australian Haemophilia Centre Directors&amp;apos; Organisation&lt;/Author&gt;&lt;Year&gt;2016&lt;/Year&gt;&lt;RecNum&gt;5&lt;/RecNum&gt;&lt;DisplayText&gt;(Australian Haemophilia Centre Directors&amp;apos; Organisation 2016)&lt;/DisplayText&gt;&lt;record&gt;&lt;rec-number&gt;5&lt;/rec-number&gt;&lt;foreign-keys&gt;&lt;key app="EN" db-id="05dfrv5t4ppa58ep50ixt0zyxesew55t555a" timestamp="1507869959"&gt;5&lt;/key&gt;&lt;/foreign-keys&gt;&lt;ref-type name="Web Page"&gt;12&lt;/ref-type&gt;&lt;contributors&gt;&lt;authors&gt;&lt;author&gt;Australian Haemophilia Centre Directors&amp;apos; Organisation,&lt;/author&gt;&lt;/authors&gt;&lt;/contributors&gt;&lt;titles&gt;&lt;title&gt;Guidelines for the management of haemophilia in Australia&lt;/title&gt;&lt;/titles&gt;&lt;dates&gt;&lt;year&gt;2016&lt;/year&gt;&lt;/dates&gt;&lt;urls&gt;&lt;related-urls&gt;&lt;url&gt;https://www.blood.gov.au/system/files/HaemophiliaGuidelines-interactive-updated-260317v2.pdf&lt;/url&gt;&lt;/related-urls&gt;&lt;/urls&gt;&lt;/record&gt;&lt;/Cite&gt;&lt;/EndNote&gt;</w:instrText>
      </w:r>
      <w:r w:rsidR="00284F1F">
        <w:fldChar w:fldCharType="separate"/>
      </w:r>
      <w:r w:rsidR="00284F1F">
        <w:rPr>
          <w:noProof/>
        </w:rPr>
        <w:t>(Australian Haemophilia Centre Directors' Organisation 2016)</w:t>
      </w:r>
      <w:r w:rsidR="00284F1F">
        <w:fldChar w:fldCharType="end"/>
      </w:r>
      <w:r w:rsidR="008E1A96">
        <w:t>.</w:t>
      </w:r>
      <w:r w:rsidR="008F628C">
        <w:t xml:space="preserve"> Plasma-derived or recombinant FIX products have a slightly longer half-life of around 15 to 20 hours </w:t>
      </w:r>
      <w:r w:rsidR="008F628C">
        <w:fldChar w:fldCharType="begin"/>
      </w:r>
      <w:r w:rsidR="00E471E0">
        <w:instrText xml:space="preserve"> ADDIN EN.CITE &lt;EndNote&gt;&lt;Cite&gt;&lt;Author&gt;Mancuso&lt;/Author&gt;&lt;Year&gt;2014&lt;/Year&gt;&lt;RecNum&gt;59&lt;/RecNum&gt;&lt;IDText&gt;365-371&lt;/IDText&gt;&lt;DisplayText&gt;(Mancuso &amp;amp; Mannucci 2014)&lt;/DisplayText&gt;&lt;record&gt;&lt;rec-number&gt;59&lt;/rec-number&gt;&lt;foreign-keys&gt;&lt;key app="EN" db-id="xxv29xwz59sarceazeax5p5kzxt2dafdzse0" timestamp="1479346132"&gt;59&lt;/key&gt;&lt;/foreign-keys&gt;&lt;ref-type name="Journal Article"&gt;17&lt;/ref-type&gt;&lt;contributors&gt;&lt;authors&gt;&lt;author&gt;Mancuso, M. E.&lt;/author&gt;&lt;author&gt;Mannucci, P. M.&lt;/author&gt;&lt;/authors&gt;&lt;/contributors&gt;&lt;titles&gt;&lt;title&gt;Fc-fusion technology and recombinant FVIII and FIX in the management of the hemophiliac&lt;/title&gt;&lt;secondary-title&gt;Drug Design, Development and Therapy&lt;/secondary-title&gt;&lt;/titles&gt;&lt;periodical&gt;&lt;full-title&gt;Drug Design, Development and Therapy&lt;/full-title&gt;&lt;/periodical&gt;&lt;pages&gt;365-371&lt;/pages&gt;&lt;volume&gt;8&lt;/volume&gt;&lt;dates&gt;&lt;year&gt;2014&lt;/year&gt;&lt;pub-dates&gt;&lt;date&gt;2014-01-01&lt;/date&gt;&lt;/pub-dates&gt;&lt;/dates&gt;&lt;isbn&gt;NCT00324155/ClinicalTrials.gov NCT01119508/ClinicalTrials.gov&lt;/isbn&gt;&lt;urls&gt;&lt;related-urls&gt;&lt;url&gt;https://www.scopus.com/inward/record.uri?eid=2-s2.0-84897562467&amp;amp;partnerID=40&amp;amp;md5=9be2912ea2f45ab531392ba4b918778f&lt;/url&gt;&lt;url&gt;https://www.dovepress.com/getfile.php?fileID=19476&lt;/url&gt;&lt;/related-urls&gt;&lt;/urls&gt;&lt;custom1&gt;RAYYAN-INCLUSION: {&amp;quot;Klara&amp;quot;=&amp;gt;true, &amp;quot;Skye&amp;quot;=&amp;gt;false} | RAYYAN-LABELS: CONFLICT,checked,Fc-Fusion | RAYYAN-EXCLUSION-REASONS: non SR&lt;/custom1&gt;&lt;/record&gt;&lt;/Cite&gt;&lt;/EndNote&gt;</w:instrText>
      </w:r>
      <w:r w:rsidR="008F628C">
        <w:fldChar w:fldCharType="separate"/>
      </w:r>
      <w:r w:rsidR="008F628C">
        <w:rPr>
          <w:noProof/>
        </w:rPr>
        <w:t>(Mancuso &amp; Mannucci 2014)</w:t>
      </w:r>
      <w:r w:rsidR="008F628C">
        <w:fldChar w:fldCharType="end"/>
      </w:r>
      <w:r w:rsidR="008F628C">
        <w:t xml:space="preserve">. Prophylaxis for haemophilia B is therefore often approximately 40 IU/kg of FIX twice weekly. </w:t>
      </w:r>
      <w:r w:rsidR="00016AC7">
        <w:t xml:space="preserve">SHL products for haemophilia A and B are summarised in </w:t>
      </w:r>
      <w:r w:rsidR="00016AC7">
        <w:fldChar w:fldCharType="begin"/>
      </w:r>
      <w:r w:rsidR="00016AC7">
        <w:instrText xml:space="preserve"> REF _Ref495668270 \h </w:instrText>
      </w:r>
      <w:r w:rsidR="00016AC7">
        <w:fldChar w:fldCharType="separate"/>
      </w:r>
      <w:r w:rsidR="00205D92">
        <w:t xml:space="preserve">Table </w:t>
      </w:r>
      <w:r w:rsidR="00205D92">
        <w:rPr>
          <w:noProof/>
        </w:rPr>
        <w:t>6</w:t>
      </w:r>
      <w:r w:rsidR="00016AC7">
        <w:fldChar w:fldCharType="end"/>
      </w:r>
      <w:r w:rsidR="00016AC7">
        <w:t xml:space="preserve"> and </w:t>
      </w:r>
      <w:r w:rsidR="00016AC7">
        <w:fldChar w:fldCharType="begin"/>
      </w:r>
      <w:r w:rsidR="00016AC7">
        <w:instrText xml:space="preserve"> REF _Ref495668272 \h </w:instrText>
      </w:r>
      <w:r w:rsidR="00016AC7">
        <w:fldChar w:fldCharType="separate"/>
      </w:r>
      <w:r w:rsidR="00205D92">
        <w:t xml:space="preserve">Table </w:t>
      </w:r>
      <w:r w:rsidR="00205D92">
        <w:rPr>
          <w:noProof/>
        </w:rPr>
        <w:t>7</w:t>
      </w:r>
      <w:r w:rsidR="00016AC7">
        <w:fldChar w:fldCharType="end"/>
      </w:r>
      <w:r w:rsidR="00016AC7">
        <w:t>.</w:t>
      </w:r>
    </w:p>
    <w:p w14:paraId="24308018" w14:textId="1A708E14" w:rsidR="008A526A" w:rsidRDefault="008A526A" w:rsidP="008A526A">
      <w:pPr>
        <w:rPr>
          <w:rFonts w:eastAsia="Times New Roman"/>
          <w:szCs w:val="20"/>
        </w:rPr>
      </w:pPr>
      <w:r>
        <w:t xml:space="preserve">Recombinant clotting factors are preferred over plasma-derived products </w:t>
      </w:r>
      <w:r w:rsidR="00284F1F">
        <w:fldChar w:fldCharType="begin"/>
      </w:r>
      <w:r w:rsidR="00284F1F">
        <w:instrText xml:space="preserve"> ADDIN EN.CITE &lt;EndNote&gt;&lt;Cite&gt;&lt;Author&gt;Australian Haemophilia Centre Directors&amp;apos; Organisation&lt;/Author&gt;&lt;Year&gt;2016&lt;/Year&gt;&lt;RecNum&gt;5&lt;/RecNum&gt;&lt;DisplayText&gt;(Australian Haemophilia Centre Directors&amp;apos; Organisation 2016)&lt;/DisplayText&gt;&lt;record&gt;&lt;rec-number&gt;5&lt;/rec-number&gt;&lt;foreign-keys&gt;&lt;key app="EN" db-id="05dfrv5t4ppa58ep50ixt0zyxesew55t555a" timestamp="1507869959"&gt;5&lt;/key&gt;&lt;/foreign-keys&gt;&lt;ref-type name="Web Page"&gt;12&lt;/ref-type&gt;&lt;contributors&gt;&lt;authors&gt;&lt;author&gt;Australian Haemophilia Centre Directors&amp;apos; Organisation,&lt;/author&gt;&lt;/authors&gt;&lt;/contributors&gt;&lt;titles&gt;&lt;title&gt;Guidelines for the management of haemophilia in Australia&lt;/title&gt;&lt;/titles&gt;&lt;dates&gt;&lt;year&gt;2016&lt;/year&gt;&lt;/dates&gt;&lt;urls&gt;&lt;related-urls&gt;&lt;url&gt;https://www.blood.gov.au/system/files/HaemophiliaGuidelines-interactive-updated-260317v2.pdf&lt;/url&gt;&lt;/related-urls&gt;&lt;/urls&gt;&lt;/record&gt;&lt;/Cite&gt;&lt;/EndNote&gt;</w:instrText>
      </w:r>
      <w:r w:rsidR="00284F1F">
        <w:fldChar w:fldCharType="separate"/>
      </w:r>
      <w:r w:rsidR="00284F1F">
        <w:rPr>
          <w:noProof/>
        </w:rPr>
        <w:t>(Australian Haemophilia Centre Directors' Organisation 2016)</w:t>
      </w:r>
      <w:r w:rsidR="00284F1F">
        <w:fldChar w:fldCharType="end"/>
      </w:r>
      <w:r>
        <w:t xml:space="preserve">. </w:t>
      </w:r>
      <w:r>
        <w:rPr>
          <w:rFonts w:eastAsia="Times New Roman"/>
          <w:szCs w:val="20"/>
        </w:rPr>
        <w:t xml:space="preserve">In Australia, the most commonly used recombinant FVIII products are second generation treatments </w:t>
      </w:r>
      <w:proofErr w:type="spellStart"/>
      <w:r>
        <w:rPr>
          <w:rFonts w:eastAsia="Times New Roman"/>
          <w:szCs w:val="20"/>
        </w:rPr>
        <w:t>Advate</w:t>
      </w:r>
      <w:proofErr w:type="spellEnd"/>
      <w:r>
        <w:rPr>
          <w:rFonts w:eastAsia="Times New Roman"/>
          <w:szCs w:val="20"/>
        </w:rPr>
        <w:t xml:space="preserve"> (50%) </w:t>
      </w:r>
      <w:proofErr w:type="spellStart"/>
      <w:r>
        <w:rPr>
          <w:rFonts w:eastAsia="Times New Roman"/>
          <w:szCs w:val="20"/>
        </w:rPr>
        <w:t>Xyntha</w:t>
      </w:r>
      <w:proofErr w:type="spellEnd"/>
      <w:r>
        <w:rPr>
          <w:rFonts w:eastAsia="Times New Roman"/>
          <w:szCs w:val="20"/>
        </w:rPr>
        <w:t xml:space="preserve"> (48%), with only a small proportion of patients receiving the first generation treatment </w:t>
      </w:r>
      <w:proofErr w:type="spellStart"/>
      <w:r>
        <w:rPr>
          <w:rFonts w:eastAsia="Times New Roman"/>
          <w:szCs w:val="20"/>
        </w:rPr>
        <w:t>Kogenate</w:t>
      </w:r>
      <w:proofErr w:type="spellEnd"/>
      <w:r>
        <w:rPr>
          <w:rFonts w:eastAsia="Times New Roman"/>
          <w:szCs w:val="20"/>
        </w:rPr>
        <w:t xml:space="preserve"> (2%)</w:t>
      </w:r>
      <w:r w:rsidRPr="000A68F3">
        <w:t xml:space="preserve"> </w:t>
      </w:r>
      <w:r w:rsidR="00284F1F">
        <w:rPr>
          <w:rFonts w:eastAsia="Times New Roman"/>
          <w:szCs w:val="20"/>
        </w:rPr>
        <w:fldChar w:fldCharType="begin"/>
      </w:r>
      <w:r w:rsidR="00284F1F">
        <w:rPr>
          <w:rFonts w:eastAsia="Times New Roman"/>
          <w:szCs w:val="20"/>
        </w:rPr>
        <w:instrText xml:space="preserve"> ADDIN EN.CITE &lt;EndNote&gt;&lt;Cite&gt;&lt;Author&gt;National Blood Authority&lt;/Author&gt;&lt;Year&gt;2017&lt;/Year&gt;&lt;RecNum&gt;3&lt;/RecNum&gt;&lt;DisplayText&gt;(National Blood Authority 2017a)&lt;/DisplayText&gt;&lt;record&gt;&lt;rec-number&gt;3&lt;/rec-number&gt;&lt;foreign-keys&gt;&lt;key app="EN" db-id="05dfrv5t4ppa58ep50ixt0zyxesew55t555a" timestamp="1507849060"&gt;3&lt;/key&gt;&lt;/foreign-keys&gt;&lt;ref-type name="Web Page"&gt;12&lt;/ref-type&gt;&lt;contributors&gt;&lt;authors&gt;&lt;author&gt;National Blood Authority,&lt;/author&gt;&lt;/authors&gt;&lt;/contributors&gt;&lt;titles&gt;&lt;title&gt;Australian Bleeding Disorders Registry (ABDR) Annual Report 2015-16&lt;/title&gt;&lt;/titles&gt;&lt;dates&gt;&lt;year&gt;2017&lt;/year&gt;&lt;/dates&gt;&lt;urls&gt;&lt;related-urls&gt;&lt;url&gt;https://www.blood.gov.au/system/files/abdr-annual-report-2015-16-final.pdf&lt;/url&gt;&lt;/related-urls&gt;&lt;/urls&gt;&lt;/record&gt;&lt;/Cite&gt;&lt;/EndNote&gt;</w:instrText>
      </w:r>
      <w:r w:rsidR="00284F1F">
        <w:rPr>
          <w:rFonts w:eastAsia="Times New Roman"/>
          <w:szCs w:val="20"/>
        </w:rPr>
        <w:fldChar w:fldCharType="separate"/>
      </w:r>
      <w:r w:rsidR="00284F1F">
        <w:rPr>
          <w:rFonts w:eastAsia="Times New Roman"/>
          <w:noProof/>
          <w:szCs w:val="20"/>
        </w:rPr>
        <w:t>(National Blood Authority 2017a)</w:t>
      </w:r>
      <w:r w:rsidR="00284F1F">
        <w:rPr>
          <w:rFonts w:eastAsia="Times New Roman"/>
          <w:szCs w:val="20"/>
        </w:rPr>
        <w:fldChar w:fldCharType="end"/>
      </w:r>
      <w:r>
        <w:rPr>
          <w:rFonts w:eastAsia="Times New Roman"/>
          <w:szCs w:val="20"/>
        </w:rPr>
        <w:t xml:space="preserve">. </w:t>
      </w:r>
    </w:p>
    <w:p w14:paraId="5FA08FD5" w14:textId="5A0B8204" w:rsidR="00B21DD6" w:rsidRDefault="00BD5F77" w:rsidP="00D10984">
      <w:pPr>
        <w:rPr>
          <w:rFonts w:eastAsia="Times New Roman"/>
          <w:szCs w:val="20"/>
        </w:rPr>
      </w:pPr>
      <w:r>
        <w:rPr>
          <w:rFonts w:eastAsia="Times New Roman"/>
          <w:szCs w:val="20"/>
        </w:rPr>
        <w:t>Since 2003, clotting factor products have been supplied and f</w:t>
      </w:r>
      <w:r w:rsidR="00056134">
        <w:rPr>
          <w:rFonts w:eastAsia="Times New Roman"/>
          <w:szCs w:val="20"/>
        </w:rPr>
        <w:t xml:space="preserve">unded under the National Blood Agreement. The National Blood Authority manages the contracts and payments for the products supplied. </w:t>
      </w:r>
      <w:r w:rsidR="00B21DD6">
        <w:rPr>
          <w:rFonts w:eastAsia="Times New Roman"/>
          <w:szCs w:val="20"/>
        </w:rPr>
        <w:t xml:space="preserve">Those products currently funded under NBA arrangements as at 1 July 2017 have the cost of the products shown in </w:t>
      </w:r>
      <w:r w:rsidR="00B21DD6">
        <w:rPr>
          <w:rFonts w:eastAsia="Times New Roman"/>
          <w:szCs w:val="20"/>
        </w:rPr>
        <w:fldChar w:fldCharType="begin"/>
      </w:r>
      <w:r w:rsidR="00B21DD6">
        <w:rPr>
          <w:rFonts w:eastAsia="Times New Roman"/>
          <w:szCs w:val="20"/>
        </w:rPr>
        <w:instrText xml:space="preserve"> REF _Ref495668270 \h </w:instrText>
      </w:r>
      <w:r w:rsidR="00B21DD6">
        <w:rPr>
          <w:rFonts w:eastAsia="Times New Roman"/>
          <w:szCs w:val="20"/>
        </w:rPr>
      </w:r>
      <w:r w:rsidR="00B21DD6">
        <w:rPr>
          <w:rFonts w:eastAsia="Times New Roman"/>
          <w:szCs w:val="20"/>
        </w:rPr>
        <w:fldChar w:fldCharType="separate"/>
      </w:r>
      <w:r w:rsidR="00205D92">
        <w:t xml:space="preserve">Table </w:t>
      </w:r>
      <w:r w:rsidR="00205D92">
        <w:rPr>
          <w:noProof/>
        </w:rPr>
        <w:t>6</w:t>
      </w:r>
      <w:r w:rsidR="00B21DD6">
        <w:rPr>
          <w:rFonts w:eastAsia="Times New Roman"/>
          <w:szCs w:val="20"/>
        </w:rPr>
        <w:fldChar w:fldCharType="end"/>
      </w:r>
      <w:r w:rsidR="00B21DD6">
        <w:rPr>
          <w:rFonts w:eastAsia="Times New Roman"/>
          <w:szCs w:val="20"/>
        </w:rPr>
        <w:t xml:space="preserve"> and </w:t>
      </w:r>
      <w:r w:rsidR="00B21DD6">
        <w:rPr>
          <w:rFonts w:eastAsia="Times New Roman"/>
          <w:szCs w:val="20"/>
        </w:rPr>
        <w:fldChar w:fldCharType="begin"/>
      </w:r>
      <w:r w:rsidR="00B21DD6">
        <w:rPr>
          <w:rFonts w:eastAsia="Times New Roman"/>
          <w:szCs w:val="20"/>
        </w:rPr>
        <w:instrText xml:space="preserve"> REF _Ref495668272 \h </w:instrText>
      </w:r>
      <w:r w:rsidR="00B21DD6">
        <w:rPr>
          <w:rFonts w:eastAsia="Times New Roman"/>
          <w:szCs w:val="20"/>
        </w:rPr>
      </w:r>
      <w:r w:rsidR="00B21DD6">
        <w:rPr>
          <w:rFonts w:eastAsia="Times New Roman"/>
          <w:szCs w:val="20"/>
        </w:rPr>
        <w:fldChar w:fldCharType="separate"/>
      </w:r>
      <w:r w:rsidR="00205D92">
        <w:t xml:space="preserve">Table </w:t>
      </w:r>
      <w:r w:rsidR="00205D92">
        <w:rPr>
          <w:noProof/>
        </w:rPr>
        <w:t>7</w:t>
      </w:r>
      <w:r w:rsidR="00B21DD6">
        <w:rPr>
          <w:rFonts w:eastAsia="Times New Roman"/>
          <w:szCs w:val="20"/>
        </w:rPr>
        <w:fldChar w:fldCharType="end"/>
      </w:r>
      <w:r w:rsidR="00B21DD6">
        <w:rPr>
          <w:rFonts w:eastAsia="Times New Roman"/>
          <w:szCs w:val="20"/>
        </w:rPr>
        <w:t>. The cost of products supplied under the NBA arrangements is shared between the Commonwealth and States and Territories (63%</w:t>
      </w:r>
      <w:r w:rsidR="00016AC7">
        <w:rPr>
          <w:rFonts w:eastAsia="Times New Roman"/>
          <w:szCs w:val="20"/>
        </w:rPr>
        <w:t>:</w:t>
      </w:r>
      <w:r w:rsidR="00B21DD6">
        <w:rPr>
          <w:rFonts w:eastAsia="Times New Roman"/>
          <w:szCs w:val="20"/>
        </w:rPr>
        <w:t xml:space="preserve">37%) </w:t>
      </w:r>
      <w:r w:rsidR="00284F1F">
        <w:rPr>
          <w:rFonts w:eastAsia="Times New Roman"/>
          <w:szCs w:val="20"/>
        </w:rPr>
        <w:fldChar w:fldCharType="begin"/>
      </w:r>
      <w:r w:rsidR="00284F1F">
        <w:rPr>
          <w:rFonts w:eastAsia="Times New Roman"/>
          <w:szCs w:val="20"/>
        </w:rPr>
        <w:instrText xml:space="preserve"> ADDIN EN.CITE &lt;EndNote&gt;&lt;Cite&gt;&lt;Author&gt;National Blood Authority&lt;/Author&gt;&lt;Year&gt;2017&lt;/Year&gt;&lt;RecNum&gt;4&lt;/RecNum&gt;&lt;DisplayText&gt;(National Blood Authority 2017b)&lt;/DisplayText&gt;&lt;record&gt;&lt;rec-number&gt;4&lt;/rec-number&gt;&lt;foreign-keys&gt;&lt;key app="EN" db-id="05dfrv5t4ppa58ep50ixt0zyxesew55t555a" timestamp="1507867039"&gt;4&lt;/key&gt;&lt;/foreign-keys&gt;&lt;ref-type name="Web Page"&gt;12&lt;/ref-type&gt;&lt;contributors&gt;&lt;authors&gt;&lt;author&gt;National Blood Authority,&lt;/author&gt;&lt;/authors&gt;&lt;/contributors&gt;&lt;titles&gt;&lt;title&gt;Supply of plasma derived and recombinant blood products&lt;/title&gt;&lt;/titles&gt;&lt;dates&gt;&lt;year&gt;2017&lt;/year&gt;&lt;/dates&gt;&lt;urls&gt;&lt;related-urls&gt;&lt;url&gt;https://www.blood.gov.au/system/files/12July17-price-update-46.1-National-Blood-Authority-Fact-sheet-Supply-of-plasma-derived-and-recombinant-blood-products2.pdf&lt;/url&gt;&lt;/related-urls&gt;&lt;/urls&gt;&lt;/record&gt;&lt;/Cite&gt;&lt;/EndNote&gt;</w:instrText>
      </w:r>
      <w:r w:rsidR="00284F1F">
        <w:rPr>
          <w:rFonts w:eastAsia="Times New Roman"/>
          <w:szCs w:val="20"/>
        </w:rPr>
        <w:fldChar w:fldCharType="separate"/>
      </w:r>
      <w:r w:rsidR="00284F1F">
        <w:rPr>
          <w:rFonts w:eastAsia="Times New Roman"/>
          <w:noProof/>
          <w:szCs w:val="20"/>
        </w:rPr>
        <w:t>(National Blood Authority 2017b)</w:t>
      </w:r>
      <w:r w:rsidR="00284F1F">
        <w:rPr>
          <w:rFonts w:eastAsia="Times New Roman"/>
          <w:szCs w:val="20"/>
        </w:rPr>
        <w:fldChar w:fldCharType="end"/>
      </w:r>
      <w:r w:rsidR="00B21DD6">
        <w:rPr>
          <w:rFonts w:eastAsia="Times New Roman"/>
          <w:szCs w:val="20"/>
        </w:rPr>
        <w:t xml:space="preserve">. </w:t>
      </w:r>
      <w:r w:rsidR="000A68F3">
        <w:rPr>
          <w:rFonts w:eastAsia="Times New Roman"/>
          <w:szCs w:val="20"/>
        </w:rPr>
        <w:t>The amount of product used each year varies depending on the number of patients treated, the severity of their disease, the potency of inhibitors, whether prophylaxis is practiced, the number and severity of bleeds, and amount of elective surgery undertaken</w:t>
      </w:r>
      <w:r w:rsidR="004F7163">
        <w:rPr>
          <w:rFonts w:eastAsia="Times New Roman"/>
          <w:szCs w:val="20"/>
        </w:rPr>
        <w:t xml:space="preserve"> </w:t>
      </w:r>
      <w:r w:rsidR="00284F1F">
        <w:rPr>
          <w:rFonts w:eastAsia="Times New Roman"/>
          <w:szCs w:val="20"/>
        </w:rPr>
        <w:fldChar w:fldCharType="begin"/>
      </w:r>
      <w:r w:rsidR="00284F1F">
        <w:rPr>
          <w:rFonts w:eastAsia="Times New Roman"/>
          <w:szCs w:val="20"/>
        </w:rPr>
        <w:instrText xml:space="preserve"> ADDIN EN.CITE &lt;EndNote&gt;&lt;Cite&gt;&lt;Author&gt;National Blood Authority&lt;/Author&gt;&lt;Year&gt;2017&lt;/Year&gt;&lt;RecNum&gt;3&lt;/RecNum&gt;&lt;DisplayText&gt;(National Blood Authority 2017a)&lt;/DisplayText&gt;&lt;record&gt;&lt;rec-number&gt;3&lt;/rec-number&gt;&lt;foreign-keys&gt;&lt;key app="EN" db-id="05dfrv5t4ppa58ep50ixt0zyxesew55t555a" timestamp="1507849060"&gt;3&lt;/key&gt;&lt;/foreign-keys&gt;&lt;ref-type name="Web Page"&gt;12&lt;/ref-type&gt;&lt;contributors&gt;&lt;authors&gt;&lt;author&gt;National Blood Authority,&lt;/author&gt;&lt;/authors&gt;&lt;/contributors&gt;&lt;titles&gt;&lt;title&gt;Australian Bleeding Disorders Registry (ABDR) Annual Report 2015-16&lt;/title&gt;&lt;/titles&gt;&lt;dates&gt;&lt;year&gt;2017&lt;/year&gt;&lt;/dates&gt;&lt;urls&gt;&lt;related-urls&gt;&lt;url&gt;https://www.blood.gov.au/system/files/abdr-annual-report-2015-16-final.pdf&lt;/url&gt;&lt;/related-urls&gt;&lt;/urls&gt;&lt;/record&gt;&lt;/Cite&gt;&lt;/EndNote&gt;</w:instrText>
      </w:r>
      <w:r w:rsidR="00284F1F">
        <w:rPr>
          <w:rFonts w:eastAsia="Times New Roman"/>
          <w:szCs w:val="20"/>
        </w:rPr>
        <w:fldChar w:fldCharType="separate"/>
      </w:r>
      <w:r w:rsidR="00284F1F">
        <w:rPr>
          <w:rFonts w:eastAsia="Times New Roman"/>
          <w:noProof/>
          <w:szCs w:val="20"/>
        </w:rPr>
        <w:t>(National Blood Authority 2017a)</w:t>
      </w:r>
      <w:r w:rsidR="00284F1F">
        <w:rPr>
          <w:rFonts w:eastAsia="Times New Roman"/>
          <w:szCs w:val="20"/>
        </w:rPr>
        <w:fldChar w:fldCharType="end"/>
      </w:r>
      <w:r w:rsidR="004F7163">
        <w:rPr>
          <w:rFonts w:eastAsia="Times New Roman"/>
          <w:szCs w:val="20"/>
        </w:rPr>
        <w:t>.</w:t>
      </w:r>
    </w:p>
    <w:p w14:paraId="15C2E296" w14:textId="5C4A8D51" w:rsidR="00E17564" w:rsidRDefault="00172D1E" w:rsidP="00D10984">
      <w:pPr>
        <w:rPr>
          <w:rFonts w:eastAsia="Times New Roman"/>
          <w:szCs w:val="20"/>
        </w:rPr>
      </w:pPr>
      <w:r>
        <w:rPr>
          <w:rFonts w:eastAsia="Times New Roman"/>
          <w:szCs w:val="20"/>
        </w:rPr>
        <w:t xml:space="preserve">The ACPMH guidelines state that prothrombin complex concentrates (PCCs, e.g. </w:t>
      </w:r>
      <w:proofErr w:type="spellStart"/>
      <w:r>
        <w:rPr>
          <w:rFonts w:eastAsia="Times New Roman"/>
          <w:szCs w:val="20"/>
        </w:rPr>
        <w:t>Prothrombinex</w:t>
      </w:r>
      <w:proofErr w:type="spellEnd"/>
      <w:r>
        <w:rPr>
          <w:rFonts w:eastAsia="Times New Roman"/>
          <w:szCs w:val="20"/>
        </w:rPr>
        <w:t xml:space="preserve">-VF) “should only be used for the treatment of haemophilia B patients where emergency replacement of FIX is required and a pure FIX concentrate is not available”, </w:t>
      </w:r>
      <w:proofErr w:type="spellStart"/>
      <w:r>
        <w:rPr>
          <w:rFonts w:eastAsia="Times New Roman"/>
          <w:szCs w:val="20"/>
        </w:rPr>
        <w:t>pg</w:t>
      </w:r>
      <w:proofErr w:type="spellEnd"/>
      <w:r>
        <w:rPr>
          <w:rFonts w:eastAsia="Times New Roman"/>
          <w:szCs w:val="20"/>
        </w:rPr>
        <w:t xml:space="preserve"> 49 </w:t>
      </w:r>
      <w:r w:rsidR="00284F1F">
        <w:rPr>
          <w:rFonts w:eastAsia="Times New Roman"/>
          <w:szCs w:val="20"/>
        </w:rPr>
        <w:fldChar w:fldCharType="begin"/>
      </w:r>
      <w:r w:rsidR="00284F1F">
        <w:rPr>
          <w:rFonts w:eastAsia="Times New Roman"/>
          <w:szCs w:val="20"/>
        </w:rPr>
        <w:instrText xml:space="preserve"> ADDIN EN.CITE &lt;EndNote&gt;&lt;Cite&gt;&lt;Author&gt;Australian Haemophilia Centre Directors&amp;apos; Organisation&lt;/Author&gt;&lt;Year&gt;2016&lt;/Year&gt;&lt;RecNum&gt;5&lt;/RecNum&gt;&lt;DisplayText&gt;(Australian Haemophilia Centre Directors&amp;apos; Organisation 2016)&lt;/DisplayText&gt;&lt;record&gt;&lt;rec-number&gt;5&lt;/rec-number&gt;&lt;foreign-keys&gt;&lt;key app="EN" db-id="05dfrv5t4ppa58ep50ixt0zyxesew55t555a" timestamp="1507869959"&gt;5&lt;/key&gt;&lt;/foreign-keys&gt;&lt;ref-type name="Web Page"&gt;12&lt;/ref-type&gt;&lt;contributors&gt;&lt;authors&gt;&lt;author&gt;Australian Haemophilia Centre Directors&amp;apos; Organisation,&lt;/author&gt;&lt;/authors&gt;&lt;/contributors&gt;&lt;titles&gt;&lt;title&gt;Guidelines for the management of haemophilia in Australia&lt;/title&gt;&lt;/titles&gt;&lt;dates&gt;&lt;year&gt;2016&lt;/year&gt;&lt;/dates&gt;&lt;urls&gt;&lt;related-urls&gt;&lt;url&gt;https://www.blood.gov.au/system/files/HaemophiliaGuidelines-interactive-updated-260317v2.pdf&lt;/url&gt;&lt;/related-urls&gt;&lt;/urls&gt;&lt;/record&gt;&lt;/Cite&gt;&lt;/EndNote&gt;</w:instrText>
      </w:r>
      <w:r w:rsidR="00284F1F">
        <w:rPr>
          <w:rFonts w:eastAsia="Times New Roman"/>
          <w:szCs w:val="20"/>
        </w:rPr>
        <w:fldChar w:fldCharType="separate"/>
      </w:r>
      <w:r w:rsidR="00284F1F">
        <w:rPr>
          <w:rFonts w:eastAsia="Times New Roman"/>
          <w:noProof/>
          <w:szCs w:val="20"/>
        </w:rPr>
        <w:t>(Australian Haemophilia Centre Directors' Organisation 2016)</w:t>
      </w:r>
      <w:r w:rsidR="00284F1F">
        <w:rPr>
          <w:rFonts w:eastAsia="Times New Roman"/>
          <w:szCs w:val="20"/>
        </w:rPr>
        <w:fldChar w:fldCharType="end"/>
      </w:r>
      <w:r>
        <w:rPr>
          <w:rFonts w:eastAsia="Times New Roman"/>
          <w:szCs w:val="20"/>
        </w:rPr>
        <w:t>.</w:t>
      </w:r>
      <w:r w:rsidR="00B102DA">
        <w:rPr>
          <w:rFonts w:eastAsia="Times New Roman"/>
          <w:szCs w:val="20"/>
        </w:rPr>
        <w:t xml:space="preserve"> Likewise, in an emergency, cryoprecipitate or fresh frozen plasma may be used, but only in the absence of clotting factor concentrates. These are therefore not considered comparators. </w:t>
      </w:r>
    </w:p>
    <w:p w14:paraId="0EB78BE2" w14:textId="3E2BC862" w:rsidR="00072BE6" w:rsidRPr="0014781F" w:rsidRDefault="00072BE6" w:rsidP="00072BE6">
      <w:r>
        <w:t xml:space="preserve">There is another treatment simultaneously being considered (Application 1510; </w:t>
      </w:r>
      <w:proofErr w:type="spellStart"/>
      <w:r>
        <w:t>emicizumab</w:t>
      </w:r>
      <w:proofErr w:type="spellEnd"/>
      <w:r>
        <w:t xml:space="preserve">) which is a monoclonal antibody that is bispecific for Factor </w:t>
      </w:r>
      <w:proofErr w:type="spellStart"/>
      <w:r>
        <w:t>IXa</w:t>
      </w:r>
      <w:proofErr w:type="spellEnd"/>
      <w:r>
        <w:t xml:space="preserve"> and X, and mimics the action of FVIII. Emicizumab is being proposed for patients with Haemophilia A and inhibitors to FVIII. This </w:t>
      </w:r>
      <w:r w:rsidR="00016AC7">
        <w:t>is</w:t>
      </w:r>
      <w:r>
        <w:t xml:space="preserve"> not be</w:t>
      </w:r>
      <w:r w:rsidR="00016AC7">
        <w:t>ing</w:t>
      </w:r>
      <w:r>
        <w:t xml:space="preserve"> considered a comparator to EHL FVIII.  </w:t>
      </w:r>
    </w:p>
    <w:p w14:paraId="7CC25C7F" w14:textId="5BC9F662" w:rsidR="00172D1E" w:rsidRPr="000D0BB0" w:rsidRDefault="00072BE6" w:rsidP="000D0BB0">
      <w:r>
        <w:lastRenderedPageBreak/>
        <w:t>If EHL products become available under the National Blood Agreement, it is expected that EHL products would largely replace the use of SHL products for the treatment of haemophilia</w:t>
      </w:r>
      <w:r w:rsidR="00E471E0">
        <w:t>, although a complete switch is expected to take over a year, as most patients are only assessed by their HTC once every 6 to 12 months</w:t>
      </w:r>
      <w:r>
        <w:t xml:space="preserve">. </w:t>
      </w:r>
    </w:p>
    <w:p w14:paraId="17279B66" w14:textId="1AFE708D" w:rsidR="000543F1" w:rsidRDefault="000543F1" w:rsidP="000543F1">
      <w:pPr>
        <w:pStyle w:val="Caption"/>
      </w:pPr>
      <w:bookmarkStart w:id="15" w:name="_Ref495668270"/>
      <w:r>
        <w:t xml:space="preserve">Table </w:t>
      </w:r>
      <w:r>
        <w:fldChar w:fldCharType="begin"/>
      </w:r>
      <w:r>
        <w:instrText xml:space="preserve"> SEQ Table \* ARABIC </w:instrText>
      </w:r>
      <w:r>
        <w:fldChar w:fldCharType="separate"/>
      </w:r>
      <w:r w:rsidR="00205D92">
        <w:rPr>
          <w:noProof/>
        </w:rPr>
        <w:t>6</w:t>
      </w:r>
      <w:r>
        <w:rPr>
          <w:noProof/>
        </w:rPr>
        <w:fldChar w:fldCharType="end"/>
      </w:r>
      <w:bookmarkEnd w:id="15"/>
      <w:r>
        <w:tab/>
        <w:t xml:space="preserve">Standard half-life products </w:t>
      </w:r>
      <w:r w:rsidR="00F74EE8">
        <w:t>for treating haemophilia A (FVIII products)</w:t>
      </w:r>
    </w:p>
    <w:tbl>
      <w:tblPr>
        <w:tblStyle w:val="TableGrid"/>
        <w:tblW w:w="5000" w:type="pct"/>
        <w:tblLook w:val="04A0" w:firstRow="1" w:lastRow="0" w:firstColumn="1" w:lastColumn="0" w:noHBand="0" w:noVBand="1"/>
        <w:tblCaption w:val="SHL products for HMA"/>
        <w:tblDescription w:val="SHL products for HMA"/>
      </w:tblPr>
      <w:tblGrid>
        <w:gridCol w:w="1743"/>
        <w:gridCol w:w="1013"/>
        <w:gridCol w:w="2035"/>
        <w:gridCol w:w="2327"/>
        <w:gridCol w:w="2124"/>
      </w:tblGrid>
      <w:tr w:rsidR="00634D7D" w:rsidRPr="008813C9" w14:paraId="7CDB94E7" w14:textId="4C399D7A" w:rsidTr="00016AC7">
        <w:trPr>
          <w:trHeight w:val="537"/>
          <w:tblHeader/>
        </w:trPr>
        <w:tc>
          <w:tcPr>
            <w:tcW w:w="943" w:type="pct"/>
            <w:vAlign w:val="center"/>
          </w:tcPr>
          <w:p w14:paraId="65815D23" w14:textId="77777777" w:rsidR="00634D7D" w:rsidRPr="008813C9" w:rsidRDefault="00634D7D" w:rsidP="00D83225">
            <w:pPr>
              <w:pStyle w:val="Tableheader"/>
            </w:pPr>
            <w:r>
              <w:t>Product (trade/generic name)</w:t>
            </w:r>
          </w:p>
        </w:tc>
        <w:tc>
          <w:tcPr>
            <w:tcW w:w="548" w:type="pct"/>
            <w:vAlign w:val="center"/>
          </w:tcPr>
          <w:p w14:paraId="2EDEF3B0" w14:textId="77777777" w:rsidR="00634D7D" w:rsidRPr="008813C9" w:rsidRDefault="00634D7D" w:rsidP="00D83225">
            <w:pPr>
              <w:pStyle w:val="Tableheader"/>
            </w:pPr>
            <w:r>
              <w:t>Company</w:t>
            </w:r>
          </w:p>
        </w:tc>
        <w:tc>
          <w:tcPr>
            <w:tcW w:w="1101" w:type="pct"/>
          </w:tcPr>
          <w:p w14:paraId="3A3776F6" w14:textId="7E084CBC" w:rsidR="00634D7D" w:rsidRDefault="005C22E0" w:rsidP="00D83225">
            <w:pPr>
              <w:pStyle w:val="Tableheader"/>
            </w:pPr>
            <w:r>
              <w:t>ARTG listings</w:t>
            </w:r>
            <w:r w:rsidR="00634D7D">
              <w:t xml:space="preserve"> </w:t>
            </w:r>
          </w:p>
        </w:tc>
        <w:tc>
          <w:tcPr>
            <w:tcW w:w="1259" w:type="pct"/>
          </w:tcPr>
          <w:p w14:paraId="4E9ABE9F" w14:textId="409B8A02" w:rsidR="00634D7D" w:rsidRDefault="00634D7D" w:rsidP="00D83225">
            <w:pPr>
              <w:pStyle w:val="Tableheader"/>
            </w:pPr>
            <w:r>
              <w:t>Prophylaxis regimen recommended in PI</w:t>
            </w:r>
          </w:p>
        </w:tc>
        <w:tc>
          <w:tcPr>
            <w:tcW w:w="1149" w:type="pct"/>
          </w:tcPr>
          <w:p w14:paraId="595B26BD" w14:textId="1C68DEF3" w:rsidR="00634D7D" w:rsidRDefault="00634D7D" w:rsidP="00D83225">
            <w:pPr>
              <w:pStyle w:val="Tableheader"/>
            </w:pPr>
            <w:r>
              <w:t xml:space="preserve">Price under NBA supply arrangement </w:t>
            </w:r>
            <w:r w:rsidR="000C00EB">
              <w:t>(prices as at 1 July 2017)</w:t>
            </w:r>
          </w:p>
        </w:tc>
      </w:tr>
      <w:tr w:rsidR="00634D7D" w14:paraId="5C4A8CFD" w14:textId="081D9FA6" w:rsidTr="00016AC7">
        <w:trPr>
          <w:trHeight w:val="559"/>
        </w:trPr>
        <w:tc>
          <w:tcPr>
            <w:tcW w:w="943" w:type="pct"/>
          </w:tcPr>
          <w:p w14:paraId="694464EE" w14:textId="2D3924CC" w:rsidR="00634D7D" w:rsidRDefault="005C22E0" w:rsidP="005C22E0">
            <w:pPr>
              <w:pStyle w:val="Tabletext"/>
            </w:pPr>
            <w:proofErr w:type="spellStart"/>
            <w:r>
              <w:t>rFVIII</w:t>
            </w:r>
            <w:proofErr w:type="spellEnd"/>
            <w:r>
              <w:t xml:space="preserve"> </w:t>
            </w:r>
            <w:r w:rsidR="000C00EB">
              <w:t>(</w:t>
            </w:r>
            <w:proofErr w:type="spellStart"/>
            <w:r w:rsidR="00B80531">
              <w:t>Xyntha</w:t>
            </w:r>
            <w:proofErr w:type="spellEnd"/>
            <w:r w:rsidR="000C00EB">
              <w:t>)</w:t>
            </w:r>
          </w:p>
        </w:tc>
        <w:tc>
          <w:tcPr>
            <w:tcW w:w="548" w:type="pct"/>
          </w:tcPr>
          <w:p w14:paraId="7FE0E2DC" w14:textId="77777777" w:rsidR="00634D7D" w:rsidRDefault="00634D7D" w:rsidP="001700F5">
            <w:pPr>
              <w:pStyle w:val="Tabletext"/>
            </w:pPr>
            <w:r>
              <w:t>Pfizer</w:t>
            </w:r>
          </w:p>
        </w:tc>
        <w:tc>
          <w:tcPr>
            <w:tcW w:w="1101" w:type="pct"/>
          </w:tcPr>
          <w:p w14:paraId="716C2168" w14:textId="77777777" w:rsidR="00634D7D" w:rsidRDefault="00634D7D" w:rsidP="001700F5">
            <w:pPr>
              <w:pStyle w:val="Tabletext"/>
            </w:pPr>
            <w:r>
              <w:t>161714, 161715, 161716, 174837, 174838, 174839, 174840, 174841</w:t>
            </w:r>
          </w:p>
        </w:tc>
        <w:tc>
          <w:tcPr>
            <w:tcW w:w="1259" w:type="pct"/>
          </w:tcPr>
          <w:p w14:paraId="3B1FC62F" w14:textId="77777777" w:rsidR="005E189A" w:rsidRDefault="00E0677B" w:rsidP="001700F5">
            <w:pPr>
              <w:pStyle w:val="Tabletext"/>
            </w:pPr>
            <w:r>
              <w:t>10 – 50 IU/kg at least 2 x per week</w:t>
            </w:r>
          </w:p>
          <w:p w14:paraId="6905FF6E" w14:textId="4D02D28A" w:rsidR="005E189A" w:rsidRDefault="005E189A" w:rsidP="001700F5">
            <w:pPr>
              <w:pStyle w:val="Tabletext"/>
            </w:pPr>
            <w:r>
              <w:t>In some cases, particularly paediatric patients, shorter dosage intervals or higher doses may be necessary</w:t>
            </w:r>
          </w:p>
        </w:tc>
        <w:tc>
          <w:tcPr>
            <w:tcW w:w="1149" w:type="pct"/>
          </w:tcPr>
          <w:p w14:paraId="0E4B4B74" w14:textId="59003B6E" w:rsidR="00B80531" w:rsidRDefault="00B80531" w:rsidP="00B80531">
            <w:pPr>
              <w:pStyle w:val="Tabletext"/>
            </w:pPr>
            <w:r>
              <w:t>250 IU for $90</w:t>
            </w:r>
          </w:p>
          <w:p w14:paraId="799A5C42" w14:textId="6170DB2B" w:rsidR="00B80531" w:rsidRDefault="00B80531" w:rsidP="00B80531">
            <w:pPr>
              <w:pStyle w:val="Tabletext"/>
            </w:pPr>
            <w:r>
              <w:t>500 IU for $180</w:t>
            </w:r>
          </w:p>
          <w:p w14:paraId="31D235E1" w14:textId="098A5024" w:rsidR="00B80531" w:rsidRDefault="00B80531" w:rsidP="00B80531">
            <w:pPr>
              <w:pStyle w:val="Tabletext"/>
            </w:pPr>
            <w:r>
              <w:t>1000 IU for $360</w:t>
            </w:r>
          </w:p>
          <w:p w14:paraId="3EEE475E" w14:textId="10260FAB" w:rsidR="00B80531" w:rsidRDefault="00B80531" w:rsidP="00B80531">
            <w:pPr>
              <w:pStyle w:val="Tabletext"/>
            </w:pPr>
            <w:r>
              <w:t>2000 IU for $720</w:t>
            </w:r>
          </w:p>
          <w:p w14:paraId="7382664A" w14:textId="38209A86" w:rsidR="00634D7D" w:rsidRDefault="00B80531" w:rsidP="00B80531">
            <w:pPr>
              <w:pStyle w:val="Tabletext"/>
            </w:pPr>
            <w:r>
              <w:t>3000 IU for $1080</w:t>
            </w:r>
          </w:p>
        </w:tc>
      </w:tr>
      <w:tr w:rsidR="00634D7D" w14:paraId="68E2B530" w14:textId="6C9B0D8E" w:rsidTr="00016AC7">
        <w:trPr>
          <w:trHeight w:val="559"/>
        </w:trPr>
        <w:tc>
          <w:tcPr>
            <w:tcW w:w="943" w:type="pct"/>
          </w:tcPr>
          <w:p w14:paraId="4A629928" w14:textId="1911A847" w:rsidR="005E189A" w:rsidRDefault="005E189A" w:rsidP="001700F5">
            <w:pPr>
              <w:pStyle w:val="Tabletext"/>
            </w:pPr>
            <w:proofErr w:type="spellStart"/>
            <w:r>
              <w:t>rch</w:t>
            </w:r>
            <w:proofErr w:type="spellEnd"/>
            <w:r>
              <w:t xml:space="preserve"> FVIII </w:t>
            </w:r>
          </w:p>
          <w:p w14:paraId="0053CD55" w14:textId="29F8D726" w:rsidR="005E189A" w:rsidRDefault="005E189A" w:rsidP="001700F5">
            <w:pPr>
              <w:pStyle w:val="Tabletext"/>
            </w:pPr>
            <w:proofErr w:type="spellStart"/>
            <w:r>
              <w:t>rAHF</w:t>
            </w:r>
            <w:proofErr w:type="spellEnd"/>
            <w:r>
              <w:t>-PFM</w:t>
            </w:r>
          </w:p>
          <w:p w14:paraId="330FA9A4" w14:textId="77777777" w:rsidR="00634D7D" w:rsidRDefault="00634D7D" w:rsidP="001700F5">
            <w:pPr>
              <w:pStyle w:val="Tabletext"/>
            </w:pPr>
            <w:r>
              <w:t>(</w:t>
            </w:r>
            <w:proofErr w:type="spellStart"/>
            <w:r>
              <w:t>Advate</w:t>
            </w:r>
            <w:proofErr w:type="spellEnd"/>
            <w:r>
              <w:t>)</w:t>
            </w:r>
          </w:p>
        </w:tc>
        <w:tc>
          <w:tcPr>
            <w:tcW w:w="548" w:type="pct"/>
          </w:tcPr>
          <w:p w14:paraId="7AEBC959" w14:textId="77777777" w:rsidR="00634D7D" w:rsidRDefault="00634D7D" w:rsidP="001700F5">
            <w:pPr>
              <w:pStyle w:val="Tabletext"/>
            </w:pPr>
            <w:proofErr w:type="spellStart"/>
            <w:r>
              <w:t>Baxalta</w:t>
            </w:r>
            <w:proofErr w:type="spellEnd"/>
          </w:p>
        </w:tc>
        <w:tc>
          <w:tcPr>
            <w:tcW w:w="1101" w:type="pct"/>
          </w:tcPr>
          <w:p w14:paraId="42985431" w14:textId="77777777" w:rsidR="00634D7D" w:rsidRDefault="00634D7D" w:rsidP="001700F5">
            <w:pPr>
              <w:pStyle w:val="Tabletext"/>
            </w:pPr>
            <w:r>
              <w:t>100384, 100385, 100386, 100387, 136204, 150366, 214709</w:t>
            </w:r>
          </w:p>
        </w:tc>
        <w:tc>
          <w:tcPr>
            <w:tcW w:w="1259" w:type="pct"/>
          </w:tcPr>
          <w:p w14:paraId="68AF70BE" w14:textId="77777777" w:rsidR="00634D7D" w:rsidRDefault="005E189A" w:rsidP="001700F5">
            <w:pPr>
              <w:pStyle w:val="Tabletext"/>
            </w:pPr>
            <w:r>
              <w:t>20 – 40 IU/kg every other day (3 or 4 x per week)</w:t>
            </w:r>
          </w:p>
          <w:p w14:paraId="7729B6F2" w14:textId="640ABB9A" w:rsidR="005E189A" w:rsidRDefault="005E189A" w:rsidP="001700F5">
            <w:pPr>
              <w:pStyle w:val="Tabletext"/>
            </w:pPr>
            <w:r>
              <w:t>In some patients, shorter dosing intervals or higher doses may be necessary</w:t>
            </w:r>
          </w:p>
        </w:tc>
        <w:tc>
          <w:tcPr>
            <w:tcW w:w="1149" w:type="pct"/>
          </w:tcPr>
          <w:p w14:paraId="7AE1224A" w14:textId="4A937F19" w:rsidR="00634D7D" w:rsidRDefault="00634D7D" w:rsidP="001700F5">
            <w:pPr>
              <w:pStyle w:val="Tabletext"/>
            </w:pPr>
            <w:r>
              <w:t>250 IU for $75</w:t>
            </w:r>
          </w:p>
          <w:p w14:paraId="159F44BD" w14:textId="1CFF7FE3" w:rsidR="00634D7D" w:rsidRDefault="00634D7D" w:rsidP="001700F5">
            <w:pPr>
              <w:pStyle w:val="Tabletext"/>
            </w:pPr>
            <w:r>
              <w:t>500 IU for $150</w:t>
            </w:r>
          </w:p>
          <w:p w14:paraId="5CDB2E57" w14:textId="145A3711" w:rsidR="00634D7D" w:rsidRDefault="00634D7D" w:rsidP="001700F5">
            <w:pPr>
              <w:pStyle w:val="Tabletext"/>
            </w:pPr>
            <w:r>
              <w:t>1000 IU for $300</w:t>
            </w:r>
          </w:p>
          <w:p w14:paraId="5835C5B6" w14:textId="514BEC69" w:rsidR="00634D7D" w:rsidRDefault="00634D7D" w:rsidP="001700F5">
            <w:pPr>
              <w:pStyle w:val="Tabletext"/>
            </w:pPr>
            <w:r>
              <w:t>1500 IU for $450</w:t>
            </w:r>
          </w:p>
          <w:p w14:paraId="5F5A7DE7" w14:textId="26DBD59F" w:rsidR="00634D7D" w:rsidRDefault="00634D7D" w:rsidP="001700F5">
            <w:pPr>
              <w:pStyle w:val="Tabletext"/>
            </w:pPr>
            <w:r>
              <w:t>2000 IU for $600</w:t>
            </w:r>
          </w:p>
          <w:p w14:paraId="1363F75A" w14:textId="5A9EEC22" w:rsidR="00634D7D" w:rsidRDefault="00634D7D" w:rsidP="001700F5">
            <w:pPr>
              <w:pStyle w:val="Tabletext"/>
            </w:pPr>
            <w:r>
              <w:t>3000 IU for $900</w:t>
            </w:r>
          </w:p>
        </w:tc>
      </w:tr>
      <w:tr w:rsidR="00634D7D" w14:paraId="373A8960" w14:textId="7D14E76C" w:rsidTr="00016AC7">
        <w:trPr>
          <w:trHeight w:val="559"/>
        </w:trPr>
        <w:tc>
          <w:tcPr>
            <w:tcW w:w="943" w:type="pct"/>
          </w:tcPr>
          <w:p w14:paraId="45074E50" w14:textId="6A7C7BD3" w:rsidR="000C00EB" w:rsidRDefault="00B42C63" w:rsidP="001700F5">
            <w:pPr>
              <w:pStyle w:val="Tabletext"/>
            </w:pPr>
            <w:r>
              <w:t>(</w:t>
            </w:r>
            <w:proofErr w:type="spellStart"/>
            <w:r w:rsidR="000C00EB">
              <w:t>Biostate</w:t>
            </w:r>
            <w:proofErr w:type="spellEnd"/>
            <w:r>
              <w:t>)</w:t>
            </w:r>
          </w:p>
          <w:p w14:paraId="5C4DE706" w14:textId="2D9CFD9B" w:rsidR="00634D7D" w:rsidRDefault="00634D7D" w:rsidP="001700F5">
            <w:pPr>
              <w:pStyle w:val="Tabletext"/>
            </w:pPr>
            <w:proofErr w:type="spellStart"/>
            <w:r>
              <w:t>pdFVIII</w:t>
            </w:r>
            <w:proofErr w:type="spellEnd"/>
            <w:r>
              <w:t>/</w:t>
            </w:r>
            <w:proofErr w:type="spellStart"/>
            <w:r>
              <w:t>vWF</w:t>
            </w:r>
            <w:proofErr w:type="spellEnd"/>
          </w:p>
        </w:tc>
        <w:tc>
          <w:tcPr>
            <w:tcW w:w="548" w:type="pct"/>
          </w:tcPr>
          <w:p w14:paraId="33A4C34C" w14:textId="77777777" w:rsidR="00634D7D" w:rsidRDefault="00634D7D" w:rsidP="001700F5">
            <w:pPr>
              <w:pStyle w:val="Tabletext"/>
            </w:pPr>
            <w:r>
              <w:t xml:space="preserve">CSL </w:t>
            </w:r>
          </w:p>
        </w:tc>
        <w:tc>
          <w:tcPr>
            <w:tcW w:w="1101" w:type="pct"/>
          </w:tcPr>
          <w:p w14:paraId="52E50696" w14:textId="5FA6D7F3" w:rsidR="00634D7D" w:rsidRDefault="00634D7D" w:rsidP="001700F5">
            <w:pPr>
              <w:pStyle w:val="Tabletext"/>
            </w:pPr>
            <w:r>
              <w:t>102109, 102110, 231858, 231859, 80523</w:t>
            </w:r>
          </w:p>
        </w:tc>
        <w:tc>
          <w:tcPr>
            <w:tcW w:w="1259" w:type="pct"/>
          </w:tcPr>
          <w:p w14:paraId="47D63FB7" w14:textId="77777777" w:rsidR="00634D7D" w:rsidRDefault="005E189A" w:rsidP="005E189A">
            <w:pPr>
              <w:pStyle w:val="Tabletext"/>
            </w:pPr>
            <w:r>
              <w:t>12.5 – 20 IU/kg 1 – 3 x weekly</w:t>
            </w:r>
          </w:p>
          <w:p w14:paraId="71CDE366" w14:textId="01572BDF" w:rsidR="005E189A" w:rsidRDefault="005E189A" w:rsidP="005E189A">
            <w:pPr>
              <w:pStyle w:val="Tabletext"/>
            </w:pPr>
            <w:r>
              <w:t>In young patients shorter dose intervals or higher doses may be necessary</w:t>
            </w:r>
          </w:p>
        </w:tc>
        <w:tc>
          <w:tcPr>
            <w:tcW w:w="1149" w:type="pct"/>
          </w:tcPr>
          <w:p w14:paraId="6B2918A6" w14:textId="77777777" w:rsidR="00634D7D" w:rsidRDefault="000C00EB" w:rsidP="001700F5">
            <w:pPr>
              <w:pStyle w:val="Tabletext"/>
            </w:pPr>
            <w:r>
              <w:t>250 IU for $218.14</w:t>
            </w:r>
          </w:p>
          <w:p w14:paraId="782FEFA1" w14:textId="77777777" w:rsidR="000C00EB" w:rsidRDefault="000C00EB" w:rsidP="001700F5">
            <w:pPr>
              <w:pStyle w:val="Tabletext"/>
            </w:pPr>
            <w:r>
              <w:t>500 IU for $436.29</w:t>
            </w:r>
          </w:p>
          <w:p w14:paraId="25FF0F20" w14:textId="0BECC577" w:rsidR="000C00EB" w:rsidRDefault="000C00EB" w:rsidP="001700F5">
            <w:pPr>
              <w:pStyle w:val="Tabletext"/>
            </w:pPr>
            <w:r>
              <w:t>1000 IU for $872.57</w:t>
            </w:r>
          </w:p>
        </w:tc>
      </w:tr>
      <w:tr w:rsidR="00D17551" w14:paraId="1839B9AA" w14:textId="77777777" w:rsidTr="00016AC7">
        <w:trPr>
          <w:trHeight w:val="559"/>
        </w:trPr>
        <w:tc>
          <w:tcPr>
            <w:tcW w:w="943" w:type="pct"/>
          </w:tcPr>
          <w:p w14:paraId="18925314" w14:textId="77777777" w:rsidR="00D17551" w:rsidRDefault="00D17551" w:rsidP="004711A6">
            <w:pPr>
              <w:pStyle w:val="Tabletext"/>
            </w:pPr>
            <w:proofErr w:type="spellStart"/>
            <w:r>
              <w:t>rFVIII</w:t>
            </w:r>
            <w:proofErr w:type="spellEnd"/>
            <w:r>
              <w:t xml:space="preserve"> (</w:t>
            </w:r>
            <w:proofErr w:type="spellStart"/>
            <w:r>
              <w:t>NovoEight</w:t>
            </w:r>
            <w:proofErr w:type="spellEnd"/>
            <w:r>
              <w:t>)</w:t>
            </w:r>
          </w:p>
        </w:tc>
        <w:tc>
          <w:tcPr>
            <w:tcW w:w="548" w:type="pct"/>
          </w:tcPr>
          <w:p w14:paraId="4089F52A" w14:textId="77777777" w:rsidR="00D17551" w:rsidRDefault="00D17551" w:rsidP="004711A6">
            <w:pPr>
              <w:pStyle w:val="Tabletext"/>
            </w:pPr>
            <w:r>
              <w:t xml:space="preserve">Novo Nordisk </w:t>
            </w:r>
          </w:p>
        </w:tc>
        <w:tc>
          <w:tcPr>
            <w:tcW w:w="1101" w:type="pct"/>
          </w:tcPr>
          <w:p w14:paraId="078F305E" w14:textId="77777777" w:rsidR="00D17551" w:rsidRDefault="00D17551" w:rsidP="004711A6">
            <w:pPr>
              <w:pStyle w:val="Tabletext"/>
            </w:pPr>
            <w:r>
              <w:t>204317, 205390, 205395, 205396 205397, 205398</w:t>
            </w:r>
            <w:r>
              <w:rPr>
                <w:szCs w:val="20"/>
              </w:rPr>
              <w:t xml:space="preserve">  </w:t>
            </w:r>
          </w:p>
        </w:tc>
        <w:tc>
          <w:tcPr>
            <w:tcW w:w="1259" w:type="pct"/>
          </w:tcPr>
          <w:p w14:paraId="1B3F2D0A" w14:textId="77777777" w:rsidR="00D17551" w:rsidRDefault="00D17551" w:rsidP="004711A6">
            <w:pPr>
              <w:pStyle w:val="Tabletext"/>
            </w:pPr>
            <w:r>
              <w:t>Patients ≥12 years old: 20 – 50 IU/3 x per week or 20 – 40 IU/kg every other day</w:t>
            </w:r>
          </w:p>
          <w:p w14:paraId="61AF9686" w14:textId="77777777" w:rsidR="00D17551" w:rsidRDefault="00D17551" w:rsidP="004711A6">
            <w:pPr>
              <w:pStyle w:val="Tabletext"/>
            </w:pPr>
            <w:r>
              <w:t>Patients &lt;12 years old: 25 – 60 IU/3 x per week or 25 – 50 IU every other day</w:t>
            </w:r>
          </w:p>
        </w:tc>
        <w:tc>
          <w:tcPr>
            <w:tcW w:w="1149" w:type="pct"/>
          </w:tcPr>
          <w:p w14:paraId="282E6DDF" w14:textId="77777777" w:rsidR="00D17551" w:rsidRDefault="00D17551" w:rsidP="004711A6">
            <w:pPr>
              <w:pStyle w:val="Tabletext"/>
            </w:pPr>
            <w:r>
              <w:t>-</w:t>
            </w:r>
          </w:p>
        </w:tc>
      </w:tr>
      <w:tr w:rsidR="00D17551" w14:paraId="566EE856" w14:textId="77777777" w:rsidTr="00016AC7">
        <w:trPr>
          <w:trHeight w:val="559"/>
        </w:trPr>
        <w:tc>
          <w:tcPr>
            <w:tcW w:w="943" w:type="pct"/>
          </w:tcPr>
          <w:p w14:paraId="79946454" w14:textId="504D988A" w:rsidR="00D17551" w:rsidRDefault="005E189A" w:rsidP="004711A6">
            <w:pPr>
              <w:pStyle w:val="Tabletext"/>
            </w:pPr>
            <w:proofErr w:type="spellStart"/>
            <w:r>
              <w:t>rAHF</w:t>
            </w:r>
            <w:proofErr w:type="spellEnd"/>
            <w:r>
              <w:t xml:space="preserve">, </w:t>
            </w:r>
            <w:proofErr w:type="spellStart"/>
            <w:r w:rsidR="00D17551">
              <w:t>rFVIII</w:t>
            </w:r>
            <w:proofErr w:type="spellEnd"/>
            <w:r w:rsidR="00D17551">
              <w:t xml:space="preserve"> (</w:t>
            </w:r>
            <w:proofErr w:type="spellStart"/>
            <w:r w:rsidR="00D17551">
              <w:t>Recombinate</w:t>
            </w:r>
            <w:proofErr w:type="spellEnd"/>
            <w:r w:rsidR="00D17551">
              <w:t>)</w:t>
            </w:r>
          </w:p>
        </w:tc>
        <w:tc>
          <w:tcPr>
            <w:tcW w:w="548" w:type="pct"/>
          </w:tcPr>
          <w:p w14:paraId="4CD9E5D9" w14:textId="3D4833BB" w:rsidR="00D17551" w:rsidRDefault="006C35F7" w:rsidP="004711A6">
            <w:pPr>
              <w:pStyle w:val="Tabletext"/>
            </w:pPr>
            <w:proofErr w:type="spellStart"/>
            <w:r>
              <w:t>Baxalta</w:t>
            </w:r>
            <w:proofErr w:type="spellEnd"/>
          </w:p>
        </w:tc>
        <w:tc>
          <w:tcPr>
            <w:tcW w:w="1101" w:type="pct"/>
          </w:tcPr>
          <w:p w14:paraId="5E538F12" w14:textId="4845EAA9" w:rsidR="00D17551" w:rsidRDefault="006C35F7" w:rsidP="004711A6">
            <w:pPr>
              <w:pStyle w:val="Tabletext"/>
            </w:pPr>
            <w:r>
              <w:t>65814, 35857, 35858</w:t>
            </w:r>
          </w:p>
        </w:tc>
        <w:tc>
          <w:tcPr>
            <w:tcW w:w="1259" w:type="pct"/>
          </w:tcPr>
          <w:p w14:paraId="46A48C31" w14:textId="4BE1CC99" w:rsidR="00D17551" w:rsidRDefault="005E189A" w:rsidP="004711A6">
            <w:pPr>
              <w:pStyle w:val="Tabletext"/>
            </w:pPr>
            <w:r>
              <w:t>Not stated in PI</w:t>
            </w:r>
          </w:p>
        </w:tc>
        <w:tc>
          <w:tcPr>
            <w:tcW w:w="1149" w:type="pct"/>
          </w:tcPr>
          <w:p w14:paraId="31A307CC" w14:textId="77777777" w:rsidR="00D17551" w:rsidRDefault="00D17551" w:rsidP="004711A6">
            <w:pPr>
              <w:pStyle w:val="Tabletext"/>
            </w:pPr>
            <w:r>
              <w:t>-</w:t>
            </w:r>
          </w:p>
        </w:tc>
      </w:tr>
      <w:tr w:rsidR="00D17551" w14:paraId="7B57D842" w14:textId="77777777" w:rsidTr="00016AC7">
        <w:trPr>
          <w:trHeight w:val="559"/>
        </w:trPr>
        <w:tc>
          <w:tcPr>
            <w:tcW w:w="943" w:type="pct"/>
          </w:tcPr>
          <w:p w14:paraId="77D4132A" w14:textId="3072DF4D" w:rsidR="00D17551" w:rsidRDefault="005E189A" w:rsidP="004711A6">
            <w:pPr>
              <w:pStyle w:val="Tabletext"/>
            </w:pPr>
            <w:proofErr w:type="spellStart"/>
            <w:r>
              <w:t>bhk</w:t>
            </w:r>
            <w:proofErr w:type="spellEnd"/>
            <w:r>
              <w:t xml:space="preserve"> </w:t>
            </w:r>
            <w:proofErr w:type="spellStart"/>
            <w:r w:rsidR="00D17551">
              <w:t>rFVIII</w:t>
            </w:r>
            <w:proofErr w:type="spellEnd"/>
            <w:r w:rsidR="00D17551">
              <w:t xml:space="preserve"> (</w:t>
            </w:r>
            <w:proofErr w:type="spellStart"/>
            <w:r w:rsidR="00D17551">
              <w:t>Kogenate</w:t>
            </w:r>
            <w:proofErr w:type="spellEnd"/>
            <w:r w:rsidR="00D17551">
              <w:t xml:space="preserve"> FS)</w:t>
            </w:r>
          </w:p>
        </w:tc>
        <w:tc>
          <w:tcPr>
            <w:tcW w:w="548" w:type="pct"/>
          </w:tcPr>
          <w:p w14:paraId="1DF02FFD" w14:textId="77777777" w:rsidR="00D17551" w:rsidRDefault="00D17551" w:rsidP="004711A6">
            <w:pPr>
              <w:pStyle w:val="Tabletext"/>
            </w:pPr>
            <w:r>
              <w:t>Bayer Australia Ltd</w:t>
            </w:r>
          </w:p>
        </w:tc>
        <w:tc>
          <w:tcPr>
            <w:tcW w:w="1101" w:type="pct"/>
          </w:tcPr>
          <w:p w14:paraId="226DCEF5" w14:textId="77777777" w:rsidR="00D17551" w:rsidRDefault="00D17551" w:rsidP="004711A6">
            <w:pPr>
              <w:pStyle w:val="Tabletext"/>
            </w:pPr>
            <w:r>
              <w:t>153830, 173675, 77688, 77689, 77690</w:t>
            </w:r>
          </w:p>
        </w:tc>
        <w:tc>
          <w:tcPr>
            <w:tcW w:w="1259" w:type="pct"/>
          </w:tcPr>
          <w:p w14:paraId="082B7023" w14:textId="77777777" w:rsidR="00D17551" w:rsidRDefault="005E189A" w:rsidP="004711A6">
            <w:pPr>
              <w:pStyle w:val="Tabletext"/>
            </w:pPr>
            <w:r>
              <w:t>10 – 50 IU/kg every 2 to 3 days</w:t>
            </w:r>
          </w:p>
          <w:p w14:paraId="69A962DF" w14:textId="292D027F" w:rsidR="005E189A" w:rsidRDefault="005E189A" w:rsidP="004711A6">
            <w:pPr>
              <w:pStyle w:val="Tabletext"/>
            </w:pPr>
            <w:r>
              <w:t>In younger patients, shorter dosage intervals or higher doses may be necessary</w:t>
            </w:r>
          </w:p>
        </w:tc>
        <w:tc>
          <w:tcPr>
            <w:tcW w:w="1149" w:type="pct"/>
          </w:tcPr>
          <w:p w14:paraId="2242E4FF" w14:textId="77777777" w:rsidR="00D17551" w:rsidRDefault="00D17551" w:rsidP="004711A6">
            <w:pPr>
              <w:pStyle w:val="Tabletext"/>
            </w:pPr>
            <w:r>
              <w:t>-</w:t>
            </w:r>
          </w:p>
        </w:tc>
      </w:tr>
    </w:tbl>
    <w:p w14:paraId="6B0AD9D6" w14:textId="572FA9B5" w:rsidR="00B80531" w:rsidRPr="007A626D" w:rsidRDefault="00193A64">
      <w:pPr>
        <w:rPr>
          <w:rFonts w:ascii="Arial Narrow" w:hAnsi="Arial Narrow"/>
          <w:sz w:val="18"/>
          <w:szCs w:val="18"/>
        </w:rPr>
      </w:pPr>
      <w:r>
        <w:rPr>
          <w:rFonts w:ascii="Arial Narrow" w:hAnsi="Arial Narrow"/>
          <w:sz w:val="18"/>
          <w:szCs w:val="18"/>
        </w:rPr>
        <w:t xml:space="preserve">ARTG: Australian Register of Therapeutic Goods; </w:t>
      </w:r>
      <w:r w:rsidR="00016AC7">
        <w:rPr>
          <w:rFonts w:ascii="Arial Narrow" w:hAnsi="Arial Narrow"/>
          <w:sz w:val="18"/>
          <w:szCs w:val="18"/>
        </w:rPr>
        <w:t xml:space="preserve">IU = International Units; </w:t>
      </w:r>
      <w:r w:rsidR="000A68F3" w:rsidRPr="007A626D">
        <w:rPr>
          <w:rFonts w:ascii="Arial Narrow" w:hAnsi="Arial Narrow"/>
          <w:sz w:val="18"/>
          <w:szCs w:val="18"/>
        </w:rPr>
        <w:t xml:space="preserve">NBA = National Blood Authority; PI = Product Information </w:t>
      </w:r>
    </w:p>
    <w:p w14:paraId="1A53E167" w14:textId="1809F34E" w:rsidR="00B80531" w:rsidRDefault="00B80531" w:rsidP="00B80531">
      <w:pPr>
        <w:pStyle w:val="Caption"/>
      </w:pPr>
      <w:bookmarkStart w:id="16" w:name="_Ref495668272"/>
      <w:r>
        <w:lastRenderedPageBreak/>
        <w:t xml:space="preserve">Table </w:t>
      </w:r>
      <w:r>
        <w:fldChar w:fldCharType="begin"/>
      </w:r>
      <w:r>
        <w:instrText xml:space="preserve"> SEQ Table \* ARABIC </w:instrText>
      </w:r>
      <w:r>
        <w:fldChar w:fldCharType="separate"/>
      </w:r>
      <w:r w:rsidR="00205D92">
        <w:rPr>
          <w:noProof/>
        </w:rPr>
        <w:t>7</w:t>
      </w:r>
      <w:r>
        <w:rPr>
          <w:noProof/>
        </w:rPr>
        <w:fldChar w:fldCharType="end"/>
      </w:r>
      <w:bookmarkEnd w:id="16"/>
      <w:r>
        <w:tab/>
        <w:t>Standard half-life products for treating haemophilia B</w:t>
      </w:r>
      <w:r w:rsidR="00F74EE8">
        <w:t xml:space="preserve"> (FIX products)</w:t>
      </w:r>
    </w:p>
    <w:tbl>
      <w:tblPr>
        <w:tblStyle w:val="TableGrid"/>
        <w:tblW w:w="5000" w:type="pct"/>
        <w:tblLook w:val="04A0" w:firstRow="1" w:lastRow="0" w:firstColumn="1" w:lastColumn="0" w:noHBand="0" w:noVBand="1"/>
        <w:tblCaption w:val="SHL products for HMB"/>
        <w:tblDescription w:val="SHL products for HMB"/>
      </w:tblPr>
      <w:tblGrid>
        <w:gridCol w:w="1742"/>
        <w:gridCol w:w="1128"/>
        <w:gridCol w:w="2124"/>
        <w:gridCol w:w="2124"/>
        <w:gridCol w:w="2124"/>
      </w:tblGrid>
      <w:tr w:rsidR="00F74EE8" w14:paraId="4EEA92AE" w14:textId="77777777" w:rsidTr="000D0BB0">
        <w:trPr>
          <w:trHeight w:val="537"/>
          <w:tblHeader/>
        </w:trPr>
        <w:tc>
          <w:tcPr>
            <w:tcW w:w="943" w:type="pct"/>
            <w:vAlign w:val="center"/>
          </w:tcPr>
          <w:p w14:paraId="72B8D39D" w14:textId="77777777" w:rsidR="00F74EE8" w:rsidRPr="008813C9" w:rsidRDefault="00F74EE8" w:rsidP="004711A6">
            <w:pPr>
              <w:pStyle w:val="Tableheader"/>
            </w:pPr>
            <w:r>
              <w:t>Product (trade/generic name)</w:t>
            </w:r>
          </w:p>
        </w:tc>
        <w:tc>
          <w:tcPr>
            <w:tcW w:w="610" w:type="pct"/>
            <w:vAlign w:val="center"/>
          </w:tcPr>
          <w:p w14:paraId="379B2B77" w14:textId="77777777" w:rsidR="00F74EE8" w:rsidRPr="008813C9" w:rsidRDefault="00F74EE8" w:rsidP="004711A6">
            <w:pPr>
              <w:pStyle w:val="Tableheader"/>
            </w:pPr>
            <w:r>
              <w:t>Company</w:t>
            </w:r>
          </w:p>
        </w:tc>
        <w:tc>
          <w:tcPr>
            <w:tcW w:w="1149" w:type="pct"/>
          </w:tcPr>
          <w:p w14:paraId="56DF50C4" w14:textId="2FAD593D" w:rsidR="00F74EE8" w:rsidRDefault="005C22E0" w:rsidP="004711A6">
            <w:pPr>
              <w:pStyle w:val="Tableheader"/>
            </w:pPr>
            <w:r>
              <w:t>ARTG listings</w:t>
            </w:r>
          </w:p>
        </w:tc>
        <w:tc>
          <w:tcPr>
            <w:tcW w:w="1149" w:type="pct"/>
          </w:tcPr>
          <w:p w14:paraId="502A558E" w14:textId="77777777" w:rsidR="00F74EE8" w:rsidRDefault="00F74EE8" w:rsidP="004711A6">
            <w:pPr>
              <w:pStyle w:val="Tableheader"/>
            </w:pPr>
            <w:r>
              <w:t>Prophylaxis regimen recommended in PI</w:t>
            </w:r>
          </w:p>
        </w:tc>
        <w:tc>
          <w:tcPr>
            <w:tcW w:w="1149" w:type="pct"/>
          </w:tcPr>
          <w:p w14:paraId="25191941" w14:textId="5E4383D3" w:rsidR="00F74EE8" w:rsidRDefault="00F74EE8" w:rsidP="004711A6">
            <w:pPr>
              <w:pStyle w:val="Tableheader"/>
            </w:pPr>
            <w:r>
              <w:t xml:space="preserve">Price under NBA supply arrangement </w:t>
            </w:r>
            <w:r w:rsidR="000C00EB">
              <w:t xml:space="preserve"> (prices as at 1 July 2017)</w:t>
            </w:r>
          </w:p>
        </w:tc>
      </w:tr>
      <w:tr w:rsidR="00634D7D" w14:paraId="542E84DE" w14:textId="791CF12B" w:rsidTr="00B80531">
        <w:trPr>
          <w:trHeight w:val="559"/>
        </w:trPr>
        <w:tc>
          <w:tcPr>
            <w:tcW w:w="943" w:type="pct"/>
          </w:tcPr>
          <w:p w14:paraId="726552EF" w14:textId="07408F7A" w:rsidR="000C00EB" w:rsidRDefault="006C35F7" w:rsidP="001700F5">
            <w:pPr>
              <w:pStyle w:val="Tabletext"/>
            </w:pPr>
            <w:proofErr w:type="spellStart"/>
            <w:r>
              <w:t>rch</w:t>
            </w:r>
            <w:proofErr w:type="spellEnd"/>
            <w:r>
              <w:t xml:space="preserve"> </w:t>
            </w:r>
            <w:proofErr w:type="spellStart"/>
            <w:r w:rsidR="000C00EB">
              <w:t>rFIX</w:t>
            </w:r>
            <w:proofErr w:type="spellEnd"/>
            <w:r w:rsidR="000C00EB">
              <w:t xml:space="preserve"> </w:t>
            </w:r>
          </w:p>
          <w:p w14:paraId="33B084E1" w14:textId="342BA093" w:rsidR="00634D7D" w:rsidRDefault="000C00EB" w:rsidP="001700F5">
            <w:pPr>
              <w:pStyle w:val="Tabletext"/>
            </w:pPr>
            <w:r>
              <w:t>(</w:t>
            </w:r>
            <w:proofErr w:type="spellStart"/>
            <w:r w:rsidR="00634D7D">
              <w:t>Rixubis</w:t>
            </w:r>
            <w:proofErr w:type="spellEnd"/>
            <w:r>
              <w:t>)</w:t>
            </w:r>
          </w:p>
          <w:p w14:paraId="3E366111" w14:textId="01F18AC9" w:rsidR="000C00EB" w:rsidRDefault="000C00EB" w:rsidP="001700F5">
            <w:pPr>
              <w:pStyle w:val="Tabletext"/>
            </w:pPr>
          </w:p>
        </w:tc>
        <w:tc>
          <w:tcPr>
            <w:tcW w:w="610" w:type="pct"/>
          </w:tcPr>
          <w:p w14:paraId="47369826" w14:textId="77777777" w:rsidR="00634D7D" w:rsidRDefault="00634D7D" w:rsidP="001700F5">
            <w:pPr>
              <w:pStyle w:val="Tabletext"/>
            </w:pPr>
            <w:proofErr w:type="spellStart"/>
            <w:r>
              <w:t>Baxalta</w:t>
            </w:r>
            <w:proofErr w:type="spellEnd"/>
          </w:p>
        </w:tc>
        <w:tc>
          <w:tcPr>
            <w:tcW w:w="1149" w:type="pct"/>
          </w:tcPr>
          <w:p w14:paraId="1477D4E1" w14:textId="284532DB" w:rsidR="00634D7D" w:rsidRDefault="00634D7D" w:rsidP="001700F5">
            <w:pPr>
              <w:pStyle w:val="Tabletext"/>
            </w:pPr>
            <w:r>
              <w:t xml:space="preserve">204765, 204766, 204767, 204768, 204769 </w:t>
            </w:r>
          </w:p>
        </w:tc>
        <w:tc>
          <w:tcPr>
            <w:tcW w:w="1149" w:type="pct"/>
          </w:tcPr>
          <w:p w14:paraId="22F3EC8D" w14:textId="77777777" w:rsidR="00634D7D" w:rsidRDefault="006C35F7" w:rsidP="001700F5">
            <w:pPr>
              <w:pStyle w:val="Tabletext"/>
            </w:pPr>
            <w:r>
              <w:t>Patients ≥12 years old: 40 – 60 IU/kg 2 x per week</w:t>
            </w:r>
          </w:p>
          <w:p w14:paraId="4328DBAB" w14:textId="77777777" w:rsidR="006C35F7" w:rsidRDefault="006C35F7" w:rsidP="001700F5">
            <w:pPr>
              <w:pStyle w:val="Tabletext"/>
            </w:pPr>
            <w:r>
              <w:t>Patients &lt;12 years old: 40 – 80 IU/kg 2 x per week</w:t>
            </w:r>
          </w:p>
          <w:p w14:paraId="70E137B0" w14:textId="75A2D108" w:rsidR="006C35F7" w:rsidRDefault="006C35F7" w:rsidP="001700F5">
            <w:pPr>
              <w:pStyle w:val="Tabletext"/>
            </w:pPr>
            <w:r>
              <w:t>Shorter dosage intervals or higher doses may be necessary</w:t>
            </w:r>
          </w:p>
        </w:tc>
        <w:tc>
          <w:tcPr>
            <w:tcW w:w="1149" w:type="pct"/>
          </w:tcPr>
          <w:p w14:paraId="22BE02C0" w14:textId="77777777" w:rsidR="00B80531" w:rsidRDefault="00B80531" w:rsidP="00B80531">
            <w:pPr>
              <w:pStyle w:val="Tabletext"/>
            </w:pPr>
            <w:r>
              <w:t>250 IU for $196.50</w:t>
            </w:r>
          </w:p>
          <w:p w14:paraId="6E7C3B2A" w14:textId="77777777" w:rsidR="00B80531" w:rsidRDefault="00B80531" w:rsidP="00B80531">
            <w:pPr>
              <w:pStyle w:val="Tabletext"/>
            </w:pPr>
            <w:r>
              <w:t>500 IU for $393</w:t>
            </w:r>
          </w:p>
          <w:p w14:paraId="2EF6BC09" w14:textId="77777777" w:rsidR="00B80531" w:rsidRDefault="00B80531" w:rsidP="00B80531">
            <w:pPr>
              <w:pStyle w:val="Tabletext"/>
            </w:pPr>
            <w:r>
              <w:t>1000 IU for $786</w:t>
            </w:r>
          </w:p>
          <w:p w14:paraId="4A986FD3" w14:textId="77777777" w:rsidR="00B80531" w:rsidRDefault="00B80531" w:rsidP="00B80531">
            <w:pPr>
              <w:pStyle w:val="Tabletext"/>
            </w:pPr>
            <w:r>
              <w:t>2000 IU for $1572</w:t>
            </w:r>
          </w:p>
          <w:p w14:paraId="665CEB6A" w14:textId="438A44C8" w:rsidR="00634D7D" w:rsidRDefault="00B80531" w:rsidP="00B80531">
            <w:pPr>
              <w:pStyle w:val="Tabletext"/>
            </w:pPr>
            <w:r>
              <w:t>3000 IU for $2358</w:t>
            </w:r>
          </w:p>
        </w:tc>
      </w:tr>
      <w:tr w:rsidR="00634D7D" w14:paraId="2FD8D6E3" w14:textId="15C037D3" w:rsidTr="00B80531">
        <w:trPr>
          <w:trHeight w:val="559"/>
        </w:trPr>
        <w:tc>
          <w:tcPr>
            <w:tcW w:w="943" w:type="pct"/>
          </w:tcPr>
          <w:p w14:paraId="09B31D6C" w14:textId="023A1001" w:rsidR="005C22E0" w:rsidRDefault="006C35F7" w:rsidP="001700F5">
            <w:pPr>
              <w:pStyle w:val="Tabletext"/>
            </w:pPr>
            <w:proofErr w:type="spellStart"/>
            <w:r>
              <w:t>rch</w:t>
            </w:r>
            <w:proofErr w:type="spellEnd"/>
            <w:r>
              <w:t xml:space="preserve"> </w:t>
            </w:r>
            <w:proofErr w:type="spellStart"/>
            <w:r w:rsidR="005C22E0">
              <w:t>rFIX</w:t>
            </w:r>
            <w:proofErr w:type="spellEnd"/>
          </w:p>
          <w:p w14:paraId="17AC1D48" w14:textId="2B1BEC27" w:rsidR="00634D7D" w:rsidRDefault="000C00EB" w:rsidP="001700F5">
            <w:pPr>
              <w:pStyle w:val="Tabletext"/>
            </w:pPr>
            <w:r>
              <w:t>(</w:t>
            </w:r>
            <w:proofErr w:type="spellStart"/>
            <w:r w:rsidR="00634D7D">
              <w:t>BeneFIX</w:t>
            </w:r>
            <w:proofErr w:type="spellEnd"/>
            <w:r>
              <w:t>)</w:t>
            </w:r>
            <w:r w:rsidR="00634D7D">
              <w:t xml:space="preserve"> </w:t>
            </w:r>
          </w:p>
          <w:p w14:paraId="40EC0476" w14:textId="28922571" w:rsidR="00634D7D" w:rsidRDefault="00634D7D" w:rsidP="001700F5">
            <w:pPr>
              <w:pStyle w:val="Tabletext"/>
            </w:pPr>
          </w:p>
        </w:tc>
        <w:tc>
          <w:tcPr>
            <w:tcW w:w="610" w:type="pct"/>
          </w:tcPr>
          <w:p w14:paraId="3973EA46" w14:textId="77777777" w:rsidR="00634D7D" w:rsidRDefault="00634D7D" w:rsidP="001700F5">
            <w:pPr>
              <w:pStyle w:val="Tabletext"/>
            </w:pPr>
            <w:r>
              <w:t>Pfizer</w:t>
            </w:r>
          </w:p>
        </w:tc>
        <w:tc>
          <w:tcPr>
            <w:tcW w:w="1149" w:type="pct"/>
          </w:tcPr>
          <w:p w14:paraId="2EEF5D3E" w14:textId="01BCD028" w:rsidR="00634D7D" w:rsidRDefault="00634D7D" w:rsidP="001700F5">
            <w:pPr>
              <w:pStyle w:val="Tabletext"/>
            </w:pPr>
            <w:r>
              <w:t>128339, 128375, 128377, 128378, 203316</w:t>
            </w:r>
          </w:p>
        </w:tc>
        <w:tc>
          <w:tcPr>
            <w:tcW w:w="1149" w:type="pct"/>
          </w:tcPr>
          <w:p w14:paraId="4100BAF6" w14:textId="08849FA7" w:rsidR="00634D7D" w:rsidRDefault="006C35F7" w:rsidP="001700F5">
            <w:pPr>
              <w:pStyle w:val="Tabletext"/>
            </w:pPr>
            <w:r>
              <w:t xml:space="preserve">Appropriate dose for secondary prophylaxis has not been determined. Individualised dosing required. </w:t>
            </w:r>
          </w:p>
        </w:tc>
        <w:tc>
          <w:tcPr>
            <w:tcW w:w="1149" w:type="pct"/>
          </w:tcPr>
          <w:p w14:paraId="2DE73647" w14:textId="77777777" w:rsidR="00B80531" w:rsidRDefault="00B80531" w:rsidP="00B80531">
            <w:pPr>
              <w:pStyle w:val="Tabletext"/>
            </w:pPr>
            <w:r>
              <w:t>250 IU for $197.5</w:t>
            </w:r>
          </w:p>
          <w:p w14:paraId="1A1A145E" w14:textId="77777777" w:rsidR="00B80531" w:rsidRDefault="00B80531" w:rsidP="00B80531">
            <w:pPr>
              <w:pStyle w:val="Tabletext"/>
            </w:pPr>
            <w:r>
              <w:t>500 IU for $395</w:t>
            </w:r>
          </w:p>
          <w:p w14:paraId="758C1411" w14:textId="77777777" w:rsidR="00B80531" w:rsidRDefault="00B80531" w:rsidP="00B80531">
            <w:pPr>
              <w:pStyle w:val="Tabletext"/>
            </w:pPr>
            <w:r>
              <w:t>1000 IU for $790</w:t>
            </w:r>
          </w:p>
          <w:p w14:paraId="19EAB9AD" w14:textId="77777777" w:rsidR="00B80531" w:rsidRDefault="00B80531" w:rsidP="00B80531">
            <w:pPr>
              <w:pStyle w:val="Tabletext"/>
            </w:pPr>
            <w:r>
              <w:t>2000 IU for $1580</w:t>
            </w:r>
          </w:p>
          <w:p w14:paraId="0A2A45DD" w14:textId="5CE1F218" w:rsidR="00634D7D" w:rsidRDefault="00B80531" w:rsidP="00B80531">
            <w:pPr>
              <w:pStyle w:val="Tabletext"/>
            </w:pPr>
            <w:r>
              <w:t>3000 IU for $2370</w:t>
            </w:r>
          </w:p>
        </w:tc>
      </w:tr>
      <w:tr w:rsidR="00634D7D" w14:paraId="11DF982C" w14:textId="12C6E935" w:rsidTr="00B80531">
        <w:trPr>
          <w:trHeight w:val="559"/>
        </w:trPr>
        <w:tc>
          <w:tcPr>
            <w:tcW w:w="943" w:type="pct"/>
          </w:tcPr>
          <w:p w14:paraId="7F3C9A53" w14:textId="77777777" w:rsidR="005C22E0" w:rsidRDefault="005C22E0" w:rsidP="001700F5">
            <w:pPr>
              <w:pStyle w:val="Tabletext"/>
            </w:pPr>
            <w:proofErr w:type="spellStart"/>
            <w:r>
              <w:t>pdFIX</w:t>
            </w:r>
            <w:proofErr w:type="spellEnd"/>
            <w:r>
              <w:t xml:space="preserve"> </w:t>
            </w:r>
          </w:p>
          <w:p w14:paraId="2CB88142" w14:textId="52F971A4" w:rsidR="00634D7D" w:rsidRDefault="000C00EB" w:rsidP="001700F5">
            <w:pPr>
              <w:pStyle w:val="Tabletext"/>
            </w:pPr>
            <w:r>
              <w:t>(</w:t>
            </w:r>
            <w:proofErr w:type="spellStart"/>
            <w:r w:rsidR="00634D7D">
              <w:t>MonoFIX</w:t>
            </w:r>
            <w:proofErr w:type="spellEnd"/>
            <w:r w:rsidR="00634D7D">
              <w:t>-VF</w:t>
            </w:r>
            <w:r>
              <w:t>)</w:t>
            </w:r>
          </w:p>
          <w:p w14:paraId="3D437CB2" w14:textId="5FB19D9E" w:rsidR="00634D7D" w:rsidRDefault="00634D7D" w:rsidP="001700F5">
            <w:pPr>
              <w:pStyle w:val="Tabletext"/>
            </w:pPr>
          </w:p>
        </w:tc>
        <w:tc>
          <w:tcPr>
            <w:tcW w:w="610" w:type="pct"/>
          </w:tcPr>
          <w:p w14:paraId="61138996" w14:textId="77777777" w:rsidR="00634D7D" w:rsidRDefault="00634D7D" w:rsidP="001700F5">
            <w:pPr>
              <w:pStyle w:val="Tabletext"/>
            </w:pPr>
            <w:r>
              <w:t>CSL</w:t>
            </w:r>
          </w:p>
        </w:tc>
        <w:tc>
          <w:tcPr>
            <w:tcW w:w="1149" w:type="pct"/>
          </w:tcPr>
          <w:p w14:paraId="45921FED" w14:textId="2D603F2D" w:rsidR="00634D7D" w:rsidRDefault="00634D7D" w:rsidP="001700F5">
            <w:pPr>
              <w:pStyle w:val="Tabletext"/>
            </w:pPr>
            <w:r>
              <w:t>101710, 101711, 127476, 128007, 64759, 66066, 66208, 66301, 81649</w:t>
            </w:r>
          </w:p>
        </w:tc>
        <w:tc>
          <w:tcPr>
            <w:tcW w:w="1149" w:type="pct"/>
          </w:tcPr>
          <w:p w14:paraId="3709DE3A" w14:textId="6E8D2949" w:rsidR="00634D7D" w:rsidRDefault="006C35F7" w:rsidP="001700F5">
            <w:pPr>
              <w:pStyle w:val="Tabletext"/>
            </w:pPr>
            <w:r>
              <w:t>25 – 40 IU/kg 2 x per week</w:t>
            </w:r>
          </w:p>
        </w:tc>
        <w:tc>
          <w:tcPr>
            <w:tcW w:w="1149" w:type="pct"/>
          </w:tcPr>
          <w:p w14:paraId="73ED5963" w14:textId="30384CA5" w:rsidR="00634D7D" w:rsidRDefault="00634D7D" w:rsidP="00634D7D">
            <w:pPr>
              <w:pStyle w:val="Tabletext"/>
            </w:pPr>
            <w:r>
              <w:t>$872.57 per 1000 IU</w:t>
            </w:r>
          </w:p>
        </w:tc>
      </w:tr>
    </w:tbl>
    <w:p w14:paraId="6616988D" w14:textId="5A8E5647" w:rsidR="00012D8F" w:rsidRPr="007A626D" w:rsidRDefault="00193A64" w:rsidP="00012D8F">
      <w:pPr>
        <w:rPr>
          <w:rFonts w:ascii="Arial Narrow" w:hAnsi="Arial Narrow"/>
          <w:sz w:val="18"/>
          <w:szCs w:val="18"/>
        </w:rPr>
      </w:pPr>
      <w:r>
        <w:rPr>
          <w:rFonts w:ascii="Arial Narrow" w:hAnsi="Arial Narrow"/>
          <w:sz w:val="18"/>
          <w:szCs w:val="18"/>
        </w:rPr>
        <w:t xml:space="preserve">ARTG: Australian Register of Therapeutic Goods; </w:t>
      </w:r>
      <w:r w:rsidR="00016AC7">
        <w:rPr>
          <w:rFonts w:ascii="Arial Narrow" w:hAnsi="Arial Narrow"/>
          <w:sz w:val="18"/>
          <w:szCs w:val="18"/>
        </w:rPr>
        <w:t xml:space="preserve">IU = International Units; </w:t>
      </w:r>
      <w:r w:rsidR="00012D8F" w:rsidRPr="007A626D">
        <w:rPr>
          <w:rFonts w:ascii="Arial Narrow" w:hAnsi="Arial Narrow"/>
          <w:sz w:val="18"/>
          <w:szCs w:val="18"/>
        </w:rPr>
        <w:t xml:space="preserve">NBA = National Blood Authority; PI = Product Information </w:t>
      </w:r>
    </w:p>
    <w:p w14:paraId="3C747504" w14:textId="77777777" w:rsidR="00896845" w:rsidRPr="00E364F7" w:rsidRDefault="00896845">
      <w:pPr>
        <w:rPr>
          <w:b/>
        </w:rPr>
      </w:pPr>
      <w:r w:rsidRPr="00E364F7">
        <w:rPr>
          <w:b/>
        </w:rPr>
        <w:t>Outcomes</w:t>
      </w:r>
    </w:p>
    <w:p w14:paraId="6CAFDD7D" w14:textId="290A6535" w:rsidR="00F82386" w:rsidRPr="0014781F" w:rsidRDefault="002A66BD">
      <w:pPr>
        <w:rPr>
          <w:i/>
          <w:u w:val="single"/>
        </w:rPr>
      </w:pPr>
      <w:r w:rsidRPr="002A66BD">
        <w:rPr>
          <w:i/>
          <w:u w:val="single"/>
        </w:rPr>
        <w:t>Patient</w:t>
      </w:r>
      <w:r w:rsidR="009250F9">
        <w:rPr>
          <w:i/>
          <w:u w:val="single"/>
        </w:rPr>
        <w:t>-</w:t>
      </w:r>
      <w:r w:rsidRPr="002A66BD">
        <w:rPr>
          <w:i/>
          <w:u w:val="single"/>
        </w:rPr>
        <w:t>relevan</w:t>
      </w:r>
      <w:r w:rsidR="009250F9">
        <w:rPr>
          <w:i/>
          <w:u w:val="single"/>
        </w:rPr>
        <w:t>t outcomes</w:t>
      </w:r>
    </w:p>
    <w:p w14:paraId="2B2E2F4C" w14:textId="4EC0BCE3" w:rsidR="009A5A2B" w:rsidRDefault="009A5A2B">
      <w:r w:rsidRPr="009A5A2B">
        <w:t>EHL FVIII and FIX products are at least as effective as SHL FVIII and FIX products for preventing break-through bleeds (for those receiving prophylaxis) or for quickly resolving bleeds for patients on an on-demand treatment regimen</w:t>
      </w:r>
      <w:r w:rsidR="00566649">
        <w:t xml:space="preserve"> </w:t>
      </w:r>
      <w:r w:rsidR="00284F1F">
        <w:fldChar w:fldCharType="begin"/>
      </w:r>
      <w:r w:rsidR="00284F1F">
        <w:instrText xml:space="preserve"> ADDIN EN.CITE &lt;EndNote&gt;&lt;Cite&gt;&lt;Author&gt;Newton&lt;/Author&gt;&lt;Year&gt;2017&lt;/Year&gt;&lt;RecNum&gt;7&lt;/RecNum&gt;&lt;DisplayText&gt;(Newton et al. 2017)&lt;/DisplayText&gt;&lt;record&gt;&lt;rec-number&gt;7&lt;/rec-number&gt;&lt;foreign-keys&gt;&lt;key app="EN" db-id="05dfrv5t4ppa58ep50ixt0zyxesew55t555a" timestamp="1508292924"&gt;7&lt;/key&gt;&lt;/foreign-keys&gt;&lt;ref-type name="Report"&gt;27&lt;/ref-type&gt;&lt;contributors&gt;&lt;authors&gt;&lt;author&gt;Newton, S&lt;/author&gt;&lt;author&gt;Salinger, K&lt;/author&gt;&lt;author&gt;Pridham, L&lt;/author&gt;&lt;author&gt;Parsons, J&lt;/author&gt;&lt;author&gt;Merlin, T&lt;/author&gt;&lt;/authors&gt;&lt;/contributors&gt;&lt;titles&gt;&lt;title&gt;Assessment of extended half-life clotting factor concentrates (report for the AHCDO)&lt;/title&gt;&lt;/titles&gt;&lt;dates&gt;&lt;year&gt;2017&lt;/year&gt;&lt;/dates&gt;&lt;publisher&gt;Adelaide Health Technology Assessment, University of Adelaide&lt;/publisher&gt;&lt;urls&gt;&lt;/urls&gt;&lt;/record&gt;&lt;/Cite&gt;&lt;/EndNote&gt;</w:instrText>
      </w:r>
      <w:r w:rsidR="00284F1F">
        <w:fldChar w:fldCharType="separate"/>
      </w:r>
      <w:r w:rsidR="00284F1F">
        <w:rPr>
          <w:noProof/>
        </w:rPr>
        <w:t>(Newton et al. 2017)</w:t>
      </w:r>
      <w:r w:rsidR="00284F1F">
        <w:fldChar w:fldCharType="end"/>
      </w:r>
      <w:r w:rsidR="008B662B">
        <w:t xml:space="preserve">. </w:t>
      </w:r>
      <w:r w:rsidRPr="009A5A2B">
        <w:t xml:space="preserve">A reduction in bleeding episodes may also result in superior joint status, and reduced pain. The combination of fewer </w:t>
      </w:r>
      <w:proofErr w:type="gramStart"/>
      <w:r w:rsidR="00F070AA" w:rsidRPr="009A5A2B">
        <w:t>administrations</w:t>
      </w:r>
      <w:r w:rsidR="00F070AA">
        <w:t>,</w:t>
      </w:r>
      <w:proofErr w:type="gramEnd"/>
      <w:r w:rsidRPr="009A5A2B">
        <w:t xml:space="preserve"> reduced bleeding </w:t>
      </w:r>
      <w:r w:rsidR="00F070AA">
        <w:t xml:space="preserve">and improved joint status and pain </w:t>
      </w:r>
      <w:r w:rsidRPr="009A5A2B">
        <w:t xml:space="preserve">should also result in quality of life benefits. </w:t>
      </w:r>
      <w:r w:rsidR="00566649">
        <w:t xml:space="preserve">There is some evidence that longer intervals between prophylactic doses are associated with better compliance for on-schedule infusions </w:t>
      </w:r>
      <w:r w:rsidR="00284F1F">
        <w:fldChar w:fldCharType="begin"/>
      </w:r>
      <w:r w:rsidR="00284F1F">
        <w:instrText xml:space="preserve"> ADDIN EN.CITE &lt;EndNote&gt;&lt;Cite&gt;&lt;Author&gt;Newton&lt;/Author&gt;&lt;Year&gt;2017&lt;/Year&gt;&lt;RecNum&gt;7&lt;/RecNum&gt;&lt;DisplayText&gt;(Newton et al. 2017)&lt;/DisplayText&gt;&lt;record&gt;&lt;rec-number&gt;7&lt;/rec-number&gt;&lt;foreign-keys&gt;&lt;key app="EN" db-id="05dfrv5t4ppa58ep50ixt0zyxesew55t555a" timestamp="1508292924"&gt;7&lt;/key&gt;&lt;/foreign-keys&gt;&lt;ref-type name="Report"&gt;27&lt;/ref-type&gt;&lt;contributors&gt;&lt;authors&gt;&lt;author&gt;Newton, S&lt;/author&gt;&lt;author&gt;Salinger, K&lt;/author&gt;&lt;author&gt;Pridham, L&lt;/author&gt;&lt;author&gt;Parsons, J&lt;/author&gt;&lt;author&gt;Merlin, T&lt;/author&gt;&lt;/authors&gt;&lt;/contributors&gt;&lt;titles&gt;&lt;title&gt;Assessment of extended half-life clotting factor concentrates (report for the AHCDO)&lt;/title&gt;&lt;/titles&gt;&lt;dates&gt;&lt;year&gt;2017&lt;/year&gt;&lt;/dates&gt;&lt;publisher&gt;Adelaide Health Technology Assessment, University of Adelaide&lt;/publisher&gt;&lt;urls&gt;&lt;/urls&gt;&lt;/record&gt;&lt;/Cite&gt;&lt;/EndNote&gt;</w:instrText>
      </w:r>
      <w:r w:rsidR="00284F1F">
        <w:fldChar w:fldCharType="separate"/>
      </w:r>
      <w:r w:rsidR="00284F1F">
        <w:rPr>
          <w:noProof/>
        </w:rPr>
        <w:t>(Newton et al. 2017)</w:t>
      </w:r>
      <w:r w:rsidR="00284F1F">
        <w:fldChar w:fldCharType="end"/>
      </w:r>
      <w:r w:rsidR="00566649">
        <w:t xml:space="preserve">. </w:t>
      </w:r>
    </w:p>
    <w:p w14:paraId="7E47EC28" w14:textId="44911543" w:rsidR="00101724" w:rsidRDefault="00101724">
      <w:r>
        <w:t xml:space="preserve">The harms associated with EHL products appear to be the same as for SHL products. There is </w:t>
      </w:r>
      <w:r w:rsidR="00F070AA">
        <w:t>a</w:t>
      </w:r>
      <w:r>
        <w:t xml:space="preserve"> risk that patients will have an allergic reaction, thrombotic events, develop inhibitors, or a malignancy. </w:t>
      </w:r>
    </w:p>
    <w:p w14:paraId="086BA60F" w14:textId="531B2E0D" w:rsidR="00690352" w:rsidRPr="009A5A2B" w:rsidRDefault="00D709AB">
      <w:r>
        <w:t>Although the key outcomes of interest are those which are directly patient-relevant</w:t>
      </w:r>
      <w:r w:rsidR="003E48DF">
        <w:t>, PASC noted that it will be necessary to define extension of the half-life for each EHL product</w:t>
      </w:r>
      <w:r w:rsidR="00690352">
        <w:t xml:space="preserve">. The link between pharmacokinetic outcomes and clinical outcomes should be determined, where possible. </w:t>
      </w:r>
    </w:p>
    <w:p w14:paraId="73E67B42" w14:textId="41BC0613" w:rsidR="003E0382" w:rsidRPr="002A66BD" w:rsidRDefault="002A66BD" w:rsidP="00440228">
      <w:pPr>
        <w:rPr>
          <w:i/>
          <w:u w:val="single"/>
        </w:rPr>
      </w:pPr>
      <w:r w:rsidRPr="002A66BD">
        <w:rPr>
          <w:i/>
          <w:u w:val="single"/>
        </w:rPr>
        <w:t>Health</w:t>
      </w:r>
      <w:r w:rsidR="00752491">
        <w:rPr>
          <w:i/>
          <w:u w:val="single"/>
        </w:rPr>
        <w:t>care</w:t>
      </w:r>
      <w:r w:rsidRPr="002A66BD">
        <w:rPr>
          <w:i/>
          <w:u w:val="single"/>
        </w:rPr>
        <w:t xml:space="preserve"> system</w:t>
      </w:r>
      <w:r w:rsidR="009250F9">
        <w:rPr>
          <w:i/>
          <w:u w:val="single"/>
        </w:rPr>
        <w:t xml:space="preserve"> outcomes</w:t>
      </w:r>
    </w:p>
    <w:p w14:paraId="21D53A97" w14:textId="3A09FA54" w:rsidR="0088683B" w:rsidRDefault="00E729F0" w:rsidP="002B3338">
      <w:r>
        <w:t xml:space="preserve">With a switch to EHL products, dosing of FVIII </w:t>
      </w:r>
      <w:r w:rsidR="00A0665C">
        <w:t xml:space="preserve">and FIX products are required less often. </w:t>
      </w:r>
      <w:r w:rsidR="00FB1D66">
        <w:t>For those patients who have their treatment administered by haematologists</w:t>
      </w:r>
      <w:r w:rsidR="0014781F">
        <w:t>,</w:t>
      </w:r>
      <w:r w:rsidR="00FB1D66">
        <w:t xml:space="preserve"> haemophilia nurses</w:t>
      </w:r>
      <w:r w:rsidR="0014781F">
        <w:t xml:space="preserve"> or general practitioners</w:t>
      </w:r>
      <w:r w:rsidR="00FB1D66">
        <w:t xml:space="preserve"> (rather than self-administering), the EHL products will reduce the costs associated with these professionals. </w:t>
      </w:r>
      <w:r w:rsidR="00875EBA">
        <w:t>If fewer break-through bleeds occur</w:t>
      </w:r>
      <w:r w:rsidR="00402BBE">
        <w:t xml:space="preserve"> outside of haemophilia treatment centre </w:t>
      </w:r>
      <w:r w:rsidR="00402BBE">
        <w:lastRenderedPageBreak/>
        <w:t>business hours</w:t>
      </w:r>
      <w:r w:rsidR="00875EBA">
        <w:t>, emergency department costs will be reduced.</w:t>
      </w:r>
      <w:r w:rsidR="00402BBE">
        <w:t xml:space="preserve"> Expert opinion suggests that fewer port-a-</w:t>
      </w:r>
      <w:proofErr w:type="spellStart"/>
      <w:r w:rsidR="00402BBE">
        <w:t>caths</w:t>
      </w:r>
      <w:proofErr w:type="spellEnd"/>
      <w:r w:rsidR="00402BBE">
        <w:t xml:space="preserve"> would be inserted with the use of EHL products, which would reduce infection risks.</w:t>
      </w:r>
      <w:r w:rsidR="006405E1">
        <w:rPr>
          <w:rStyle w:val="FootnoteReference"/>
        </w:rPr>
        <w:footnoteReference w:id="1"/>
      </w:r>
      <w:r w:rsidR="00402BBE">
        <w:t xml:space="preserve">  </w:t>
      </w:r>
    </w:p>
    <w:p w14:paraId="1784519E" w14:textId="7217718A" w:rsidR="00690352" w:rsidRPr="00581F63" w:rsidRDefault="00451909" w:rsidP="002B3338">
      <w:r>
        <w:t>In the longer-term, a</w:t>
      </w:r>
      <w:r w:rsidR="0088683B">
        <w:t xml:space="preserve"> reduction in the number of bleeds will result in superior joint status. There will therefore be a reduction in costs associated with managing damaged joints, such as rheumatology, physiotherapy, synovectomy, joint replacement, </w:t>
      </w:r>
      <w:r w:rsidR="00EF0840">
        <w:t xml:space="preserve">and </w:t>
      </w:r>
      <w:r w:rsidR="0088683B">
        <w:t>non-steroidal anti-inflammatory drugs</w:t>
      </w:r>
      <w:r w:rsidR="00EF0840">
        <w:t>.</w:t>
      </w:r>
    </w:p>
    <w:p w14:paraId="197F69CA" w14:textId="77777777" w:rsidR="00896845" w:rsidRDefault="00896845" w:rsidP="00896845">
      <w:pPr>
        <w:pStyle w:val="Heading2"/>
        <w:spacing w:line="240" w:lineRule="auto"/>
        <w:jc w:val="both"/>
        <w:rPr>
          <w:color w:val="548DD4"/>
        </w:rPr>
      </w:pPr>
      <w:r w:rsidRPr="00896845">
        <w:rPr>
          <w:color w:val="548DD4"/>
        </w:rPr>
        <w:t>Current</w:t>
      </w:r>
      <w:r>
        <w:rPr>
          <w:color w:val="548DD4"/>
        </w:rPr>
        <w:t xml:space="preserve"> clinical</w:t>
      </w:r>
      <w:r w:rsidRPr="00896845">
        <w:rPr>
          <w:color w:val="548DD4"/>
        </w:rPr>
        <w:t xml:space="preserve"> management</w:t>
      </w:r>
      <w:r>
        <w:rPr>
          <w:color w:val="548DD4"/>
        </w:rPr>
        <w:t xml:space="preserve"> algorithm</w:t>
      </w:r>
      <w:r w:rsidR="002B3338">
        <w:rPr>
          <w:color w:val="548DD4"/>
        </w:rPr>
        <w:t xml:space="preserve"> for identified population</w:t>
      </w:r>
    </w:p>
    <w:p w14:paraId="40430517" w14:textId="0A691692" w:rsidR="00EF73A3" w:rsidRDefault="006A5A00">
      <w:r>
        <w:t xml:space="preserve">Clinical management algorithms help to demonstrate what current practice is, and how this will be </w:t>
      </w:r>
      <w:r w:rsidR="00385065">
        <w:t>altered</w:t>
      </w:r>
      <w:r>
        <w:t xml:space="preserve"> if the proposed intervention is incorporated into current practice. </w:t>
      </w:r>
      <w:r w:rsidR="00D728DC">
        <w:fldChar w:fldCharType="begin"/>
      </w:r>
      <w:r w:rsidR="00D728DC">
        <w:instrText xml:space="preserve"> REF _Ref504395433 \h </w:instrText>
      </w:r>
      <w:r w:rsidR="00D728DC">
        <w:fldChar w:fldCharType="separate"/>
      </w:r>
      <w:r w:rsidR="00D728DC">
        <w:t xml:space="preserve">Figure </w:t>
      </w:r>
      <w:r w:rsidR="00D728DC">
        <w:rPr>
          <w:noProof/>
        </w:rPr>
        <w:t>1</w:t>
      </w:r>
      <w:r w:rsidR="00D728DC">
        <w:fldChar w:fldCharType="end"/>
      </w:r>
      <w:r w:rsidR="00D728DC">
        <w:t xml:space="preserve"> shows the current clinical management algorithm for patients receiving routine prophylaxis or on-demand treatment, as well as surgical prophylaxis for bleeding control in the perioperative setting. In the current clinical setting, SHL products are used in all of these settings. </w:t>
      </w:r>
      <w:r w:rsidR="00D728DC">
        <w:fldChar w:fldCharType="begin"/>
      </w:r>
      <w:r w:rsidR="00D728DC">
        <w:instrText xml:space="preserve"> REF _Ref504395436 \h </w:instrText>
      </w:r>
      <w:r w:rsidR="00D728DC">
        <w:fldChar w:fldCharType="separate"/>
      </w:r>
      <w:r w:rsidR="00D728DC">
        <w:t xml:space="preserve">Figure </w:t>
      </w:r>
      <w:r w:rsidR="00D728DC">
        <w:rPr>
          <w:noProof/>
        </w:rPr>
        <w:t>2</w:t>
      </w:r>
      <w:r w:rsidR="00D728DC">
        <w:fldChar w:fldCharType="end"/>
      </w:r>
      <w:r w:rsidR="00D728DC">
        <w:t xml:space="preserve"> shows the proposed clinical management algorithms, with EHL products as a replacement for SHL products for those undergoing prophylaxis, and as alternative to SHL products for those receiving on-demand treatment. </w:t>
      </w:r>
    </w:p>
    <w:p w14:paraId="5A1486ED" w14:textId="77777777" w:rsidR="00E53BDD" w:rsidRDefault="00E53BDD" w:rsidP="00322EFB">
      <w:pPr>
        <w:keepNext/>
      </w:pPr>
      <w:r>
        <w:rPr>
          <w:i/>
          <w:noProof/>
          <w:lang w:eastAsia="en-AU"/>
        </w:rPr>
        <w:drawing>
          <wp:inline distT="0" distB="0" distL="0" distR="0" wp14:anchorId="3536E5DF" wp14:editId="60C70703">
            <wp:extent cx="5076825" cy="3543300"/>
            <wp:effectExtent l="0" t="0" r="9525" b="0"/>
            <wp:docPr id="17" name="Picture 17" descr="Current clinical management algorithm for haemophilia A and B" title="Diagram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MA and B current.tif"/>
                    <pic:cNvPicPr/>
                  </pic:nvPicPr>
                  <pic:blipFill>
                    <a:blip r:embed="rId10">
                      <a:extLst>
                        <a:ext uri="{28A0092B-C50C-407E-A947-70E740481C1C}">
                          <a14:useLocalDpi xmlns:a14="http://schemas.microsoft.com/office/drawing/2010/main" val="0"/>
                        </a:ext>
                      </a:extLst>
                    </a:blip>
                    <a:stretch>
                      <a:fillRect/>
                    </a:stretch>
                  </pic:blipFill>
                  <pic:spPr>
                    <a:xfrm>
                      <a:off x="0" y="0"/>
                      <a:ext cx="5076825" cy="3543300"/>
                    </a:xfrm>
                    <a:prstGeom prst="rect">
                      <a:avLst/>
                    </a:prstGeom>
                  </pic:spPr>
                </pic:pic>
              </a:graphicData>
            </a:graphic>
          </wp:inline>
        </w:drawing>
      </w:r>
    </w:p>
    <w:p w14:paraId="73BBB89A" w14:textId="244A0310" w:rsidR="008333F9" w:rsidRPr="008333F9" w:rsidRDefault="00E53BDD" w:rsidP="00322EFB">
      <w:pPr>
        <w:pStyle w:val="Caption"/>
        <w:rPr>
          <w:sz w:val="18"/>
          <w:szCs w:val="18"/>
        </w:rPr>
      </w:pPr>
      <w:bookmarkStart w:id="17" w:name="_Ref504395433"/>
      <w:r>
        <w:t xml:space="preserve">Figure </w:t>
      </w:r>
      <w:r>
        <w:fldChar w:fldCharType="begin"/>
      </w:r>
      <w:r>
        <w:instrText xml:space="preserve"> SEQ Figure \* ARABIC </w:instrText>
      </w:r>
      <w:r>
        <w:fldChar w:fldCharType="separate"/>
      </w:r>
      <w:r>
        <w:rPr>
          <w:noProof/>
        </w:rPr>
        <w:t>1</w:t>
      </w:r>
      <w:r>
        <w:fldChar w:fldCharType="end"/>
      </w:r>
      <w:bookmarkEnd w:id="17"/>
      <w:r>
        <w:tab/>
        <w:t>Current clinical management algorithm for haemophilia A and B</w:t>
      </w:r>
    </w:p>
    <w:p w14:paraId="47EA38CB" w14:textId="1D021E6C" w:rsidR="00070127" w:rsidRDefault="004C5A86" w:rsidP="008333F9">
      <w:pPr>
        <w:rPr>
          <w:rFonts w:ascii="Arial Narrow" w:hAnsi="Arial Narrow"/>
          <w:sz w:val="18"/>
          <w:szCs w:val="18"/>
          <w:lang w:val="en-GB" w:eastAsia="ja-JP"/>
        </w:rPr>
      </w:pPr>
      <w:r>
        <w:rPr>
          <w:rFonts w:ascii="Arial Narrow" w:hAnsi="Arial Narrow"/>
          <w:sz w:val="18"/>
          <w:szCs w:val="18"/>
          <w:lang w:val="en-GB" w:eastAsia="ja-JP"/>
        </w:rPr>
        <w:t xml:space="preserve">Source: adapted from algorithms received from CSL Behring, permission </w:t>
      </w:r>
      <w:r w:rsidR="00F45AB7">
        <w:rPr>
          <w:rFonts w:ascii="Arial Narrow" w:hAnsi="Arial Narrow"/>
          <w:sz w:val="18"/>
          <w:szCs w:val="18"/>
          <w:lang w:val="en-GB" w:eastAsia="ja-JP"/>
        </w:rPr>
        <w:t xml:space="preserve">received </w:t>
      </w:r>
      <w:r>
        <w:rPr>
          <w:rFonts w:ascii="Arial Narrow" w:hAnsi="Arial Narrow"/>
          <w:sz w:val="18"/>
          <w:szCs w:val="18"/>
          <w:lang w:val="en-GB" w:eastAsia="ja-JP"/>
        </w:rPr>
        <w:t>to reproduce</w:t>
      </w:r>
      <w:r w:rsidR="00070127">
        <w:rPr>
          <w:rFonts w:ascii="Arial Narrow" w:hAnsi="Arial Narrow"/>
          <w:sz w:val="18"/>
          <w:szCs w:val="18"/>
          <w:lang w:val="en-GB" w:eastAsia="ja-JP"/>
        </w:rPr>
        <w:br w:type="page"/>
      </w:r>
    </w:p>
    <w:p w14:paraId="77E2BA02" w14:textId="4C162A31" w:rsidR="004C5A86" w:rsidRPr="00322EFB" w:rsidRDefault="00706692" w:rsidP="00322EFB">
      <w:pPr>
        <w:spacing w:after="120"/>
        <w:rPr>
          <w:color w:val="548DD4"/>
        </w:rPr>
      </w:pPr>
      <w:r>
        <w:rPr>
          <w:rFonts w:ascii="Arial Narrow" w:hAnsi="Arial Narrow"/>
          <w:noProof/>
          <w:sz w:val="18"/>
          <w:szCs w:val="18"/>
          <w:lang w:eastAsia="en-AU"/>
        </w:rPr>
        <w:lastRenderedPageBreak/>
        <w:drawing>
          <wp:inline distT="0" distB="0" distL="0" distR="0" wp14:anchorId="01F8AE4D" wp14:editId="7A7F8F03">
            <wp:extent cx="6586855" cy="3736975"/>
            <wp:effectExtent l="0" t="0" r="4445" b="0"/>
            <wp:docPr id="14" name="Picture 14" descr="Proposed clinical management algorithm for haemophilia A and B" title="Diagram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MA and B proposed .tif"/>
                    <pic:cNvPicPr/>
                  </pic:nvPicPr>
                  <pic:blipFill>
                    <a:blip r:embed="rId11">
                      <a:extLst>
                        <a:ext uri="{28A0092B-C50C-407E-A947-70E740481C1C}">
                          <a14:useLocalDpi xmlns:a14="http://schemas.microsoft.com/office/drawing/2010/main" val="0"/>
                        </a:ext>
                      </a:extLst>
                    </a:blip>
                    <a:stretch>
                      <a:fillRect/>
                    </a:stretch>
                  </pic:blipFill>
                  <pic:spPr>
                    <a:xfrm>
                      <a:off x="0" y="0"/>
                      <a:ext cx="6586855" cy="3736975"/>
                    </a:xfrm>
                    <a:prstGeom prst="rect">
                      <a:avLst/>
                    </a:prstGeom>
                  </pic:spPr>
                </pic:pic>
              </a:graphicData>
            </a:graphic>
          </wp:inline>
        </w:drawing>
      </w:r>
      <w:r w:rsidR="004C5A86" w:rsidRPr="00322EFB">
        <w:rPr>
          <w:lang w:val="en-GB" w:eastAsia="ja-JP"/>
        </w:rPr>
        <w:t xml:space="preserve">Source: adapted from algorithms received from CSL Behring, permission </w:t>
      </w:r>
      <w:r w:rsidR="00F45AB7">
        <w:rPr>
          <w:lang w:val="en-GB" w:eastAsia="ja-JP"/>
        </w:rPr>
        <w:t>received</w:t>
      </w:r>
      <w:r w:rsidR="004C5A86" w:rsidRPr="00322EFB">
        <w:rPr>
          <w:lang w:val="en-GB" w:eastAsia="ja-JP"/>
        </w:rPr>
        <w:t xml:space="preserve"> to reproduce</w:t>
      </w:r>
    </w:p>
    <w:p w14:paraId="35EC7A22" w14:textId="7D9C1B2C" w:rsidR="00AF4AD3" w:rsidRPr="00B40259" w:rsidRDefault="00AF4AD3" w:rsidP="00AF4AD3">
      <w:pPr>
        <w:pStyle w:val="Caption"/>
        <w:rPr>
          <w:noProof/>
          <w:sz w:val="18"/>
          <w:szCs w:val="18"/>
        </w:rPr>
      </w:pPr>
      <w:r>
        <w:t xml:space="preserve">Figure </w:t>
      </w:r>
      <w:r>
        <w:fldChar w:fldCharType="begin"/>
      </w:r>
      <w:r>
        <w:instrText xml:space="preserve"> SEQ Figure \* ARABIC </w:instrText>
      </w:r>
      <w:r>
        <w:fldChar w:fldCharType="separate"/>
      </w:r>
      <w:r>
        <w:rPr>
          <w:noProof/>
        </w:rPr>
        <w:t>2</w:t>
      </w:r>
      <w:r>
        <w:fldChar w:fldCharType="end"/>
      </w:r>
      <w:r>
        <w:tab/>
        <w:t>Proposed clinical management algorithm for haemophilia A and B</w:t>
      </w:r>
      <w:r>
        <w:br/>
      </w:r>
    </w:p>
    <w:p w14:paraId="483F260D" w14:textId="77777777" w:rsidR="00896845" w:rsidRDefault="00896845" w:rsidP="00896845">
      <w:pPr>
        <w:pStyle w:val="Heading2"/>
        <w:spacing w:line="240" w:lineRule="auto"/>
        <w:jc w:val="both"/>
        <w:rPr>
          <w:color w:val="548DD4"/>
        </w:rPr>
      </w:pPr>
      <w:r w:rsidRPr="00896845">
        <w:rPr>
          <w:color w:val="548DD4"/>
        </w:rPr>
        <w:t xml:space="preserve">Proposed </w:t>
      </w:r>
      <w:r>
        <w:rPr>
          <w:color w:val="548DD4"/>
        </w:rPr>
        <w:t>clinical</w:t>
      </w:r>
      <w:r w:rsidRPr="00896845">
        <w:rPr>
          <w:color w:val="548DD4"/>
        </w:rPr>
        <w:t xml:space="preserve"> management</w:t>
      </w:r>
      <w:r>
        <w:rPr>
          <w:color w:val="548DD4"/>
        </w:rPr>
        <w:t xml:space="preserve"> algorithm</w:t>
      </w:r>
      <w:r w:rsidR="002B3338">
        <w:rPr>
          <w:color w:val="548DD4"/>
        </w:rPr>
        <w:t xml:space="preserve"> for identified population</w:t>
      </w:r>
    </w:p>
    <w:p w14:paraId="5D919211" w14:textId="72FFE3F1" w:rsidR="00273B44" w:rsidRPr="00014375" w:rsidRDefault="00273B44" w:rsidP="00E364F7">
      <w:pPr>
        <w:rPr>
          <w:vanish/>
          <w:color w:val="FF0000"/>
        </w:rPr>
      </w:pPr>
      <w:r>
        <w:t xml:space="preserve">The </w:t>
      </w:r>
      <w:r w:rsidR="00E53BDD">
        <w:t xml:space="preserve">main change in the </w:t>
      </w:r>
      <w:r>
        <w:t>c</w:t>
      </w:r>
      <w:r w:rsidR="00F55C6E">
        <w:t xml:space="preserve">linical management algorithms outlined </w:t>
      </w:r>
      <w:r w:rsidR="00E53BDD">
        <w:t xml:space="preserve">are </w:t>
      </w:r>
      <w:r>
        <w:t>th</w:t>
      </w:r>
      <w:r w:rsidR="00EB0E66">
        <w:t xml:space="preserve">e </w:t>
      </w:r>
      <w:r w:rsidR="00A5386D">
        <w:t xml:space="preserve">replacement of SHL products </w:t>
      </w:r>
      <w:r w:rsidR="00435CB7">
        <w:t xml:space="preserve">with </w:t>
      </w:r>
      <w:r w:rsidR="00EB0E66">
        <w:t xml:space="preserve">EHL </w:t>
      </w:r>
      <w:r w:rsidR="00A5386D">
        <w:t>products</w:t>
      </w:r>
      <w:r w:rsidR="0085116F">
        <w:t xml:space="preserve"> </w:t>
      </w:r>
      <w:r w:rsidR="00435CB7">
        <w:t>for</w:t>
      </w:r>
      <w:r w:rsidR="0085116F">
        <w:t xml:space="preserve"> those receiving prophylaxis, and the additional option of EHL products for those receiving on-demand treat</w:t>
      </w:r>
      <w:r w:rsidR="00F45AB7">
        <w:t>ment</w:t>
      </w:r>
      <w:r w:rsidR="0085116F">
        <w:t xml:space="preserve">. For those on prophylaxis, this would involve an increase in </w:t>
      </w:r>
      <w:r w:rsidR="002B5F87">
        <w:t xml:space="preserve">the interval between doses. With EHL products available, it is expected that an increased number of patients would choose to switch from an on-demand regimen to a prophylaxis regimen. </w:t>
      </w:r>
    </w:p>
    <w:p w14:paraId="29464BB8" w14:textId="5DD895BA" w:rsidR="0089366B" w:rsidRDefault="003E0382" w:rsidP="00322EFB">
      <w:pPr>
        <w:pStyle w:val="Heading2"/>
        <w:spacing w:line="240" w:lineRule="auto"/>
        <w:jc w:val="both"/>
      </w:pPr>
      <w:r>
        <w:rPr>
          <w:color w:val="548DD4"/>
        </w:rPr>
        <w:t xml:space="preserve">Proposed </w:t>
      </w:r>
      <w:r w:rsidR="002B226C">
        <w:rPr>
          <w:color w:val="548DD4"/>
        </w:rPr>
        <w:t xml:space="preserve">economic </w:t>
      </w:r>
      <w:r w:rsidR="009E5295">
        <w:rPr>
          <w:color w:val="548DD4"/>
        </w:rPr>
        <w:t>evaluation</w:t>
      </w:r>
    </w:p>
    <w:p w14:paraId="12EE839B" w14:textId="3191FE02" w:rsidR="00701B16" w:rsidRDefault="00D10984" w:rsidP="00E729F0">
      <w:r>
        <w:t xml:space="preserve">A </w:t>
      </w:r>
      <w:r w:rsidR="00673F1F">
        <w:t xml:space="preserve">systematic literature </w:t>
      </w:r>
      <w:r>
        <w:t xml:space="preserve">review of </w:t>
      </w:r>
      <w:r w:rsidR="00C77F75">
        <w:t>published evidence (searches performed November 2016) and additional information submitted by companies producing EHL products (received December 2016 to February 2017)</w:t>
      </w:r>
      <w:r w:rsidR="007B6C59">
        <w:t xml:space="preserve"> </w:t>
      </w:r>
      <w:r w:rsidR="00673F1F">
        <w:t xml:space="preserve">was </w:t>
      </w:r>
      <w:r w:rsidR="007B6C59">
        <w:t>performed for the Australian Haemophilia Centre Directors’ Organisation (AHCDO)</w:t>
      </w:r>
      <w:r w:rsidR="00043E84">
        <w:t xml:space="preserve"> </w:t>
      </w:r>
      <w:r w:rsidR="00043E84">
        <w:fldChar w:fldCharType="begin"/>
      </w:r>
      <w:r w:rsidR="00043E84">
        <w:instrText xml:space="preserve"> ADDIN EN.CITE &lt;EndNote&gt;&lt;Cite&gt;&lt;Author&gt;Newton&lt;/Author&gt;&lt;Year&gt;2017&lt;/Year&gt;&lt;RecNum&gt;7&lt;/RecNum&gt;&lt;DisplayText&gt;(Newton et al. 2017)&lt;/DisplayText&gt;&lt;record&gt;&lt;rec-number&gt;7&lt;/rec-number&gt;&lt;foreign-keys&gt;&lt;key app="EN" db-id="05dfrv5t4ppa58ep50ixt0zyxesew55t555a" timestamp="1508292924"&gt;7&lt;/key&gt;&lt;/foreign-keys&gt;&lt;ref-type name="Report"&gt;27&lt;/ref-type&gt;&lt;contributors&gt;&lt;authors&gt;&lt;author&gt;Newton, S&lt;/author&gt;&lt;author&gt;Salinger, K&lt;/author&gt;&lt;author&gt;Pridham, L&lt;/author&gt;&lt;author&gt;Parsons, J&lt;/author&gt;&lt;author&gt;Merlin, T&lt;/author&gt;&lt;/authors&gt;&lt;/contributors&gt;&lt;titles&gt;&lt;title&gt;Assessment of extended half-life clotting factor concentrates (report for the AHCDO)&lt;/title&gt;&lt;/titles&gt;&lt;dates&gt;&lt;year&gt;2017&lt;/year&gt;&lt;/dates&gt;&lt;publisher&gt;Adelaide Health Technology Assessment, University of Adelaide&lt;/publisher&gt;&lt;urls&gt;&lt;/urls&gt;&lt;/record&gt;&lt;/Cite&gt;&lt;/EndNote&gt;</w:instrText>
      </w:r>
      <w:r w:rsidR="00043E84">
        <w:fldChar w:fldCharType="separate"/>
      </w:r>
      <w:r w:rsidR="00043E84">
        <w:rPr>
          <w:noProof/>
        </w:rPr>
        <w:t>(Newton et al. 2017)</w:t>
      </w:r>
      <w:r w:rsidR="00043E84">
        <w:fldChar w:fldCharType="end"/>
      </w:r>
      <w:r w:rsidR="00673F1F">
        <w:t xml:space="preserve">. </w:t>
      </w:r>
      <w:r w:rsidR="00E729F0">
        <w:t>The review found that EHL products used prophylactically were superior to SHL products at preventing bleeding episodes, and improving quality of life.</w:t>
      </w:r>
      <w:r w:rsidR="0089366B">
        <w:t xml:space="preserve"> </w:t>
      </w:r>
      <w:r w:rsidR="00E729F0">
        <w:t xml:space="preserve">EHL products are as safe as SHL products. The proposed economic evaluation is therefore a cost-effectiveness or cost-utility analysis. </w:t>
      </w:r>
    </w:p>
    <w:p w14:paraId="6A575729" w14:textId="28409410" w:rsidR="00EE388E" w:rsidRDefault="00EE388E" w:rsidP="00E729F0">
      <w:r>
        <w:t xml:space="preserve">For on-demand regimens, it is expected that the economic evaluation will be a cost-minimisation analysis, based on non-inferior effectiveness and non-inferior safety. </w:t>
      </w:r>
    </w:p>
    <w:p w14:paraId="33B7ABA4" w14:textId="534F9D6A" w:rsidR="00EE388E" w:rsidRDefault="00EE388E" w:rsidP="00E729F0">
      <w:r>
        <w:t xml:space="preserve">Costs will be based on annualised costs (and measures of outcome) rather than cost per IU. PASC suggested that consumable and out-of-pocket costs should be assessed for SHL and EHL products. </w:t>
      </w:r>
    </w:p>
    <w:p w14:paraId="5DE1AA8E" w14:textId="40D701DC" w:rsidR="00E84430" w:rsidRDefault="00E84430" w:rsidP="00E729F0">
      <w:r>
        <w:t xml:space="preserve">The PASC Policy Paper </w:t>
      </w:r>
      <w:r w:rsidR="00E471E0">
        <w:t>stated that</w:t>
      </w:r>
      <w:r>
        <w:t xml:space="preserve"> issues relating to cost to be considered are:</w:t>
      </w:r>
    </w:p>
    <w:p w14:paraId="74292F0E" w14:textId="77777777" w:rsidR="00E84430" w:rsidRDefault="00E84430" w:rsidP="00E84430">
      <w:pPr>
        <w:pStyle w:val="ListParagraph"/>
        <w:numPr>
          <w:ilvl w:val="0"/>
          <w:numId w:val="22"/>
        </w:numPr>
        <w:spacing w:after="0" w:line="240" w:lineRule="auto"/>
      </w:pPr>
      <w:r>
        <w:lastRenderedPageBreak/>
        <w:t>current (including overseas) and proposed product price (i.e. product acquisition costs (if known), including whether justification or inputs have been provided for the price, and the relationship to the price of current short half-life products;</w:t>
      </w:r>
    </w:p>
    <w:p w14:paraId="6AFF24CB" w14:textId="77777777" w:rsidR="00E84430" w:rsidRDefault="00E84430" w:rsidP="00E84430">
      <w:pPr>
        <w:pStyle w:val="ListParagraph"/>
        <w:numPr>
          <w:ilvl w:val="0"/>
          <w:numId w:val="22"/>
        </w:numPr>
        <w:spacing w:after="0" w:line="240" w:lineRule="auto"/>
      </w:pPr>
      <w:r>
        <w:t>given the NBA conducts national tendering for imported blood products, the price level (if any) where a tendered price may not be justifiable;</w:t>
      </w:r>
    </w:p>
    <w:p w14:paraId="59337190" w14:textId="77777777" w:rsidR="00E84430" w:rsidRDefault="00E84430" w:rsidP="00E84430">
      <w:pPr>
        <w:pStyle w:val="ListParagraph"/>
        <w:numPr>
          <w:ilvl w:val="0"/>
          <w:numId w:val="22"/>
        </w:numPr>
        <w:spacing w:after="0" w:line="240" w:lineRule="auto"/>
      </w:pPr>
      <w:r>
        <w:t>consumable costs (for the service provider) and out-of-pocket expenses for patients, if any;</w:t>
      </w:r>
    </w:p>
    <w:p w14:paraId="259877DB" w14:textId="77777777" w:rsidR="00E84430" w:rsidRDefault="00E84430" w:rsidP="00E84430">
      <w:pPr>
        <w:pStyle w:val="ListParagraph"/>
        <w:numPr>
          <w:ilvl w:val="0"/>
          <w:numId w:val="22"/>
        </w:numPr>
        <w:spacing w:after="0" w:line="240" w:lineRule="auto"/>
      </w:pPr>
      <w:r>
        <w:t>ambulance, emergency department and hospitalisation costs, noting that these may already be occurring;</w:t>
      </w:r>
    </w:p>
    <w:p w14:paraId="653ADE87" w14:textId="77777777" w:rsidR="00E84430" w:rsidRDefault="00E84430" w:rsidP="00E84430">
      <w:pPr>
        <w:pStyle w:val="ListParagraph"/>
        <w:numPr>
          <w:ilvl w:val="0"/>
          <w:numId w:val="22"/>
        </w:numPr>
        <w:spacing w:after="0" w:line="240" w:lineRule="auto"/>
      </w:pPr>
      <w:r>
        <w:t>additional training costs for patients and caregivers, noting these may already be occurring;</w:t>
      </w:r>
    </w:p>
    <w:p w14:paraId="1E77D64F" w14:textId="77777777" w:rsidR="00E84430" w:rsidRDefault="00E84430" w:rsidP="00E84430">
      <w:pPr>
        <w:pStyle w:val="ListParagraph"/>
        <w:numPr>
          <w:ilvl w:val="0"/>
          <w:numId w:val="22"/>
        </w:numPr>
        <w:spacing w:after="0" w:line="240" w:lineRule="auto"/>
      </w:pPr>
      <w:r>
        <w:t>cost offsets (e.g. fewer drug administrations, decreased use of by-pass agents and infusions, decreased orthopaedic procedures because of reduced bleeds into joints, decreased bleed management costs, decreased pain, longer intervals between prophylactic doses (with associated improved compliance with scheduled infusions), comparator differences between lost/improved patient productivity, unpaid labour by caregivers, and haemophilia-related disability; and</w:t>
      </w:r>
    </w:p>
    <w:p w14:paraId="3558E406" w14:textId="2390C265" w:rsidR="00E84430" w:rsidRDefault="00E84430" w:rsidP="00322EFB">
      <w:pPr>
        <w:pStyle w:val="ListParagraph"/>
        <w:numPr>
          <w:ilvl w:val="0"/>
          <w:numId w:val="22"/>
        </w:numPr>
        <w:spacing w:after="0" w:line="240" w:lineRule="auto"/>
      </w:pPr>
      <w:proofErr w:type="gramStart"/>
      <w:r>
        <w:t>validity</w:t>
      </w:r>
      <w:proofErr w:type="gramEnd"/>
      <w:r>
        <w:t xml:space="preserve"> of comparison of costs, based on annualised rates, rather than per unit costs, as proposed by potential suppliers.</w:t>
      </w:r>
    </w:p>
    <w:p w14:paraId="05DBD75C" w14:textId="77777777" w:rsidR="00E84430" w:rsidRPr="00C63DCF" w:rsidRDefault="00E84430" w:rsidP="00C63DCF">
      <w:pPr>
        <w:spacing w:after="0"/>
        <w:rPr>
          <w:sz w:val="16"/>
          <w:szCs w:val="16"/>
        </w:rPr>
      </w:pPr>
    </w:p>
    <w:p w14:paraId="633B81B6" w14:textId="77777777" w:rsidR="00752491" w:rsidRDefault="00752491" w:rsidP="00322EFB">
      <w:pPr>
        <w:pStyle w:val="Heading2"/>
        <w:spacing w:before="0" w:line="240" w:lineRule="auto"/>
        <w:jc w:val="both"/>
        <w:rPr>
          <w:color w:val="548DD4"/>
        </w:rPr>
      </w:pPr>
      <w:r>
        <w:rPr>
          <w:color w:val="548DD4"/>
        </w:rPr>
        <w:t>Proposed item descriptor</w:t>
      </w:r>
    </w:p>
    <w:p w14:paraId="1C860337" w14:textId="6C569DA0" w:rsidR="00DE7839" w:rsidRDefault="000A41FC" w:rsidP="00322EFB">
      <w:pPr>
        <w:spacing w:after="120"/>
      </w:pPr>
      <w:r>
        <w:t xml:space="preserve">Not applicable. </w:t>
      </w:r>
      <w:r w:rsidR="00D10984" w:rsidRPr="006A1078">
        <w:t>Public funding</w:t>
      </w:r>
      <w:r w:rsidR="007E1FFC">
        <w:t xml:space="preserve"> of EHL products</w:t>
      </w:r>
      <w:r w:rsidR="008A526A">
        <w:t xml:space="preserve"> is sought. This </w:t>
      </w:r>
      <w:r w:rsidR="00D10984">
        <w:t xml:space="preserve">is managed by the </w:t>
      </w:r>
      <w:r w:rsidR="00D10984" w:rsidRPr="006A1078">
        <w:t>National Blood Authority (NBA)</w:t>
      </w:r>
      <w:r w:rsidR="00D10984">
        <w:t xml:space="preserve">. </w:t>
      </w:r>
      <w:r w:rsidR="004B0A4C">
        <w:t>The NBA provides supply through centralised national contracting, where the product price is established through competitive tendering between alternative brands of functionally comparable products (registered in Australia) where possible. In the case of EHL products, there are a number of potential suppliers with similar EHL products</w:t>
      </w:r>
      <w:r w:rsidR="00DC5DE8">
        <w:t>, and</w:t>
      </w:r>
      <w:r w:rsidR="004B0A4C">
        <w:t xml:space="preserve"> a coordinated health technology assessment is planned</w:t>
      </w:r>
      <w:r w:rsidR="00DC5DE8">
        <w:t xml:space="preserve"> in order to guide governments’ policy decision making and N</w:t>
      </w:r>
      <w:r w:rsidR="001A3A35">
        <w:t>BA</w:t>
      </w:r>
      <w:r w:rsidR="00DC5DE8">
        <w:t xml:space="preserve"> tendering and implementation of supply arrangements. </w:t>
      </w:r>
      <w:r w:rsidR="00D10984">
        <w:t xml:space="preserve">Funding is implemented by the blood-related product being listed on the National Product List </w:t>
      </w:r>
      <w:r w:rsidR="00D10984" w:rsidRPr="006A1078">
        <w:t>(NPL)</w:t>
      </w:r>
      <w:r w:rsidR="00D10984">
        <w:t>.</w:t>
      </w:r>
    </w:p>
    <w:p w14:paraId="3F310A4B" w14:textId="30F8B950" w:rsidR="00187B58" w:rsidRPr="00187B58" w:rsidRDefault="00187B58" w:rsidP="00187B58">
      <w:pPr>
        <w:pStyle w:val="Heading2"/>
        <w:spacing w:line="240" w:lineRule="auto"/>
        <w:jc w:val="both"/>
        <w:rPr>
          <w:color w:val="548DD4"/>
        </w:rPr>
      </w:pPr>
      <w:r>
        <w:rPr>
          <w:color w:val="548DD4"/>
        </w:rPr>
        <w:t>References</w:t>
      </w:r>
    </w:p>
    <w:p w14:paraId="4169E2B2" w14:textId="78F1227B" w:rsidR="00E471E0" w:rsidRPr="00E471E0" w:rsidRDefault="00284F1F" w:rsidP="00E471E0">
      <w:pPr>
        <w:pStyle w:val="EndNoteBibliography"/>
      </w:pPr>
      <w:r>
        <w:fldChar w:fldCharType="begin"/>
      </w:r>
      <w:r>
        <w:instrText xml:space="preserve"> ADDIN EN.REFLIST </w:instrText>
      </w:r>
      <w:r>
        <w:fldChar w:fldCharType="separate"/>
      </w:r>
      <w:r w:rsidR="00E471E0" w:rsidRPr="00E471E0">
        <w:t xml:space="preserve">Australian Haemophilia Centre Directors' Organisation 2016, </w:t>
      </w:r>
      <w:r w:rsidR="00E471E0" w:rsidRPr="00E471E0">
        <w:rPr>
          <w:i/>
        </w:rPr>
        <w:t>Guidelines for the management of haemophilia in Australia</w:t>
      </w:r>
      <w:r w:rsidR="00E471E0" w:rsidRPr="00E471E0">
        <w:t>, &lt;</w:t>
      </w:r>
      <w:hyperlink r:id="rId12" w:tooltip="Link to guidelines" w:history="1">
        <w:r w:rsidR="00E471E0" w:rsidRPr="00E471E0">
          <w:rPr>
            <w:rStyle w:val="Hyperlink"/>
          </w:rPr>
          <w:t>https://www.blood.gov.au/system/files/HaemophiliaGuidelines-interactive-updated-260317v2.pdf&gt;</w:t>
        </w:r>
      </w:hyperlink>
      <w:r w:rsidR="00E471E0" w:rsidRPr="00E471E0">
        <w:t>.</w:t>
      </w:r>
    </w:p>
    <w:p w14:paraId="5A2AA114" w14:textId="77777777" w:rsidR="00E471E0" w:rsidRPr="00E471E0" w:rsidRDefault="00E471E0" w:rsidP="00E471E0">
      <w:pPr>
        <w:pStyle w:val="EndNoteBibliography"/>
      </w:pPr>
      <w:r w:rsidRPr="00E471E0">
        <w:t xml:space="preserve">Mancuso, ME &amp; Mannucci, PM 2014, 'Fc-fusion technology and recombinant FVIII and FIX in the management of the hemophiliac', </w:t>
      </w:r>
      <w:r w:rsidRPr="00E471E0">
        <w:rPr>
          <w:i/>
        </w:rPr>
        <w:t>Drug Design, Development and Therapy</w:t>
      </w:r>
      <w:r w:rsidRPr="00E471E0">
        <w:t>, vol. 8, 2014-01-01, pp. 365-371.</w:t>
      </w:r>
    </w:p>
    <w:p w14:paraId="27E4E130" w14:textId="77777777" w:rsidR="00E471E0" w:rsidRPr="00E471E0" w:rsidRDefault="00E471E0" w:rsidP="00E471E0">
      <w:pPr>
        <w:pStyle w:val="EndNoteBibliography"/>
      </w:pPr>
      <w:r w:rsidRPr="00E471E0">
        <w:t xml:space="preserve">Miguelino, MG &amp; Powell, JS 2014, 'Clinical utility and patient perspectives on the use of extended half-life rFIXFc in the management of hemophilia B', </w:t>
      </w:r>
      <w:r w:rsidRPr="00E471E0">
        <w:rPr>
          <w:i/>
        </w:rPr>
        <w:t>Patient Prefer Adherence</w:t>
      </w:r>
      <w:r w:rsidRPr="00E471E0">
        <w:t>, vol. 8, 2014-01-01, pp. 1073-1083.</w:t>
      </w:r>
    </w:p>
    <w:p w14:paraId="16FA12D1" w14:textId="47EE086F" w:rsidR="00E471E0" w:rsidRPr="00E471E0" w:rsidRDefault="00E471E0" w:rsidP="00E471E0">
      <w:pPr>
        <w:pStyle w:val="EndNoteBibliography"/>
      </w:pPr>
      <w:r w:rsidRPr="00E471E0">
        <w:t xml:space="preserve">National Blood Authority 2017a, </w:t>
      </w:r>
      <w:r w:rsidRPr="00E471E0">
        <w:rPr>
          <w:i/>
        </w:rPr>
        <w:t>Australian Bleeding Disorders Registry (ABDR) Annual Report 2015-16</w:t>
      </w:r>
      <w:r w:rsidRPr="00E471E0">
        <w:t>, &lt;</w:t>
      </w:r>
      <w:hyperlink r:id="rId13" w:tooltip="Link to report" w:history="1">
        <w:r w:rsidRPr="00E471E0">
          <w:rPr>
            <w:rStyle w:val="Hyperlink"/>
          </w:rPr>
          <w:t>https://www.blood.gov.au/system/files/abdr-annual-report-2015-16-final.pdf&gt;</w:t>
        </w:r>
      </w:hyperlink>
      <w:r w:rsidRPr="00E471E0">
        <w:t>.</w:t>
      </w:r>
    </w:p>
    <w:p w14:paraId="2DEAFB7F" w14:textId="76278BBD" w:rsidR="00E471E0" w:rsidRPr="00E471E0" w:rsidRDefault="00E471E0" w:rsidP="00E471E0">
      <w:pPr>
        <w:pStyle w:val="EndNoteBibliography"/>
      </w:pPr>
      <w:r w:rsidRPr="00E471E0">
        <w:t xml:space="preserve">National Blood Authority 2017b, </w:t>
      </w:r>
      <w:r w:rsidRPr="00E471E0">
        <w:rPr>
          <w:i/>
        </w:rPr>
        <w:t>Supply of plasma derived and recombinant blood products</w:t>
      </w:r>
      <w:r w:rsidRPr="00E471E0">
        <w:t>, &lt;</w:t>
      </w:r>
      <w:hyperlink r:id="rId14" w:tooltip="Link to fact sheet" w:history="1">
        <w:r w:rsidRPr="00E471E0">
          <w:rPr>
            <w:rStyle w:val="Hyperlink"/>
          </w:rPr>
          <w:t>https://www.blood.gov.au/system/files/12July17-price-update-46.1-National-Blood-Authority-Fact-sheet-Supply-of-plasma-derived-and-recombinant-blood-products2.pdf&gt;</w:t>
        </w:r>
      </w:hyperlink>
      <w:r w:rsidRPr="00E471E0">
        <w:t>.</w:t>
      </w:r>
    </w:p>
    <w:p w14:paraId="5C3617AA" w14:textId="157ACD78" w:rsidR="00DE7839" w:rsidRPr="00E364F7" w:rsidRDefault="00E471E0" w:rsidP="00E364F7">
      <w:r w:rsidRPr="00E471E0">
        <w:t xml:space="preserve">Newton, S, Salinger, K, Pridham, L, Parsons, J &amp; Merlin, T 2017, </w:t>
      </w:r>
      <w:r w:rsidRPr="00E471E0">
        <w:rPr>
          <w:i/>
        </w:rPr>
        <w:t>Assessment of extended half-life clotting factor concentrates (report for the AHCDO)</w:t>
      </w:r>
      <w:r w:rsidRPr="00E471E0">
        <w:t>, Adelaide Health Technology Assessment, University of Adelaide.</w:t>
      </w:r>
      <w:r w:rsidR="00284F1F">
        <w:fldChar w:fldCharType="end"/>
      </w:r>
    </w:p>
    <w:sectPr w:rsidR="00DE7839" w:rsidRPr="00E364F7" w:rsidSect="00322EFB">
      <w:headerReference w:type="even" r:id="rId15"/>
      <w:footerReference w:type="default" r:id="rId16"/>
      <w:pgSz w:w="11906" w:h="16838"/>
      <w:pgMar w:top="1134" w:right="1440" w:bottom="1134" w:left="1440" w:header="73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0AEF5" w14:textId="77777777" w:rsidR="00841750" w:rsidRDefault="00841750" w:rsidP="003D699E">
      <w:pPr>
        <w:spacing w:after="0" w:line="240" w:lineRule="auto"/>
      </w:pPr>
      <w:r>
        <w:separator/>
      </w:r>
    </w:p>
  </w:endnote>
  <w:endnote w:type="continuationSeparator" w:id="0">
    <w:p w14:paraId="750DB139" w14:textId="77777777" w:rsidR="00841750" w:rsidRDefault="00841750" w:rsidP="003D6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626044460"/>
      <w:docPartObj>
        <w:docPartGallery w:val="Page Numbers (Bottom of Page)"/>
        <w:docPartUnique/>
      </w:docPartObj>
    </w:sdtPr>
    <w:sdtEndPr>
      <w:rPr>
        <w:color w:val="808080" w:themeColor="background1" w:themeShade="80"/>
        <w:spacing w:val="60"/>
      </w:rPr>
    </w:sdtEndPr>
    <w:sdtContent>
      <w:p w14:paraId="6C982905" w14:textId="59EB54B6" w:rsidR="00841750" w:rsidRDefault="00841750" w:rsidP="003D699E">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08336C" w:rsidRPr="0008336C">
          <w:rPr>
            <w:b/>
            <w:bCs/>
            <w:noProof/>
            <w:sz w:val="18"/>
            <w:szCs w:val="18"/>
          </w:rPr>
          <w:t>6</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PICO Confirmatio</w:t>
        </w:r>
        <w:r w:rsidR="00D70BE0">
          <w:rPr>
            <w:color w:val="808080" w:themeColor="background1" w:themeShade="80"/>
            <w:spacing w:val="60"/>
            <w:sz w:val="18"/>
            <w:szCs w:val="18"/>
          </w:rPr>
          <w:t>n – Ratified 13 February 2018</w:t>
        </w:r>
      </w:p>
      <w:p w14:paraId="246A9DE7" w14:textId="77777777" w:rsidR="00841750" w:rsidRPr="00CF2DFA" w:rsidRDefault="00841750" w:rsidP="003D699E">
        <w:pPr>
          <w:pStyle w:val="Footer"/>
          <w:pBdr>
            <w:top w:val="single" w:sz="4" w:space="1" w:color="D9D9D9" w:themeColor="background1" w:themeShade="D9"/>
          </w:pBdr>
          <w:rPr>
            <w:b/>
            <w:bCs/>
            <w:sz w:val="18"/>
            <w:szCs w:val="18"/>
          </w:rPr>
        </w:pPr>
        <w:r>
          <w:rPr>
            <w:color w:val="808080" w:themeColor="background1" w:themeShade="80"/>
            <w:spacing w:val="60"/>
            <w:sz w:val="18"/>
            <w:szCs w:val="18"/>
          </w:rPr>
          <w:tab/>
          <w:t>Application 1511:  EHL clotting factor products VIII and IX</w:t>
        </w:r>
      </w:p>
    </w:sdtContent>
  </w:sdt>
  <w:p w14:paraId="29386EC7" w14:textId="77777777" w:rsidR="00841750" w:rsidRDefault="00841750" w:rsidP="003D699E">
    <w:pPr>
      <w:pStyle w:val="Footer"/>
    </w:pPr>
  </w:p>
  <w:p w14:paraId="74FE832F" w14:textId="77777777" w:rsidR="00841750" w:rsidRDefault="008417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D43FD" w14:textId="77777777" w:rsidR="00841750" w:rsidRDefault="00841750" w:rsidP="003D699E">
      <w:pPr>
        <w:spacing w:after="0" w:line="240" w:lineRule="auto"/>
      </w:pPr>
      <w:r>
        <w:separator/>
      </w:r>
    </w:p>
  </w:footnote>
  <w:footnote w:type="continuationSeparator" w:id="0">
    <w:p w14:paraId="72DAE824" w14:textId="77777777" w:rsidR="00841750" w:rsidRDefault="00841750" w:rsidP="003D699E">
      <w:pPr>
        <w:spacing w:after="0" w:line="240" w:lineRule="auto"/>
      </w:pPr>
      <w:r>
        <w:continuationSeparator/>
      </w:r>
    </w:p>
  </w:footnote>
  <w:footnote w:id="1">
    <w:p w14:paraId="2BD531B9" w14:textId="653CE07B" w:rsidR="00841750" w:rsidRDefault="00841750">
      <w:pPr>
        <w:pStyle w:val="FootnoteText"/>
      </w:pPr>
      <w:r>
        <w:rPr>
          <w:rStyle w:val="FootnoteReference"/>
        </w:rPr>
        <w:footnoteRef/>
      </w:r>
      <w:r>
        <w:t xml:space="preserve"> Dr J. Curtin, Haematologist, via pre-PASC teleconference, 17</w:t>
      </w:r>
      <w:r w:rsidRPr="006405E1">
        <w:rPr>
          <w:vertAlign w:val="superscript"/>
        </w:rPr>
        <w:t>th</w:t>
      </w:r>
      <w:r>
        <w:t xml:space="preserve"> October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8FDAC" w14:textId="77777777" w:rsidR="00841750" w:rsidRDefault="00841750">
    <w:pPr>
      <w:pStyle w:val="Header"/>
    </w:pPr>
    <w:r>
      <w:rPr>
        <w:noProof/>
        <w:lang w:eastAsia="en-AU"/>
      </w:rPr>
      <mc:AlternateContent>
        <mc:Choice Requires="wps">
          <w:drawing>
            <wp:anchor distT="0" distB="0" distL="114300" distR="114300" simplePos="0" relativeHeight="251657216" behindDoc="1" locked="0" layoutInCell="0" allowOverlap="1" wp14:anchorId="75BC7264" wp14:editId="597D50F3">
              <wp:simplePos x="0" y="0"/>
              <wp:positionH relativeFrom="margin">
                <wp:align>center</wp:align>
              </wp:positionH>
              <wp:positionV relativeFrom="margin">
                <wp:align>center</wp:align>
              </wp:positionV>
              <wp:extent cx="7458710" cy="621030"/>
              <wp:effectExtent l="0" t="2486025" r="0" b="2426970"/>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58710" cy="621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976666" w14:textId="77777777" w:rsidR="00841750" w:rsidRDefault="00841750" w:rsidP="00F75FB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FOR CONSULATION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6" type="#_x0000_t202" style="position:absolute;margin-left:0;margin-top:0;width:587.3pt;height:48.9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n+hQIAAPs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" o:allowincell="f" filled="f" stroked="f">
              <v:stroke joinstyle="round"/>
              <o:lock v:ext="edit" shapetype="t"/>
              <v:textbox style="mso-fit-shape-to-text:t">
                <w:txbxContent>
                  <w:p w14:paraId="37976666" w14:textId="77777777" w:rsidR="00841750" w:rsidRDefault="00841750" w:rsidP="00F75FB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FOR CONSULATION</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4FF8"/>
    <w:multiLevelType w:val="hybridMultilevel"/>
    <w:tmpl w:val="DCB250BC"/>
    <w:lvl w:ilvl="0" w:tplc="9A1EF536">
      <w:numFmt w:val="bullet"/>
      <w:lvlText w:val="-"/>
      <w:lvlJc w:val="left"/>
      <w:pPr>
        <w:ind w:left="1800" w:hanging="360"/>
      </w:pPr>
      <w:rPr>
        <w:rFonts w:ascii="Calibri" w:eastAsiaTheme="minorHAnsi" w:hAnsi="Calibri" w:cstheme="minorBidi" w:hint="default"/>
      </w:rPr>
    </w:lvl>
    <w:lvl w:ilvl="1" w:tplc="BDA6203E">
      <w:numFmt w:val="bullet"/>
      <w:lvlText w:val="•"/>
      <w:lvlJc w:val="left"/>
      <w:pPr>
        <w:ind w:left="2520" w:hanging="360"/>
      </w:pPr>
      <w:rPr>
        <w:rFonts w:ascii="Calibri" w:eastAsiaTheme="minorHAnsi" w:hAnsi="Calibri" w:cstheme="minorBidi"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nsid w:val="0AC31A91"/>
    <w:multiLevelType w:val="hybridMultilevel"/>
    <w:tmpl w:val="A49EF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D5B1BAB"/>
    <w:multiLevelType w:val="hybridMultilevel"/>
    <w:tmpl w:val="401CC7F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nsid w:val="0E7A7E9B"/>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1837564"/>
    <w:multiLevelType w:val="hybridMultilevel"/>
    <w:tmpl w:val="FAA052AE"/>
    <w:lvl w:ilvl="0" w:tplc="CEDC80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9AA3DE1"/>
    <w:multiLevelType w:val="hybridMultilevel"/>
    <w:tmpl w:val="176C07AE"/>
    <w:lvl w:ilvl="0" w:tplc="088681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E83456B"/>
    <w:multiLevelType w:val="hybridMultilevel"/>
    <w:tmpl w:val="B36CB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53C0C77"/>
    <w:multiLevelType w:val="hybridMultilevel"/>
    <w:tmpl w:val="C854C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20E5432"/>
    <w:multiLevelType w:val="hybridMultilevel"/>
    <w:tmpl w:val="FAA052AE"/>
    <w:lvl w:ilvl="0" w:tplc="CEDC80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966063B"/>
    <w:multiLevelType w:val="hybridMultilevel"/>
    <w:tmpl w:val="CBD09F4C"/>
    <w:lvl w:ilvl="0" w:tplc="BD142314">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nsid w:val="497D14F1"/>
    <w:multiLevelType w:val="hybridMultilevel"/>
    <w:tmpl w:val="87FC47CC"/>
    <w:lvl w:ilvl="0" w:tplc="426A5B1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10F6FAE"/>
    <w:multiLevelType w:val="multilevel"/>
    <w:tmpl w:val="5EDA6094"/>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52CE63E9"/>
    <w:multiLevelType w:val="hybridMultilevel"/>
    <w:tmpl w:val="59408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7D132C6"/>
    <w:multiLevelType w:val="hybridMultilevel"/>
    <w:tmpl w:val="0CA8CA7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nsid w:val="5CBC6F96"/>
    <w:multiLevelType w:val="hybridMultilevel"/>
    <w:tmpl w:val="89BC93DA"/>
    <w:lvl w:ilvl="0" w:tplc="FA0AE37C">
      <w:start w:val="3"/>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EBD3196"/>
    <w:multiLevelType w:val="hybridMultilevel"/>
    <w:tmpl w:val="6CF45E6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97B6EDA"/>
    <w:multiLevelType w:val="hybridMultilevel"/>
    <w:tmpl w:val="D2A83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E311865"/>
    <w:multiLevelType w:val="hybridMultilevel"/>
    <w:tmpl w:val="FAA052AE"/>
    <w:lvl w:ilvl="0" w:tplc="CEDC80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1D1306F"/>
    <w:multiLevelType w:val="hybridMultilevel"/>
    <w:tmpl w:val="87FC47CC"/>
    <w:lvl w:ilvl="0" w:tplc="426A5B1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2F020CF"/>
    <w:multiLevelType w:val="hybridMultilevel"/>
    <w:tmpl w:val="CBD09F4C"/>
    <w:lvl w:ilvl="0" w:tplc="BD142314">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nsid w:val="7EC80FBC"/>
    <w:multiLevelType w:val="hybridMultilevel"/>
    <w:tmpl w:val="90ACB578"/>
    <w:lvl w:ilvl="0" w:tplc="9A1EF536">
      <w:numFmt w:val="bullet"/>
      <w:lvlText w:val="-"/>
      <w:lvlJc w:val="left"/>
      <w:pPr>
        <w:ind w:left="1146" w:hanging="360"/>
      </w:pPr>
      <w:rPr>
        <w:rFonts w:ascii="Calibri" w:eastAsiaTheme="minorHAnsi" w:hAnsi="Calibri" w:cstheme="minorBidi"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13"/>
  </w:num>
  <w:num w:numId="2">
    <w:abstractNumId w:val="1"/>
  </w:num>
  <w:num w:numId="3">
    <w:abstractNumId w:val="7"/>
  </w:num>
  <w:num w:numId="4">
    <w:abstractNumId w:val="17"/>
  </w:num>
  <w:num w:numId="5">
    <w:abstractNumId w:val="20"/>
  </w:num>
  <w:num w:numId="6">
    <w:abstractNumId w:val="10"/>
  </w:num>
  <w:num w:numId="7">
    <w:abstractNumId w:val="4"/>
  </w:num>
  <w:num w:numId="8">
    <w:abstractNumId w:val="2"/>
  </w:num>
  <w:num w:numId="9">
    <w:abstractNumId w:val="12"/>
  </w:num>
  <w:num w:numId="10">
    <w:abstractNumId w:val="6"/>
  </w:num>
  <w:num w:numId="11">
    <w:abstractNumId w:val="5"/>
  </w:num>
  <w:num w:numId="12">
    <w:abstractNumId w:val="9"/>
  </w:num>
  <w:num w:numId="13">
    <w:abstractNumId w:val="19"/>
  </w:num>
  <w:num w:numId="14">
    <w:abstractNumId w:val="11"/>
  </w:num>
  <w:num w:numId="15">
    <w:abstractNumId w:val="16"/>
  </w:num>
  <w:num w:numId="16">
    <w:abstractNumId w:val="14"/>
  </w:num>
  <w:num w:numId="17">
    <w:abstractNumId w:val="0"/>
  </w:num>
  <w:num w:numId="18">
    <w:abstractNumId w:val="8"/>
  </w:num>
  <w:num w:numId="19">
    <w:abstractNumId w:val="3"/>
  </w:num>
  <w:num w:numId="20">
    <w:abstractNumId w:val="21"/>
  </w:num>
  <w:num w:numId="21">
    <w:abstractNumId w:val="18"/>
  </w:num>
  <w:num w:numId="22">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kye Newton">
    <w15:presenceInfo w15:providerId="AD" w15:userId="S-1-5-21-1390582872-192029990-4074164785-56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v29xwz59sarceazeax5p5kzxt2dafdzse0&quot;&gt;Haemophilia_A_final-Saved&lt;record-ids&gt;&lt;item&gt;59&lt;/item&gt;&lt;item&gt;407&lt;/item&gt;&lt;/record-ids&gt;&lt;/item&gt;&lt;/Libraries&gt;"/>
  </w:docVars>
  <w:rsids>
    <w:rsidRoot w:val="0044715D"/>
    <w:rsid w:val="00002118"/>
    <w:rsid w:val="00004548"/>
    <w:rsid w:val="00012D8F"/>
    <w:rsid w:val="00014375"/>
    <w:rsid w:val="00016AC7"/>
    <w:rsid w:val="000211C2"/>
    <w:rsid w:val="000256D8"/>
    <w:rsid w:val="00032F32"/>
    <w:rsid w:val="00043E84"/>
    <w:rsid w:val="00052F1D"/>
    <w:rsid w:val="000543F1"/>
    <w:rsid w:val="00055CFF"/>
    <w:rsid w:val="00055DB5"/>
    <w:rsid w:val="00056134"/>
    <w:rsid w:val="00062096"/>
    <w:rsid w:val="00063AC8"/>
    <w:rsid w:val="00070127"/>
    <w:rsid w:val="000712C6"/>
    <w:rsid w:val="00072BE6"/>
    <w:rsid w:val="000750E1"/>
    <w:rsid w:val="00077205"/>
    <w:rsid w:val="00080E3E"/>
    <w:rsid w:val="000824A9"/>
    <w:rsid w:val="0008336C"/>
    <w:rsid w:val="00084CFC"/>
    <w:rsid w:val="000A0FBA"/>
    <w:rsid w:val="000A34B6"/>
    <w:rsid w:val="000A3C20"/>
    <w:rsid w:val="000A41FC"/>
    <w:rsid w:val="000A4B22"/>
    <w:rsid w:val="000A68F3"/>
    <w:rsid w:val="000A785F"/>
    <w:rsid w:val="000B519A"/>
    <w:rsid w:val="000C00EB"/>
    <w:rsid w:val="000C3E4C"/>
    <w:rsid w:val="000C4135"/>
    <w:rsid w:val="000C6F4C"/>
    <w:rsid w:val="000C7F02"/>
    <w:rsid w:val="000D0BB0"/>
    <w:rsid w:val="000E7E5C"/>
    <w:rsid w:val="000F4556"/>
    <w:rsid w:val="00101724"/>
    <w:rsid w:val="001064F8"/>
    <w:rsid w:val="00122966"/>
    <w:rsid w:val="0012570F"/>
    <w:rsid w:val="001416C5"/>
    <w:rsid w:val="00142287"/>
    <w:rsid w:val="001455EC"/>
    <w:rsid w:val="00146EEB"/>
    <w:rsid w:val="001473C8"/>
    <w:rsid w:val="001475D2"/>
    <w:rsid w:val="0014781F"/>
    <w:rsid w:val="00164624"/>
    <w:rsid w:val="001700F5"/>
    <w:rsid w:val="00172D1E"/>
    <w:rsid w:val="00175CAC"/>
    <w:rsid w:val="00185A78"/>
    <w:rsid w:val="00187B58"/>
    <w:rsid w:val="00191E53"/>
    <w:rsid w:val="00193A64"/>
    <w:rsid w:val="00195FE7"/>
    <w:rsid w:val="00196508"/>
    <w:rsid w:val="0019750B"/>
    <w:rsid w:val="00197879"/>
    <w:rsid w:val="001A10DA"/>
    <w:rsid w:val="001A3A35"/>
    <w:rsid w:val="001B0F4F"/>
    <w:rsid w:val="001B1E43"/>
    <w:rsid w:val="001B5B61"/>
    <w:rsid w:val="001C090A"/>
    <w:rsid w:val="001C13D4"/>
    <w:rsid w:val="001C1D68"/>
    <w:rsid w:val="001C3849"/>
    <w:rsid w:val="001C38B5"/>
    <w:rsid w:val="001C5410"/>
    <w:rsid w:val="001D0AC7"/>
    <w:rsid w:val="001F0C0A"/>
    <w:rsid w:val="00201568"/>
    <w:rsid w:val="0020487F"/>
    <w:rsid w:val="00205CED"/>
    <w:rsid w:val="00205D92"/>
    <w:rsid w:val="00206B43"/>
    <w:rsid w:val="00207F25"/>
    <w:rsid w:val="00214F8D"/>
    <w:rsid w:val="0021650D"/>
    <w:rsid w:val="00225644"/>
    <w:rsid w:val="00227609"/>
    <w:rsid w:val="00231EF2"/>
    <w:rsid w:val="00232389"/>
    <w:rsid w:val="00234964"/>
    <w:rsid w:val="00255180"/>
    <w:rsid w:val="002602E3"/>
    <w:rsid w:val="00260B46"/>
    <w:rsid w:val="0026114D"/>
    <w:rsid w:val="00262799"/>
    <w:rsid w:val="0026662B"/>
    <w:rsid w:val="00273B44"/>
    <w:rsid w:val="00276CAC"/>
    <w:rsid w:val="002777DE"/>
    <w:rsid w:val="00280375"/>
    <w:rsid w:val="0028099A"/>
    <w:rsid w:val="00284DC3"/>
    <w:rsid w:val="00284F1F"/>
    <w:rsid w:val="00292DE9"/>
    <w:rsid w:val="002A03CE"/>
    <w:rsid w:val="002A4909"/>
    <w:rsid w:val="002A66BD"/>
    <w:rsid w:val="002B226C"/>
    <w:rsid w:val="002B3338"/>
    <w:rsid w:val="002B5AF7"/>
    <w:rsid w:val="002B5F87"/>
    <w:rsid w:val="002C4DD5"/>
    <w:rsid w:val="002D0DBF"/>
    <w:rsid w:val="002D6E02"/>
    <w:rsid w:val="002D7428"/>
    <w:rsid w:val="002E3D65"/>
    <w:rsid w:val="00303C94"/>
    <w:rsid w:val="00304C3F"/>
    <w:rsid w:val="003068C6"/>
    <w:rsid w:val="00313DBE"/>
    <w:rsid w:val="003228C2"/>
    <w:rsid w:val="00322EFB"/>
    <w:rsid w:val="003328D6"/>
    <w:rsid w:val="003404E3"/>
    <w:rsid w:val="00340D5A"/>
    <w:rsid w:val="00344607"/>
    <w:rsid w:val="00344FF7"/>
    <w:rsid w:val="00346A10"/>
    <w:rsid w:val="0035588F"/>
    <w:rsid w:val="0035618C"/>
    <w:rsid w:val="003574E6"/>
    <w:rsid w:val="00357A40"/>
    <w:rsid w:val="00362776"/>
    <w:rsid w:val="00364330"/>
    <w:rsid w:val="00370BD9"/>
    <w:rsid w:val="00370C90"/>
    <w:rsid w:val="003746C0"/>
    <w:rsid w:val="00382875"/>
    <w:rsid w:val="00385065"/>
    <w:rsid w:val="00385679"/>
    <w:rsid w:val="003861EC"/>
    <w:rsid w:val="003A0AAE"/>
    <w:rsid w:val="003A70D5"/>
    <w:rsid w:val="003B55E3"/>
    <w:rsid w:val="003B6C96"/>
    <w:rsid w:val="003C6E84"/>
    <w:rsid w:val="003D23BE"/>
    <w:rsid w:val="003D699E"/>
    <w:rsid w:val="003D72DC"/>
    <w:rsid w:val="003E0382"/>
    <w:rsid w:val="003E163A"/>
    <w:rsid w:val="003E48DF"/>
    <w:rsid w:val="003F35E7"/>
    <w:rsid w:val="0040031F"/>
    <w:rsid w:val="00402955"/>
    <w:rsid w:val="00402BBE"/>
    <w:rsid w:val="00411511"/>
    <w:rsid w:val="00415049"/>
    <w:rsid w:val="00415AB7"/>
    <w:rsid w:val="0042483F"/>
    <w:rsid w:val="004327BA"/>
    <w:rsid w:val="00435CB7"/>
    <w:rsid w:val="00440228"/>
    <w:rsid w:val="0044463D"/>
    <w:rsid w:val="0044715D"/>
    <w:rsid w:val="00451909"/>
    <w:rsid w:val="004546B5"/>
    <w:rsid w:val="00464A8A"/>
    <w:rsid w:val="00467F0F"/>
    <w:rsid w:val="004711A6"/>
    <w:rsid w:val="00481910"/>
    <w:rsid w:val="00481D59"/>
    <w:rsid w:val="00481DA1"/>
    <w:rsid w:val="004868DC"/>
    <w:rsid w:val="00487C06"/>
    <w:rsid w:val="00490DFE"/>
    <w:rsid w:val="004A172F"/>
    <w:rsid w:val="004A187C"/>
    <w:rsid w:val="004A26F5"/>
    <w:rsid w:val="004A4DD8"/>
    <w:rsid w:val="004A5AF9"/>
    <w:rsid w:val="004B0A4C"/>
    <w:rsid w:val="004C14C6"/>
    <w:rsid w:val="004C1FA9"/>
    <w:rsid w:val="004C5A86"/>
    <w:rsid w:val="004D1D41"/>
    <w:rsid w:val="004D7DE6"/>
    <w:rsid w:val="004F7163"/>
    <w:rsid w:val="005034C6"/>
    <w:rsid w:val="005168B2"/>
    <w:rsid w:val="00525ADF"/>
    <w:rsid w:val="0052742D"/>
    <w:rsid w:val="00530B4A"/>
    <w:rsid w:val="00535E1C"/>
    <w:rsid w:val="00543A25"/>
    <w:rsid w:val="00545D2A"/>
    <w:rsid w:val="00551564"/>
    <w:rsid w:val="00553381"/>
    <w:rsid w:val="005568E4"/>
    <w:rsid w:val="00560780"/>
    <w:rsid w:val="005640CC"/>
    <w:rsid w:val="00566649"/>
    <w:rsid w:val="0057392F"/>
    <w:rsid w:val="005764A0"/>
    <w:rsid w:val="00577A1A"/>
    <w:rsid w:val="00581F63"/>
    <w:rsid w:val="0058710E"/>
    <w:rsid w:val="00594D3C"/>
    <w:rsid w:val="005A7B5B"/>
    <w:rsid w:val="005C0758"/>
    <w:rsid w:val="005C22E0"/>
    <w:rsid w:val="005C7166"/>
    <w:rsid w:val="005D1C89"/>
    <w:rsid w:val="005D5278"/>
    <w:rsid w:val="005D7168"/>
    <w:rsid w:val="005E0989"/>
    <w:rsid w:val="005E189A"/>
    <w:rsid w:val="005E5FFE"/>
    <w:rsid w:val="005F4D2F"/>
    <w:rsid w:val="006066DF"/>
    <w:rsid w:val="00606B12"/>
    <w:rsid w:val="006116A6"/>
    <w:rsid w:val="00613E56"/>
    <w:rsid w:val="0062502F"/>
    <w:rsid w:val="00626A11"/>
    <w:rsid w:val="00627B5C"/>
    <w:rsid w:val="00630476"/>
    <w:rsid w:val="0063062D"/>
    <w:rsid w:val="00631E69"/>
    <w:rsid w:val="00634D7D"/>
    <w:rsid w:val="0063530F"/>
    <w:rsid w:val="006405E1"/>
    <w:rsid w:val="00644920"/>
    <w:rsid w:val="00645A53"/>
    <w:rsid w:val="00650C64"/>
    <w:rsid w:val="00653F8C"/>
    <w:rsid w:val="00654F2D"/>
    <w:rsid w:val="00655327"/>
    <w:rsid w:val="00656417"/>
    <w:rsid w:val="00661380"/>
    <w:rsid w:val="00673F1F"/>
    <w:rsid w:val="00681853"/>
    <w:rsid w:val="006845E2"/>
    <w:rsid w:val="00690352"/>
    <w:rsid w:val="006A5A00"/>
    <w:rsid w:val="006A7F50"/>
    <w:rsid w:val="006B144A"/>
    <w:rsid w:val="006B6204"/>
    <w:rsid w:val="006B7BA5"/>
    <w:rsid w:val="006C32EB"/>
    <w:rsid w:val="006C35F7"/>
    <w:rsid w:val="006D1643"/>
    <w:rsid w:val="006D3BC4"/>
    <w:rsid w:val="006E2878"/>
    <w:rsid w:val="006F14C4"/>
    <w:rsid w:val="006F6098"/>
    <w:rsid w:val="00701B16"/>
    <w:rsid w:val="00704B3B"/>
    <w:rsid w:val="00706692"/>
    <w:rsid w:val="00710C21"/>
    <w:rsid w:val="00711F3E"/>
    <w:rsid w:val="00712F51"/>
    <w:rsid w:val="007237B4"/>
    <w:rsid w:val="007264E4"/>
    <w:rsid w:val="0072720F"/>
    <w:rsid w:val="00734D0A"/>
    <w:rsid w:val="00734F81"/>
    <w:rsid w:val="0073757B"/>
    <w:rsid w:val="00740C81"/>
    <w:rsid w:val="0074546F"/>
    <w:rsid w:val="007460B5"/>
    <w:rsid w:val="00746ACA"/>
    <w:rsid w:val="00746EAB"/>
    <w:rsid w:val="00750692"/>
    <w:rsid w:val="00750DA1"/>
    <w:rsid w:val="00751006"/>
    <w:rsid w:val="00752491"/>
    <w:rsid w:val="00753D0E"/>
    <w:rsid w:val="00765DF4"/>
    <w:rsid w:val="00770EB2"/>
    <w:rsid w:val="00781081"/>
    <w:rsid w:val="007877F7"/>
    <w:rsid w:val="0078784F"/>
    <w:rsid w:val="00791539"/>
    <w:rsid w:val="007A626D"/>
    <w:rsid w:val="007A77E8"/>
    <w:rsid w:val="007B128B"/>
    <w:rsid w:val="007B413D"/>
    <w:rsid w:val="007B456E"/>
    <w:rsid w:val="007B563F"/>
    <w:rsid w:val="007B6C59"/>
    <w:rsid w:val="007C2A90"/>
    <w:rsid w:val="007E1FFC"/>
    <w:rsid w:val="007E41AD"/>
    <w:rsid w:val="007E7E23"/>
    <w:rsid w:val="007F4E20"/>
    <w:rsid w:val="008006F6"/>
    <w:rsid w:val="00805A70"/>
    <w:rsid w:val="00805D78"/>
    <w:rsid w:val="00806D39"/>
    <w:rsid w:val="0081118B"/>
    <w:rsid w:val="008157ED"/>
    <w:rsid w:val="00816508"/>
    <w:rsid w:val="00825C0A"/>
    <w:rsid w:val="008304EC"/>
    <w:rsid w:val="00831CA9"/>
    <w:rsid w:val="00831DCE"/>
    <w:rsid w:val="00833244"/>
    <w:rsid w:val="008333F9"/>
    <w:rsid w:val="008340AF"/>
    <w:rsid w:val="00841750"/>
    <w:rsid w:val="0085116F"/>
    <w:rsid w:val="00870120"/>
    <w:rsid w:val="00870245"/>
    <w:rsid w:val="008702E6"/>
    <w:rsid w:val="008706D6"/>
    <w:rsid w:val="00874BA7"/>
    <w:rsid w:val="008757BF"/>
    <w:rsid w:val="00875EBA"/>
    <w:rsid w:val="008763E4"/>
    <w:rsid w:val="008824DB"/>
    <w:rsid w:val="008825CB"/>
    <w:rsid w:val="0088683B"/>
    <w:rsid w:val="0089366B"/>
    <w:rsid w:val="00893B4D"/>
    <w:rsid w:val="00896845"/>
    <w:rsid w:val="008A0557"/>
    <w:rsid w:val="008A151B"/>
    <w:rsid w:val="008A526A"/>
    <w:rsid w:val="008B43C8"/>
    <w:rsid w:val="008B662B"/>
    <w:rsid w:val="008C0568"/>
    <w:rsid w:val="008C3E5E"/>
    <w:rsid w:val="008D518B"/>
    <w:rsid w:val="008E1A96"/>
    <w:rsid w:val="008E585E"/>
    <w:rsid w:val="008E791E"/>
    <w:rsid w:val="008F10CD"/>
    <w:rsid w:val="008F628C"/>
    <w:rsid w:val="009010E7"/>
    <w:rsid w:val="00901188"/>
    <w:rsid w:val="00902BFD"/>
    <w:rsid w:val="0091257E"/>
    <w:rsid w:val="00915AAE"/>
    <w:rsid w:val="00916317"/>
    <w:rsid w:val="00922172"/>
    <w:rsid w:val="009239C0"/>
    <w:rsid w:val="009250F9"/>
    <w:rsid w:val="009316AC"/>
    <w:rsid w:val="00936141"/>
    <w:rsid w:val="0094520C"/>
    <w:rsid w:val="0095294B"/>
    <w:rsid w:val="00953ED7"/>
    <w:rsid w:val="00954616"/>
    <w:rsid w:val="009718A7"/>
    <w:rsid w:val="00973B7C"/>
    <w:rsid w:val="00973C10"/>
    <w:rsid w:val="009805A2"/>
    <w:rsid w:val="00985B66"/>
    <w:rsid w:val="00985F83"/>
    <w:rsid w:val="009A5A2B"/>
    <w:rsid w:val="009B0530"/>
    <w:rsid w:val="009B19EC"/>
    <w:rsid w:val="009C02F0"/>
    <w:rsid w:val="009C4108"/>
    <w:rsid w:val="009E5295"/>
    <w:rsid w:val="009F3F2F"/>
    <w:rsid w:val="009F643C"/>
    <w:rsid w:val="009F7E94"/>
    <w:rsid w:val="00A031C8"/>
    <w:rsid w:val="00A0665C"/>
    <w:rsid w:val="00A11014"/>
    <w:rsid w:val="00A1175E"/>
    <w:rsid w:val="00A12A74"/>
    <w:rsid w:val="00A33F97"/>
    <w:rsid w:val="00A412F4"/>
    <w:rsid w:val="00A42401"/>
    <w:rsid w:val="00A5386D"/>
    <w:rsid w:val="00A601AC"/>
    <w:rsid w:val="00A800E8"/>
    <w:rsid w:val="00A84A56"/>
    <w:rsid w:val="00A867A2"/>
    <w:rsid w:val="00A87EBA"/>
    <w:rsid w:val="00A92152"/>
    <w:rsid w:val="00A92799"/>
    <w:rsid w:val="00A929AC"/>
    <w:rsid w:val="00A96CD1"/>
    <w:rsid w:val="00AA053E"/>
    <w:rsid w:val="00AA1D66"/>
    <w:rsid w:val="00AA5D11"/>
    <w:rsid w:val="00AA66CD"/>
    <w:rsid w:val="00AB127E"/>
    <w:rsid w:val="00AB1F47"/>
    <w:rsid w:val="00AB2D12"/>
    <w:rsid w:val="00AB7181"/>
    <w:rsid w:val="00AB7B98"/>
    <w:rsid w:val="00AC10CD"/>
    <w:rsid w:val="00AC5C63"/>
    <w:rsid w:val="00AC5E88"/>
    <w:rsid w:val="00AD6889"/>
    <w:rsid w:val="00AE32DD"/>
    <w:rsid w:val="00AE5625"/>
    <w:rsid w:val="00AE61AF"/>
    <w:rsid w:val="00AF0FE5"/>
    <w:rsid w:val="00AF211C"/>
    <w:rsid w:val="00AF2962"/>
    <w:rsid w:val="00AF4AD3"/>
    <w:rsid w:val="00AF55C3"/>
    <w:rsid w:val="00B013E5"/>
    <w:rsid w:val="00B02B5E"/>
    <w:rsid w:val="00B102DA"/>
    <w:rsid w:val="00B11500"/>
    <w:rsid w:val="00B13BEA"/>
    <w:rsid w:val="00B21DD6"/>
    <w:rsid w:val="00B33103"/>
    <w:rsid w:val="00B42C63"/>
    <w:rsid w:val="00B45691"/>
    <w:rsid w:val="00B45971"/>
    <w:rsid w:val="00B46A0A"/>
    <w:rsid w:val="00B521A8"/>
    <w:rsid w:val="00B53F56"/>
    <w:rsid w:val="00B5623C"/>
    <w:rsid w:val="00B74B4D"/>
    <w:rsid w:val="00B80531"/>
    <w:rsid w:val="00B831A8"/>
    <w:rsid w:val="00B83C0D"/>
    <w:rsid w:val="00B85D39"/>
    <w:rsid w:val="00BA63AA"/>
    <w:rsid w:val="00BA7E49"/>
    <w:rsid w:val="00BB6D12"/>
    <w:rsid w:val="00BC0606"/>
    <w:rsid w:val="00BC25D2"/>
    <w:rsid w:val="00BC270A"/>
    <w:rsid w:val="00BC4896"/>
    <w:rsid w:val="00BC5292"/>
    <w:rsid w:val="00BD25B6"/>
    <w:rsid w:val="00BD5F77"/>
    <w:rsid w:val="00BE744E"/>
    <w:rsid w:val="00BF08CD"/>
    <w:rsid w:val="00BF1D8E"/>
    <w:rsid w:val="00BF6B8D"/>
    <w:rsid w:val="00C11FEF"/>
    <w:rsid w:val="00C229C6"/>
    <w:rsid w:val="00C4308F"/>
    <w:rsid w:val="00C45531"/>
    <w:rsid w:val="00C458BF"/>
    <w:rsid w:val="00C472A7"/>
    <w:rsid w:val="00C47723"/>
    <w:rsid w:val="00C50485"/>
    <w:rsid w:val="00C504CD"/>
    <w:rsid w:val="00C51C96"/>
    <w:rsid w:val="00C552B8"/>
    <w:rsid w:val="00C61965"/>
    <w:rsid w:val="00C63A94"/>
    <w:rsid w:val="00C63DCF"/>
    <w:rsid w:val="00C77F75"/>
    <w:rsid w:val="00C80D05"/>
    <w:rsid w:val="00C852E8"/>
    <w:rsid w:val="00C9630A"/>
    <w:rsid w:val="00CB0EB1"/>
    <w:rsid w:val="00CB1269"/>
    <w:rsid w:val="00CC5249"/>
    <w:rsid w:val="00CC5385"/>
    <w:rsid w:val="00CC60B0"/>
    <w:rsid w:val="00CD23FB"/>
    <w:rsid w:val="00CD3637"/>
    <w:rsid w:val="00CD382A"/>
    <w:rsid w:val="00CD392F"/>
    <w:rsid w:val="00CD5CB1"/>
    <w:rsid w:val="00CF47EA"/>
    <w:rsid w:val="00D10984"/>
    <w:rsid w:val="00D17551"/>
    <w:rsid w:val="00D23B84"/>
    <w:rsid w:val="00D26848"/>
    <w:rsid w:val="00D3602E"/>
    <w:rsid w:val="00D45D02"/>
    <w:rsid w:val="00D46C89"/>
    <w:rsid w:val="00D64A29"/>
    <w:rsid w:val="00D6600A"/>
    <w:rsid w:val="00D709AB"/>
    <w:rsid w:val="00D70BE0"/>
    <w:rsid w:val="00D728DC"/>
    <w:rsid w:val="00D83225"/>
    <w:rsid w:val="00D963CD"/>
    <w:rsid w:val="00DA6FDE"/>
    <w:rsid w:val="00DB1A36"/>
    <w:rsid w:val="00DB3CD9"/>
    <w:rsid w:val="00DC25BC"/>
    <w:rsid w:val="00DC5DE8"/>
    <w:rsid w:val="00DC6CCC"/>
    <w:rsid w:val="00DD1C54"/>
    <w:rsid w:val="00DE12AF"/>
    <w:rsid w:val="00DE3D6C"/>
    <w:rsid w:val="00DE7839"/>
    <w:rsid w:val="00DF3D8F"/>
    <w:rsid w:val="00DF77B3"/>
    <w:rsid w:val="00DF7F32"/>
    <w:rsid w:val="00E0677B"/>
    <w:rsid w:val="00E1233E"/>
    <w:rsid w:val="00E17564"/>
    <w:rsid w:val="00E17BB7"/>
    <w:rsid w:val="00E311CF"/>
    <w:rsid w:val="00E332DA"/>
    <w:rsid w:val="00E34D54"/>
    <w:rsid w:val="00E364F7"/>
    <w:rsid w:val="00E42297"/>
    <w:rsid w:val="00E46B27"/>
    <w:rsid w:val="00E46C0B"/>
    <w:rsid w:val="00E471E0"/>
    <w:rsid w:val="00E53BDD"/>
    <w:rsid w:val="00E5623C"/>
    <w:rsid w:val="00E61426"/>
    <w:rsid w:val="00E64B8C"/>
    <w:rsid w:val="00E729F0"/>
    <w:rsid w:val="00E72CFA"/>
    <w:rsid w:val="00E75053"/>
    <w:rsid w:val="00E77F5A"/>
    <w:rsid w:val="00E83EA4"/>
    <w:rsid w:val="00E84430"/>
    <w:rsid w:val="00E87A7D"/>
    <w:rsid w:val="00E968F6"/>
    <w:rsid w:val="00EA7E61"/>
    <w:rsid w:val="00EB0E66"/>
    <w:rsid w:val="00EB2F26"/>
    <w:rsid w:val="00EB7EC3"/>
    <w:rsid w:val="00EC4388"/>
    <w:rsid w:val="00EC4900"/>
    <w:rsid w:val="00EE2504"/>
    <w:rsid w:val="00EE388E"/>
    <w:rsid w:val="00EE4161"/>
    <w:rsid w:val="00EE41DA"/>
    <w:rsid w:val="00EE5A42"/>
    <w:rsid w:val="00EE7A1F"/>
    <w:rsid w:val="00EF0840"/>
    <w:rsid w:val="00EF4D3B"/>
    <w:rsid w:val="00EF5049"/>
    <w:rsid w:val="00EF6479"/>
    <w:rsid w:val="00EF73A3"/>
    <w:rsid w:val="00F0186F"/>
    <w:rsid w:val="00F02622"/>
    <w:rsid w:val="00F058CF"/>
    <w:rsid w:val="00F06946"/>
    <w:rsid w:val="00F070AA"/>
    <w:rsid w:val="00F07D44"/>
    <w:rsid w:val="00F1256C"/>
    <w:rsid w:val="00F12AA7"/>
    <w:rsid w:val="00F12E59"/>
    <w:rsid w:val="00F140A4"/>
    <w:rsid w:val="00F1538E"/>
    <w:rsid w:val="00F35F73"/>
    <w:rsid w:val="00F4027F"/>
    <w:rsid w:val="00F45AB7"/>
    <w:rsid w:val="00F55C6E"/>
    <w:rsid w:val="00F56BC7"/>
    <w:rsid w:val="00F64E40"/>
    <w:rsid w:val="00F65A31"/>
    <w:rsid w:val="00F66115"/>
    <w:rsid w:val="00F66C65"/>
    <w:rsid w:val="00F74EE8"/>
    <w:rsid w:val="00F75FB0"/>
    <w:rsid w:val="00F82386"/>
    <w:rsid w:val="00F943A0"/>
    <w:rsid w:val="00F95E6D"/>
    <w:rsid w:val="00F97926"/>
    <w:rsid w:val="00FA522E"/>
    <w:rsid w:val="00FB1D66"/>
    <w:rsid w:val="00FC3F20"/>
    <w:rsid w:val="00FC72F0"/>
    <w:rsid w:val="00FC752E"/>
    <w:rsid w:val="00FD6288"/>
    <w:rsid w:val="00FE5177"/>
    <w:rsid w:val="00FE75C9"/>
    <w:rsid w:val="00FF2C42"/>
    <w:rsid w:val="00FF53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9C5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15D"/>
    <w:rPr>
      <w:rFonts w:ascii="Calibri" w:eastAsia="Calibri" w:hAnsi="Calibri" w:cs="Times New Roman"/>
      <w:sz w:val="22"/>
    </w:rPr>
  </w:style>
  <w:style w:type="paragraph" w:styleId="Heading1">
    <w:name w:val="heading 1"/>
    <w:basedOn w:val="Normal"/>
    <w:next w:val="Normal"/>
    <w:link w:val="Heading1Char"/>
    <w:uiPriority w:val="9"/>
    <w:qFormat/>
    <w:rsid w:val="00C63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44715D"/>
    <w:pPr>
      <w:keepNext/>
      <w:keepLines/>
      <w:spacing w:before="120" w:after="120"/>
      <w:outlineLvl w:val="1"/>
    </w:pPr>
    <w:rPr>
      <w:rFonts w:eastAsia="MS Gothic"/>
      <w:b/>
      <w:bCs/>
      <w: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715D"/>
    <w:rPr>
      <w:rFonts w:ascii="Calibri" w:eastAsia="MS Gothic" w:hAnsi="Calibri" w:cs="Times New Roman"/>
      <w:b/>
      <w:bCs/>
      <w:i/>
      <w:sz w:val="22"/>
      <w:szCs w:val="26"/>
      <w:u w:val="single"/>
    </w:rPr>
  </w:style>
  <w:style w:type="paragraph" w:styleId="ListParagraph">
    <w:name w:val="List Paragraph"/>
    <w:basedOn w:val="Normal"/>
    <w:uiPriority w:val="34"/>
    <w:qFormat/>
    <w:rsid w:val="0044715D"/>
    <w:pPr>
      <w:ind w:left="720"/>
      <w:contextualSpacing/>
    </w:p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qFormat/>
    <w:rsid w:val="0044715D"/>
    <w:pPr>
      <w:keepNext/>
      <w:spacing w:after="40" w:line="240" w:lineRule="auto"/>
      <w:ind w:left="709" w:hanging="709"/>
    </w:pPr>
    <w:rPr>
      <w:rFonts w:ascii="Arial Narrow" w:eastAsia="Times New Roman" w:hAnsi="Arial Narrow" w:cs="Tahoma"/>
      <w:b/>
      <w:sz w:val="20"/>
      <w:szCs w:val="20"/>
      <w:lang w:val="en-GB" w:eastAsia="ja-JP"/>
    </w:rPr>
  </w:style>
  <w:style w:type="character" w:styleId="Hyperlink">
    <w:name w:val="Hyperlink"/>
    <w:basedOn w:val="DefaultParagraphFont"/>
    <w:uiPriority w:val="99"/>
    <w:rsid w:val="0044715D"/>
    <w:rPr>
      <w:rFonts w:cs="Times New Roman"/>
      <w:color w:val="0000FF"/>
      <w:u w:val="single"/>
    </w:rPr>
  </w:style>
  <w:style w:type="paragraph" w:styleId="BalloonText">
    <w:name w:val="Balloon Text"/>
    <w:basedOn w:val="Normal"/>
    <w:link w:val="BalloonTextChar"/>
    <w:uiPriority w:val="99"/>
    <w:semiHidden/>
    <w:unhideWhenUsed/>
    <w:rsid w:val="0044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5D"/>
    <w:rPr>
      <w:rFonts w:ascii="Tahoma" w:eastAsia="Calibri" w:hAnsi="Tahoma" w:cs="Tahoma"/>
      <w:sz w:val="16"/>
      <w:szCs w:val="16"/>
    </w:rPr>
  </w:style>
  <w:style w:type="paragraph" w:customStyle="1" w:styleId="Heading10">
    <w:name w:val="Heading1"/>
    <w:rsid w:val="0044715D"/>
    <w:pPr>
      <w:spacing w:line="240" w:lineRule="auto"/>
    </w:pPr>
    <w:rPr>
      <w:rFonts w:ascii="Calibri" w:eastAsia="Calibri" w:hAnsi="Calibri" w:cs="Calibri"/>
      <w:b/>
      <w:bCs/>
      <w:color w:val="000000"/>
      <w:sz w:val="36"/>
      <w:szCs w:val="36"/>
      <w:u w:color="000000"/>
      <w:lang w:val="en-US" w:eastAsia="en-AU"/>
    </w:rPr>
  </w:style>
  <w:style w:type="character" w:styleId="CommentReference">
    <w:name w:val="annotation reference"/>
    <w:basedOn w:val="DefaultParagraphFont"/>
    <w:uiPriority w:val="99"/>
    <w:semiHidden/>
    <w:unhideWhenUsed/>
    <w:rsid w:val="00E46C0B"/>
    <w:rPr>
      <w:sz w:val="16"/>
      <w:szCs w:val="16"/>
    </w:rPr>
  </w:style>
  <w:style w:type="paragraph" w:styleId="CommentText">
    <w:name w:val="annotation text"/>
    <w:basedOn w:val="Normal"/>
    <w:link w:val="CommentTextChar"/>
    <w:uiPriority w:val="99"/>
    <w:unhideWhenUsed/>
    <w:rsid w:val="00E46C0B"/>
    <w:pPr>
      <w:spacing w:line="240" w:lineRule="auto"/>
    </w:pPr>
    <w:rPr>
      <w:sz w:val="20"/>
      <w:szCs w:val="20"/>
    </w:rPr>
  </w:style>
  <w:style w:type="character" w:customStyle="1" w:styleId="CommentTextChar">
    <w:name w:val="Comment Text Char"/>
    <w:basedOn w:val="DefaultParagraphFont"/>
    <w:link w:val="CommentText"/>
    <w:uiPriority w:val="99"/>
    <w:rsid w:val="00E46C0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46C0B"/>
    <w:rPr>
      <w:b/>
      <w:bCs/>
    </w:rPr>
  </w:style>
  <w:style w:type="character" w:customStyle="1" w:styleId="CommentSubjectChar">
    <w:name w:val="Comment Subject Char"/>
    <w:basedOn w:val="CommentTextChar"/>
    <w:link w:val="CommentSubject"/>
    <w:uiPriority w:val="99"/>
    <w:semiHidden/>
    <w:rsid w:val="00E46C0B"/>
    <w:rPr>
      <w:rFonts w:ascii="Calibri" w:eastAsia="Calibri" w:hAnsi="Calibri" w:cs="Times New Roman"/>
      <w:b/>
      <w:bCs/>
      <w:sz w:val="20"/>
      <w:szCs w:val="20"/>
    </w:rPr>
  </w:style>
  <w:style w:type="paragraph" w:styleId="Header">
    <w:name w:val="header"/>
    <w:basedOn w:val="Normal"/>
    <w:link w:val="HeaderChar"/>
    <w:uiPriority w:val="99"/>
    <w:unhideWhenUsed/>
    <w:rsid w:val="003D6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99E"/>
    <w:rPr>
      <w:rFonts w:ascii="Calibri" w:eastAsia="Calibri" w:hAnsi="Calibri" w:cs="Times New Roman"/>
      <w:sz w:val="22"/>
    </w:rPr>
  </w:style>
  <w:style w:type="paragraph" w:styleId="Footer">
    <w:name w:val="footer"/>
    <w:basedOn w:val="Normal"/>
    <w:link w:val="FooterChar"/>
    <w:uiPriority w:val="99"/>
    <w:unhideWhenUsed/>
    <w:rsid w:val="003D6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99E"/>
    <w:rPr>
      <w:rFonts w:ascii="Calibri" w:eastAsia="Calibri" w:hAnsi="Calibri" w:cs="Times New Roman"/>
      <w:sz w:val="22"/>
    </w:rPr>
  </w:style>
  <w:style w:type="paragraph" w:styleId="Subtitle">
    <w:name w:val="Subtitle"/>
    <w:basedOn w:val="Normal"/>
    <w:next w:val="Normal"/>
    <w:link w:val="SubtitleChar"/>
    <w:uiPriority w:val="11"/>
    <w:qFormat/>
    <w:rsid w:val="00FA522E"/>
    <w:pPr>
      <w:numPr>
        <w:ilvl w:val="1"/>
      </w:numPr>
      <w:spacing w:after="360" w:line="240" w:lineRule="auto"/>
    </w:pPr>
    <w:rPr>
      <w:rFonts w:eastAsiaTheme="majorEastAsia" w:cstheme="majorBidi"/>
      <w:b/>
      <w:bCs/>
      <w:sz w:val="36"/>
      <w:szCs w:val="36"/>
      <w:lang w:bidi="hi-IN"/>
    </w:rPr>
  </w:style>
  <w:style w:type="character" w:customStyle="1" w:styleId="SubtitleChar">
    <w:name w:val="Subtitle Char"/>
    <w:basedOn w:val="DefaultParagraphFont"/>
    <w:link w:val="Subtitle"/>
    <w:uiPriority w:val="11"/>
    <w:rsid w:val="00FA522E"/>
    <w:rPr>
      <w:rFonts w:ascii="Calibri" w:eastAsiaTheme="majorEastAsia" w:hAnsi="Calibri" w:cstheme="majorBidi"/>
      <w:b/>
      <w:bCs/>
      <w:sz w:val="36"/>
      <w:szCs w:val="36"/>
      <w:lang w:bidi="hi-IN"/>
    </w:rPr>
  </w:style>
  <w:style w:type="character" w:styleId="FollowedHyperlink">
    <w:name w:val="FollowedHyperlink"/>
    <w:basedOn w:val="DefaultParagraphFont"/>
    <w:uiPriority w:val="99"/>
    <w:semiHidden/>
    <w:unhideWhenUsed/>
    <w:rsid w:val="005E5FFE"/>
    <w:rPr>
      <w:color w:val="800080" w:themeColor="followedHyperlink"/>
      <w:u w:val="single"/>
    </w:rPr>
  </w:style>
  <w:style w:type="table" w:styleId="TableGrid">
    <w:name w:val="Table Grid"/>
    <w:basedOn w:val="TableNormal"/>
    <w:uiPriority w:val="59"/>
    <w:rsid w:val="008C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63A94"/>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C63A94"/>
    <w:pPr>
      <w:spacing w:after="240" w:line="240" w:lineRule="auto"/>
      <w:ind w:left="720"/>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Title"/>
    <w:basedOn w:val="Normal"/>
    <w:rsid w:val="00EE7A1F"/>
    <w:pPr>
      <w:spacing w:after="240" w:line="240" w:lineRule="auto"/>
      <w:ind w:left="720"/>
      <w:jc w:val="right"/>
    </w:pPr>
    <w:rPr>
      <w:rFonts w:ascii="Arial" w:eastAsia="Times New Roman" w:hAnsi="Arial"/>
      <w:b/>
      <w:color w:val="000000"/>
      <w:sz w:val="40"/>
      <w:szCs w:val="20"/>
      <w:lang w:eastAsia="en-AU"/>
    </w:rPr>
  </w:style>
  <w:style w:type="paragraph" w:styleId="NormalWeb">
    <w:name w:val="Normal (Web)"/>
    <w:basedOn w:val="Normal"/>
    <w:uiPriority w:val="99"/>
    <w:semiHidden/>
    <w:unhideWhenUsed/>
    <w:rsid w:val="00F75FB0"/>
    <w:pPr>
      <w:spacing w:before="100" w:beforeAutospacing="1" w:after="100" w:afterAutospacing="1" w:line="240" w:lineRule="auto"/>
    </w:pPr>
    <w:rPr>
      <w:rFonts w:ascii="Times New Roman" w:eastAsiaTheme="minorEastAsia" w:hAnsi="Times New Roman"/>
      <w:sz w:val="24"/>
      <w:szCs w:val="24"/>
      <w:lang w:eastAsia="en-AU"/>
    </w:rPr>
  </w:style>
  <w:style w:type="character" w:styleId="Strong">
    <w:name w:val="Strong"/>
    <w:uiPriority w:val="22"/>
    <w:qFormat/>
    <w:rsid w:val="00D10984"/>
    <w:rPr>
      <w:rFonts w:ascii="Calibri" w:eastAsia="Calibri" w:hAnsi="Calibri" w:cs="Times New Roman"/>
      <w:b/>
    </w:r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basedOn w:val="DefaultParagraphFont"/>
    <w:link w:val="Caption"/>
    <w:rsid w:val="0078784F"/>
    <w:rPr>
      <w:rFonts w:ascii="Arial Narrow" w:eastAsia="Times New Roman" w:hAnsi="Arial Narrow" w:cs="Tahoma"/>
      <w:b/>
      <w:sz w:val="20"/>
      <w:szCs w:val="20"/>
      <w:lang w:val="en-GB" w:eastAsia="ja-JP"/>
    </w:rPr>
  </w:style>
  <w:style w:type="paragraph" w:customStyle="1" w:styleId="Tabletext">
    <w:name w:val="Table text"/>
    <w:basedOn w:val="Normal"/>
    <w:link w:val="TabletextChar"/>
    <w:qFormat/>
    <w:rsid w:val="0078784F"/>
    <w:pPr>
      <w:keepNext/>
      <w:keepLines/>
      <w:tabs>
        <w:tab w:val="left" w:pos="567"/>
      </w:tabs>
      <w:spacing w:before="120" w:after="120" w:line="240" w:lineRule="auto"/>
      <w:outlineLvl w:val="0"/>
    </w:pPr>
    <w:rPr>
      <w:rFonts w:ascii="Arial Narrow" w:eastAsia="Times New Roman" w:hAnsi="Arial Narrow" w:cstheme="minorHAnsi"/>
      <w:sz w:val="20"/>
    </w:rPr>
  </w:style>
  <w:style w:type="paragraph" w:customStyle="1" w:styleId="Tableheader">
    <w:name w:val="Table header"/>
    <w:basedOn w:val="Normal"/>
    <w:link w:val="TableheaderChar"/>
    <w:qFormat/>
    <w:rsid w:val="0078784F"/>
    <w:pPr>
      <w:keepNext/>
      <w:keepLines/>
      <w:tabs>
        <w:tab w:val="left" w:pos="567"/>
      </w:tabs>
      <w:spacing w:before="120" w:after="120" w:line="240" w:lineRule="auto"/>
      <w:outlineLvl w:val="0"/>
    </w:pPr>
    <w:rPr>
      <w:rFonts w:ascii="Arial Narrow" w:eastAsia="Times New Roman" w:hAnsi="Arial Narrow" w:cstheme="minorHAnsi"/>
      <w:b/>
      <w:sz w:val="20"/>
    </w:rPr>
  </w:style>
  <w:style w:type="character" w:customStyle="1" w:styleId="TabletextChar">
    <w:name w:val="Table text Char"/>
    <w:basedOn w:val="DefaultParagraphFont"/>
    <w:link w:val="Tabletext"/>
    <w:rsid w:val="0078784F"/>
    <w:rPr>
      <w:rFonts w:ascii="Arial Narrow" w:eastAsia="Times New Roman" w:hAnsi="Arial Narrow" w:cstheme="minorHAnsi"/>
      <w:sz w:val="20"/>
    </w:rPr>
  </w:style>
  <w:style w:type="character" w:customStyle="1" w:styleId="TableheaderChar">
    <w:name w:val="Table header Char"/>
    <w:basedOn w:val="DefaultParagraphFont"/>
    <w:link w:val="Tableheader"/>
    <w:rsid w:val="0078784F"/>
    <w:rPr>
      <w:rFonts w:ascii="Arial Narrow" w:eastAsia="Times New Roman" w:hAnsi="Arial Narrow" w:cstheme="minorHAnsi"/>
      <w:b/>
      <w:sz w:val="20"/>
    </w:rPr>
  </w:style>
  <w:style w:type="paragraph" w:customStyle="1" w:styleId="Default">
    <w:name w:val="Default"/>
    <w:rsid w:val="004F7163"/>
    <w:pPr>
      <w:autoSpaceDE w:val="0"/>
      <w:autoSpaceDN w:val="0"/>
      <w:adjustRightInd w:val="0"/>
      <w:spacing w:after="0" w:line="240" w:lineRule="auto"/>
    </w:pPr>
    <w:rPr>
      <w:rFonts w:ascii="Calibri" w:hAnsi="Calibri" w:cs="Calibri"/>
      <w:color w:val="000000"/>
      <w:szCs w:val="24"/>
    </w:rPr>
  </w:style>
  <w:style w:type="paragraph" w:customStyle="1" w:styleId="EndNoteBibliographyTitle">
    <w:name w:val="EndNote Bibliography Title"/>
    <w:basedOn w:val="Normal"/>
    <w:link w:val="EndNoteBibliographyTitleChar"/>
    <w:rsid w:val="00187B58"/>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187B58"/>
    <w:rPr>
      <w:rFonts w:ascii="Calibri" w:eastAsia="Calibri" w:hAnsi="Calibri" w:cs="Times New Roman"/>
      <w:noProof/>
      <w:sz w:val="22"/>
      <w:lang w:val="en-US"/>
    </w:rPr>
  </w:style>
  <w:style w:type="paragraph" w:customStyle="1" w:styleId="EndNoteBibliography">
    <w:name w:val="EndNote Bibliography"/>
    <w:basedOn w:val="Normal"/>
    <w:link w:val="EndNoteBibliographyChar"/>
    <w:rsid w:val="00187B58"/>
    <w:pPr>
      <w:spacing w:line="240" w:lineRule="auto"/>
    </w:pPr>
    <w:rPr>
      <w:noProof/>
      <w:lang w:val="en-US"/>
    </w:rPr>
  </w:style>
  <w:style w:type="character" w:customStyle="1" w:styleId="EndNoteBibliographyChar">
    <w:name w:val="EndNote Bibliography Char"/>
    <w:basedOn w:val="DefaultParagraphFont"/>
    <w:link w:val="EndNoteBibliography"/>
    <w:rsid w:val="00187B58"/>
    <w:rPr>
      <w:rFonts w:ascii="Calibri" w:eastAsia="Calibri" w:hAnsi="Calibri" w:cs="Times New Roman"/>
      <w:noProof/>
      <w:sz w:val="22"/>
      <w:lang w:val="en-US"/>
    </w:rPr>
  </w:style>
  <w:style w:type="paragraph" w:styleId="FootnoteText">
    <w:name w:val="footnote text"/>
    <w:basedOn w:val="Normal"/>
    <w:link w:val="FootnoteTextChar"/>
    <w:uiPriority w:val="99"/>
    <w:semiHidden/>
    <w:unhideWhenUsed/>
    <w:rsid w:val="006405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05E1"/>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405E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15D"/>
    <w:rPr>
      <w:rFonts w:ascii="Calibri" w:eastAsia="Calibri" w:hAnsi="Calibri" w:cs="Times New Roman"/>
      <w:sz w:val="22"/>
    </w:rPr>
  </w:style>
  <w:style w:type="paragraph" w:styleId="Heading1">
    <w:name w:val="heading 1"/>
    <w:basedOn w:val="Normal"/>
    <w:next w:val="Normal"/>
    <w:link w:val="Heading1Char"/>
    <w:uiPriority w:val="9"/>
    <w:qFormat/>
    <w:rsid w:val="00C63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44715D"/>
    <w:pPr>
      <w:keepNext/>
      <w:keepLines/>
      <w:spacing w:before="120" w:after="120"/>
      <w:outlineLvl w:val="1"/>
    </w:pPr>
    <w:rPr>
      <w:rFonts w:eastAsia="MS Gothic"/>
      <w:b/>
      <w:bCs/>
      <w: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715D"/>
    <w:rPr>
      <w:rFonts w:ascii="Calibri" w:eastAsia="MS Gothic" w:hAnsi="Calibri" w:cs="Times New Roman"/>
      <w:b/>
      <w:bCs/>
      <w:i/>
      <w:sz w:val="22"/>
      <w:szCs w:val="26"/>
      <w:u w:val="single"/>
    </w:rPr>
  </w:style>
  <w:style w:type="paragraph" w:styleId="ListParagraph">
    <w:name w:val="List Paragraph"/>
    <w:basedOn w:val="Normal"/>
    <w:uiPriority w:val="34"/>
    <w:qFormat/>
    <w:rsid w:val="0044715D"/>
    <w:pPr>
      <w:ind w:left="720"/>
      <w:contextualSpacing/>
    </w:p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qFormat/>
    <w:rsid w:val="0044715D"/>
    <w:pPr>
      <w:keepNext/>
      <w:spacing w:after="40" w:line="240" w:lineRule="auto"/>
      <w:ind w:left="709" w:hanging="709"/>
    </w:pPr>
    <w:rPr>
      <w:rFonts w:ascii="Arial Narrow" w:eastAsia="Times New Roman" w:hAnsi="Arial Narrow" w:cs="Tahoma"/>
      <w:b/>
      <w:sz w:val="20"/>
      <w:szCs w:val="20"/>
      <w:lang w:val="en-GB" w:eastAsia="ja-JP"/>
    </w:rPr>
  </w:style>
  <w:style w:type="character" w:styleId="Hyperlink">
    <w:name w:val="Hyperlink"/>
    <w:basedOn w:val="DefaultParagraphFont"/>
    <w:uiPriority w:val="99"/>
    <w:rsid w:val="0044715D"/>
    <w:rPr>
      <w:rFonts w:cs="Times New Roman"/>
      <w:color w:val="0000FF"/>
      <w:u w:val="single"/>
    </w:rPr>
  </w:style>
  <w:style w:type="paragraph" w:styleId="BalloonText">
    <w:name w:val="Balloon Text"/>
    <w:basedOn w:val="Normal"/>
    <w:link w:val="BalloonTextChar"/>
    <w:uiPriority w:val="99"/>
    <w:semiHidden/>
    <w:unhideWhenUsed/>
    <w:rsid w:val="0044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5D"/>
    <w:rPr>
      <w:rFonts w:ascii="Tahoma" w:eastAsia="Calibri" w:hAnsi="Tahoma" w:cs="Tahoma"/>
      <w:sz w:val="16"/>
      <w:szCs w:val="16"/>
    </w:rPr>
  </w:style>
  <w:style w:type="paragraph" w:customStyle="1" w:styleId="Heading10">
    <w:name w:val="Heading1"/>
    <w:rsid w:val="0044715D"/>
    <w:pPr>
      <w:spacing w:line="240" w:lineRule="auto"/>
    </w:pPr>
    <w:rPr>
      <w:rFonts w:ascii="Calibri" w:eastAsia="Calibri" w:hAnsi="Calibri" w:cs="Calibri"/>
      <w:b/>
      <w:bCs/>
      <w:color w:val="000000"/>
      <w:sz w:val="36"/>
      <w:szCs w:val="36"/>
      <w:u w:color="000000"/>
      <w:lang w:val="en-US" w:eastAsia="en-AU"/>
    </w:rPr>
  </w:style>
  <w:style w:type="character" w:styleId="CommentReference">
    <w:name w:val="annotation reference"/>
    <w:basedOn w:val="DefaultParagraphFont"/>
    <w:uiPriority w:val="99"/>
    <w:semiHidden/>
    <w:unhideWhenUsed/>
    <w:rsid w:val="00E46C0B"/>
    <w:rPr>
      <w:sz w:val="16"/>
      <w:szCs w:val="16"/>
    </w:rPr>
  </w:style>
  <w:style w:type="paragraph" w:styleId="CommentText">
    <w:name w:val="annotation text"/>
    <w:basedOn w:val="Normal"/>
    <w:link w:val="CommentTextChar"/>
    <w:uiPriority w:val="99"/>
    <w:unhideWhenUsed/>
    <w:rsid w:val="00E46C0B"/>
    <w:pPr>
      <w:spacing w:line="240" w:lineRule="auto"/>
    </w:pPr>
    <w:rPr>
      <w:sz w:val="20"/>
      <w:szCs w:val="20"/>
    </w:rPr>
  </w:style>
  <w:style w:type="character" w:customStyle="1" w:styleId="CommentTextChar">
    <w:name w:val="Comment Text Char"/>
    <w:basedOn w:val="DefaultParagraphFont"/>
    <w:link w:val="CommentText"/>
    <w:uiPriority w:val="99"/>
    <w:rsid w:val="00E46C0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46C0B"/>
    <w:rPr>
      <w:b/>
      <w:bCs/>
    </w:rPr>
  </w:style>
  <w:style w:type="character" w:customStyle="1" w:styleId="CommentSubjectChar">
    <w:name w:val="Comment Subject Char"/>
    <w:basedOn w:val="CommentTextChar"/>
    <w:link w:val="CommentSubject"/>
    <w:uiPriority w:val="99"/>
    <w:semiHidden/>
    <w:rsid w:val="00E46C0B"/>
    <w:rPr>
      <w:rFonts w:ascii="Calibri" w:eastAsia="Calibri" w:hAnsi="Calibri" w:cs="Times New Roman"/>
      <w:b/>
      <w:bCs/>
      <w:sz w:val="20"/>
      <w:szCs w:val="20"/>
    </w:rPr>
  </w:style>
  <w:style w:type="paragraph" w:styleId="Header">
    <w:name w:val="header"/>
    <w:basedOn w:val="Normal"/>
    <w:link w:val="HeaderChar"/>
    <w:uiPriority w:val="99"/>
    <w:unhideWhenUsed/>
    <w:rsid w:val="003D6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99E"/>
    <w:rPr>
      <w:rFonts w:ascii="Calibri" w:eastAsia="Calibri" w:hAnsi="Calibri" w:cs="Times New Roman"/>
      <w:sz w:val="22"/>
    </w:rPr>
  </w:style>
  <w:style w:type="paragraph" w:styleId="Footer">
    <w:name w:val="footer"/>
    <w:basedOn w:val="Normal"/>
    <w:link w:val="FooterChar"/>
    <w:uiPriority w:val="99"/>
    <w:unhideWhenUsed/>
    <w:rsid w:val="003D6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99E"/>
    <w:rPr>
      <w:rFonts w:ascii="Calibri" w:eastAsia="Calibri" w:hAnsi="Calibri" w:cs="Times New Roman"/>
      <w:sz w:val="22"/>
    </w:rPr>
  </w:style>
  <w:style w:type="paragraph" w:styleId="Subtitle">
    <w:name w:val="Subtitle"/>
    <w:basedOn w:val="Normal"/>
    <w:next w:val="Normal"/>
    <w:link w:val="SubtitleChar"/>
    <w:uiPriority w:val="11"/>
    <w:qFormat/>
    <w:rsid w:val="00FA522E"/>
    <w:pPr>
      <w:numPr>
        <w:ilvl w:val="1"/>
      </w:numPr>
      <w:spacing w:after="360" w:line="240" w:lineRule="auto"/>
    </w:pPr>
    <w:rPr>
      <w:rFonts w:eastAsiaTheme="majorEastAsia" w:cstheme="majorBidi"/>
      <w:b/>
      <w:bCs/>
      <w:sz w:val="36"/>
      <w:szCs w:val="36"/>
      <w:lang w:bidi="hi-IN"/>
    </w:rPr>
  </w:style>
  <w:style w:type="character" w:customStyle="1" w:styleId="SubtitleChar">
    <w:name w:val="Subtitle Char"/>
    <w:basedOn w:val="DefaultParagraphFont"/>
    <w:link w:val="Subtitle"/>
    <w:uiPriority w:val="11"/>
    <w:rsid w:val="00FA522E"/>
    <w:rPr>
      <w:rFonts w:ascii="Calibri" w:eastAsiaTheme="majorEastAsia" w:hAnsi="Calibri" w:cstheme="majorBidi"/>
      <w:b/>
      <w:bCs/>
      <w:sz w:val="36"/>
      <w:szCs w:val="36"/>
      <w:lang w:bidi="hi-IN"/>
    </w:rPr>
  </w:style>
  <w:style w:type="character" w:styleId="FollowedHyperlink">
    <w:name w:val="FollowedHyperlink"/>
    <w:basedOn w:val="DefaultParagraphFont"/>
    <w:uiPriority w:val="99"/>
    <w:semiHidden/>
    <w:unhideWhenUsed/>
    <w:rsid w:val="005E5FFE"/>
    <w:rPr>
      <w:color w:val="800080" w:themeColor="followedHyperlink"/>
      <w:u w:val="single"/>
    </w:rPr>
  </w:style>
  <w:style w:type="table" w:styleId="TableGrid">
    <w:name w:val="Table Grid"/>
    <w:basedOn w:val="TableNormal"/>
    <w:uiPriority w:val="59"/>
    <w:rsid w:val="008C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63A94"/>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C63A94"/>
    <w:pPr>
      <w:spacing w:after="240" w:line="240" w:lineRule="auto"/>
      <w:ind w:left="720"/>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Title"/>
    <w:basedOn w:val="Normal"/>
    <w:rsid w:val="00EE7A1F"/>
    <w:pPr>
      <w:spacing w:after="240" w:line="240" w:lineRule="auto"/>
      <w:ind w:left="720"/>
      <w:jc w:val="right"/>
    </w:pPr>
    <w:rPr>
      <w:rFonts w:ascii="Arial" w:eastAsia="Times New Roman" w:hAnsi="Arial"/>
      <w:b/>
      <w:color w:val="000000"/>
      <w:sz w:val="40"/>
      <w:szCs w:val="20"/>
      <w:lang w:eastAsia="en-AU"/>
    </w:rPr>
  </w:style>
  <w:style w:type="paragraph" w:styleId="NormalWeb">
    <w:name w:val="Normal (Web)"/>
    <w:basedOn w:val="Normal"/>
    <w:uiPriority w:val="99"/>
    <w:semiHidden/>
    <w:unhideWhenUsed/>
    <w:rsid w:val="00F75FB0"/>
    <w:pPr>
      <w:spacing w:before="100" w:beforeAutospacing="1" w:after="100" w:afterAutospacing="1" w:line="240" w:lineRule="auto"/>
    </w:pPr>
    <w:rPr>
      <w:rFonts w:ascii="Times New Roman" w:eastAsiaTheme="minorEastAsia" w:hAnsi="Times New Roman"/>
      <w:sz w:val="24"/>
      <w:szCs w:val="24"/>
      <w:lang w:eastAsia="en-AU"/>
    </w:rPr>
  </w:style>
  <w:style w:type="character" w:styleId="Strong">
    <w:name w:val="Strong"/>
    <w:uiPriority w:val="22"/>
    <w:qFormat/>
    <w:rsid w:val="00D10984"/>
    <w:rPr>
      <w:rFonts w:ascii="Calibri" w:eastAsia="Calibri" w:hAnsi="Calibri" w:cs="Times New Roman"/>
      <w:b/>
    </w:r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basedOn w:val="DefaultParagraphFont"/>
    <w:link w:val="Caption"/>
    <w:rsid w:val="0078784F"/>
    <w:rPr>
      <w:rFonts w:ascii="Arial Narrow" w:eastAsia="Times New Roman" w:hAnsi="Arial Narrow" w:cs="Tahoma"/>
      <w:b/>
      <w:sz w:val="20"/>
      <w:szCs w:val="20"/>
      <w:lang w:val="en-GB" w:eastAsia="ja-JP"/>
    </w:rPr>
  </w:style>
  <w:style w:type="paragraph" w:customStyle="1" w:styleId="Tabletext">
    <w:name w:val="Table text"/>
    <w:basedOn w:val="Normal"/>
    <w:link w:val="TabletextChar"/>
    <w:qFormat/>
    <w:rsid w:val="0078784F"/>
    <w:pPr>
      <w:keepNext/>
      <w:keepLines/>
      <w:tabs>
        <w:tab w:val="left" w:pos="567"/>
      </w:tabs>
      <w:spacing w:before="120" w:after="120" w:line="240" w:lineRule="auto"/>
      <w:outlineLvl w:val="0"/>
    </w:pPr>
    <w:rPr>
      <w:rFonts w:ascii="Arial Narrow" w:eastAsia="Times New Roman" w:hAnsi="Arial Narrow" w:cstheme="minorHAnsi"/>
      <w:sz w:val="20"/>
    </w:rPr>
  </w:style>
  <w:style w:type="paragraph" w:customStyle="1" w:styleId="Tableheader">
    <w:name w:val="Table header"/>
    <w:basedOn w:val="Normal"/>
    <w:link w:val="TableheaderChar"/>
    <w:qFormat/>
    <w:rsid w:val="0078784F"/>
    <w:pPr>
      <w:keepNext/>
      <w:keepLines/>
      <w:tabs>
        <w:tab w:val="left" w:pos="567"/>
      </w:tabs>
      <w:spacing w:before="120" w:after="120" w:line="240" w:lineRule="auto"/>
      <w:outlineLvl w:val="0"/>
    </w:pPr>
    <w:rPr>
      <w:rFonts w:ascii="Arial Narrow" w:eastAsia="Times New Roman" w:hAnsi="Arial Narrow" w:cstheme="minorHAnsi"/>
      <w:b/>
      <w:sz w:val="20"/>
    </w:rPr>
  </w:style>
  <w:style w:type="character" w:customStyle="1" w:styleId="TabletextChar">
    <w:name w:val="Table text Char"/>
    <w:basedOn w:val="DefaultParagraphFont"/>
    <w:link w:val="Tabletext"/>
    <w:rsid w:val="0078784F"/>
    <w:rPr>
      <w:rFonts w:ascii="Arial Narrow" w:eastAsia="Times New Roman" w:hAnsi="Arial Narrow" w:cstheme="minorHAnsi"/>
      <w:sz w:val="20"/>
    </w:rPr>
  </w:style>
  <w:style w:type="character" w:customStyle="1" w:styleId="TableheaderChar">
    <w:name w:val="Table header Char"/>
    <w:basedOn w:val="DefaultParagraphFont"/>
    <w:link w:val="Tableheader"/>
    <w:rsid w:val="0078784F"/>
    <w:rPr>
      <w:rFonts w:ascii="Arial Narrow" w:eastAsia="Times New Roman" w:hAnsi="Arial Narrow" w:cstheme="minorHAnsi"/>
      <w:b/>
      <w:sz w:val="20"/>
    </w:rPr>
  </w:style>
  <w:style w:type="paragraph" w:customStyle="1" w:styleId="Default">
    <w:name w:val="Default"/>
    <w:rsid w:val="004F7163"/>
    <w:pPr>
      <w:autoSpaceDE w:val="0"/>
      <w:autoSpaceDN w:val="0"/>
      <w:adjustRightInd w:val="0"/>
      <w:spacing w:after="0" w:line="240" w:lineRule="auto"/>
    </w:pPr>
    <w:rPr>
      <w:rFonts w:ascii="Calibri" w:hAnsi="Calibri" w:cs="Calibri"/>
      <w:color w:val="000000"/>
      <w:szCs w:val="24"/>
    </w:rPr>
  </w:style>
  <w:style w:type="paragraph" w:customStyle="1" w:styleId="EndNoteBibliographyTitle">
    <w:name w:val="EndNote Bibliography Title"/>
    <w:basedOn w:val="Normal"/>
    <w:link w:val="EndNoteBibliographyTitleChar"/>
    <w:rsid w:val="00187B58"/>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187B58"/>
    <w:rPr>
      <w:rFonts w:ascii="Calibri" w:eastAsia="Calibri" w:hAnsi="Calibri" w:cs="Times New Roman"/>
      <w:noProof/>
      <w:sz w:val="22"/>
      <w:lang w:val="en-US"/>
    </w:rPr>
  </w:style>
  <w:style w:type="paragraph" w:customStyle="1" w:styleId="EndNoteBibliography">
    <w:name w:val="EndNote Bibliography"/>
    <w:basedOn w:val="Normal"/>
    <w:link w:val="EndNoteBibliographyChar"/>
    <w:rsid w:val="00187B58"/>
    <w:pPr>
      <w:spacing w:line="240" w:lineRule="auto"/>
    </w:pPr>
    <w:rPr>
      <w:noProof/>
      <w:lang w:val="en-US"/>
    </w:rPr>
  </w:style>
  <w:style w:type="character" w:customStyle="1" w:styleId="EndNoteBibliographyChar">
    <w:name w:val="EndNote Bibliography Char"/>
    <w:basedOn w:val="DefaultParagraphFont"/>
    <w:link w:val="EndNoteBibliography"/>
    <w:rsid w:val="00187B58"/>
    <w:rPr>
      <w:rFonts w:ascii="Calibri" w:eastAsia="Calibri" w:hAnsi="Calibri" w:cs="Times New Roman"/>
      <w:noProof/>
      <w:sz w:val="22"/>
      <w:lang w:val="en-US"/>
    </w:rPr>
  </w:style>
  <w:style w:type="paragraph" w:styleId="FootnoteText">
    <w:name w:val="footnote text"/>
    <w:basedOn w:val="Normal"/>
    <w:link w:val="FootnoteTextChar"/>
    <w:uiPriority w:val="99"/>
    <w:semiHidden/>
    <w:unhideWhenUsed/>
    <w:rsid w:val="006405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05E1"/>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405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34975">
      <w:bodyDiv w:val="1"/>
      <w:marLeft w:val="0"/>
      <w:marRight w:val="0"/>
      <w:marTop w:val="0"/>
      <w:marBottom w:val="0"/>
      <w:divBdr>
        <w:top w:val="none" w:sz="0" w:space="0" w:color="auto"/>
        <w:left w:val="none" w:sz="0" w:space="0" w:color="auto"/>
        <w:bottom w:val="none" w:sz="0" w:space="0" w:color="auto"/>
        <w:right w:val="none" w:sz="0" w:space="0" w:color="auto"/>
      </w:divBdr>
    </w:div>
    <w:div w:id="628361943">
      <w:bodyDiv w:val="1"/>
      <w:marLeft w:val="0"/>
      <w:marRight w:val="0"/>
      <w:marTop w:val="0"/>
      <w:marBottom w:val="0"/>
      <w:divBdr>
        <w:top w:val="none" w:sz="0" w:space="0" w:color="auto"/>
        <w:left w:val="none" w:sz="0" w:space="0" w:color="auto"/>
        <w:bottom w:val="none" w:sz="0" w:space="0" w:color="auto"/>
        <w:right w:val="none" w:sz="0" w:space="0" w:color="auto"/>
      </w:divBdr>
    </w:div>
    <w:div w:id="128936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lood.gov.au/system/files/abdr-annual-report-2015-16-final.pdf%3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blood.gov.au/system/files/HaemophiliaGuidelines-interactive-updated-260317v2.pdf%3e" TargetMode="External"/><Relationship Id="rId17" Type="http://schemas.openxmlformats.org/officeDocument/2006/relationships/fontTable" Target="fontTable.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blood.gov.au/system/files/12July17-price-update-46.1-National-Blood-Authority-Fact-sheet-Supply-of-plasma-derived-and-recombinant-blood-products2.pdf%3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704B8-2B11-4CEC-BDEB-573EC69C6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7481</Words>
  <Characters>42643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50024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Stansfield</dc:creator>
  <cp:lastModifiedBy>Faraz Ghazi</cp:lastModifiedBy>
  <cp:revision>5</cp:revision>
  <cp:lastPrinted>2017-10-17T01:00:00Z</cp:lastPrinted>
  <dcterms:created xsi:type="dcterms:W3CDTF">2018-03-02T03:28:00Z</dcterms:created>
  <dcterms:modified xsi:type="dcterms:W3CDTF">2018-06-08T00:10:00Z</dcterms:modified>
</cp:coreProperties>
</file>