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FE36" w14:textId="77777777" w:rsidR="00E44B80" w:rsidRPr="00F637B3" w:rsidRDefault="00E44B80" w:rsidP="00E44B80">
      <w:pPr>
        <w:jc w:val="center"/>
        <w:rPr>
          <w:b/>
          <w:szCs w:val="20"/>
        </w:rPr>
      </w:pPr>
      <w:r w:rsidRPr="00F637B3">
        <w:rPr>
          <w:b/>
          <w:noProof/>
          <w:szCs w:val="20"/>
          <w:lang w:eastAsia="en-AU"/>
        </w:rPr>
        <w:drawing>
          <wp:inline distT="0" distB="0" distL="0" distR="0" wp14:anchorId="5AC66B90" wp14:editId="09195061">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DD53E7F" w14:textId="77777777" w:rsidR="008B2610" w:rsidRPr="006F20CF" w:rsidRDefault="008B2610" w:rsidP="00F971CC">
      <w:pPr>
        <w:pStyle w:val="Title"/>
        <w:spacing w:before="2600"/>
      </w:pPr>
      <w:r w:rsidRPr="001906CD">
        <w:t>Application Form</w:t>
      </w:r>
    </w:p>
    <w:p w14:paraId="28CB8905"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23545A76"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761F2BF1"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24E5BCE8"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1C8CC99B"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601EF10F"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1E12BDAB" w14:textId="77777777" w:rsidR="008B2610" w:rsidRPr="00154B00" w:rsidRDefault="009F5758" w:rsidP="003F7CB9">
      <w:pPr>
        <w:spacing w:before="0" w:after="0"/>
      </w:pPr>
      <w:r w:rsidRPr="00154B00">
        <w:t>Phone:  +61 2 6289 7550</w:t>
      </w:r>
    </w:p>
    <w:p w14:paraId="50030E34" w14:textId="77777777" w:rsidR="009F5758" w:rsidRPr="00154B00" w:rsidRDefault="009F5758" w:rsidP="003F7CB9">
      <w:pPr>
        <w:spacing w:before="0" w:after="0"/>
      </w:pPr>
      <w:r w:rsidRPr="00154B00">
        <w:t>Fax:  +61 2 6289 5540</w:t>
      </w:r>
    </w:p>
    <w:p w14:paraId="2044CCDD"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0A740A50"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20BC523E"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73ABCA52"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07D95A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482559">
        <w:fldChar w:fldCharType="begin">
          <w:ffData>
            <w:name w:val=""/>
            <w:enabled/>
            <w:calcOnExit w:val="0"/>
            <w:textInput/>
          </w:ffData>
        </w:fldChar>
      </w:r>
      <w:r w:rsidR="00482559">
        <w:instrText xml:space="preserve"> FORMTEXT </w:instrText>
      </w:r>
      <w:r w:rsidR="00482559">
        <w:fldChar w:fldCharType="separate"/>
      </w:r>
      <w:r w:rsidR="00482559">
        <w:rPr>
          <w:noProof/>
        </w:rPr>
        <w:t> </w:t>
      </w:r>
      <w:r w:rsidR="00482559">
        <w:rPr>
          <w:noProof/>
        </w:rPr>
        <w:t> </w:t>
      </w:r>
      <w:r w:rsidR="00482559">
        <w:rPr>
          <w:noProof/>
        </w:rPr>
        <w:t> </w:t>
      </w:r>
      <w:r w:rsidR="00482559">
        <w:rPr>
          <w:noProof/>
        </w:rPr>
        <w:t> </w:t>
      </w:r>
      <w:r w:rsidR="00482559">
        <w:rPr>
          <w:noProof/>
        </w:rPr>
        <w:t> </w:t>
      </w:r>
      <w:r w:rsidR="00482559">
        <w:fldChar w:fldCharType="end"/>
      </w:r>
    </w:p>
    <w:p w14:paraId="0CE36790"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482559" w:rsidRPr="00482559">
        <w:rPr>
          <w:b/>
        </w:rPr>
        <w:fldChar w:fldCharType="begin">
          <w:ffData>
            <w:name w:val=""/>
            <w:enabled/>
            <w:calcOnExit w:val="0"/>
            <w:textInput>
              <w:default w:val="The Royal College of Pathologists of Australasia (RCPA)"/>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The Royal College of Pathologists of Australasia (RCPA)</w:t>
      </w:r>
      <w:r w:rsidR="00482559" w:rsidRPr="00482559">
        <w:rPr>
          <w:b/>
        </w:rPr>
        <w:fldChar w:fldCharType="end"/>
      </w:r>
    </w:p>
    <w:p w14:paraId="0B08B9C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482559" w:rsidRPr="00482559">
        <w:rPr>
          <w:b/>
        </w:rPr>
        <w:fldChar w:fldCharType="begin">
          <w:ffData>
            <w:name w:val=""/>
            <w:enabled/>
            <w:calcOnExit w:val="0"/>
            <w:textInput>
              <w:default w:val="Redacted"/>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Redacted</w:t>
      </w:r>
      <w:r w:rsidR="00482559" w:rsidRPr="00482559">
        <w:rPr>
          <w:b/>
        </w:rPr>
        <w:fldChar w:fldCharType="end"/>
      </w:r>
    </w:p>
    <w:p w14:paraId="68CB1506"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482559" w:rsidRPr="00482559">
        <w:rPr>
          <w:b/>
        </w:rPr>
        <w:fldChar w:fldCharType="begin">
          <w:ffData>
            <w:name w:val=""/>
            <w:enabled/>
            <w:calcOnExit w:val="0"/>
            <w:textInput>
              <w:default w:val="Redacted"/>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Redacted</w:t>
      </w:r>
      <w:r w:rsidR="00482559" w:rsidRPr="00482559">
        <w:rPr>
          <w:b/>
        </w:rPr>
        <w:fldChar w:fldCharType="end"/>
      </w:r>
    </w:p>
    <w:p w14:paraId="51F2874E" w14:textId="77777777" w:rsidR="00C171FB" w:rsidRPr="00C171FB" w:rsidRDefault="00C171FB" w:rsidP="00C171FB"/>
    <w:p w14:paraId="603DAC67" w14:textId="77777777" w:rsidR="00C171FB" w:rsidRPr="00C171FB" w:rsidRDefault="00C171FB" w:rsidP="00C171FB">
      <w:pPr>
        <w:rPr>
          <w:b/>
        </w:rPr>
      </w:pPr>
      <w:r>
        <w:rPr>
          <w:b/>
        </w:rPr>
        <w:t xml:space="preserve">Primary contact name: </w:t>
      </w:r>
      <w:r w:rsidR="00482559" w:rsidRPr="00482559">
        <w:rPr>
          <w:b/>
        </w:rPr>
        <w:fldChar w:fldCharType="begin">
          <w:ffData>
            <w:name w:val=""/>
            <w:enabled/>
            <w:calcOnExit w:val="0"/>
            <w:textInput>
              <w:default w:val="Redacted"/>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Redacted</w:t>
      </w:r>
      <w:r w:rsidR="00482559" w:rsidRPr="00482559">
        <w:rPr>
          <w:b/>
        </w:rPr>
        <w:fldChar w:fldCharType="end"/>
      </w:r>
    </w:p>
    <w:p w14:paraId="390BC8EE"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14282050"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82559" w:rsidRPr="00482559">
        <w:rPr>
          <w:b/>
        </w:rPr>
        <w:fldChar w:fldCharType="begin">
          <w:ffData>
            <w:name w:val=""/>
            <w:enabled/>
            <w:calcOnExit w:val="0"/>
            <w:textInput>
              <w:default w:val="Redacted"/>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Redacted</w:t>
      </w:r>
      <w:r w:rsidR="00482559" w:rsidRPr="00482559">
        <w:rPr>
          <w:b/>
        </w:rPr>
        <w:fldChar w:fldCharType="end"/>
      </w:r>
    </w:p>
    <w:p w14:paraId="626C6C56" w14:textId="77777777"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482559" w:rsidRPr="00482559">
        <w:rPr>
          <w:b/>
        </w:rPr>
        <w:fldChar w:fldCharType="begin">
          <w:ffData>
            <w:name w:val=""/>
            <w:enabled/>
            <w:calcOnExit w:val="0"/>
            <w:textInput>
              <w:default w:val="Redacted"/>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Redacted</w:t>
      </w:r>
      <w:r w:rsidR="00482559" w:rsidRPr="00482559">
        <w:rPr>
          <w:b/>
        </w:rPr>
        <w:fldChar w:fldCharType="end"/>
      </w:r>
    </w:p>
    <w:p w14:paraId="7484FFD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82559" w:rsidRPr="00482559">
        <w:rPr>
          <w:b/>
        </w:rPr>
        <w:fldChar w:fldCharType="begin">
          <w:ffData>
            <w:name w:val=""/>
            <w:enabled/>
            <w:calcOnExit w:val="0"/>
            <w:textInput>
              <w:default w:val="Redacted"/>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Redacted</w:t>
      </w:r>
      <w:r w:rsidR="00482559" w:rsidRPr="00482559">
        <w:rPr>
          <w:b/>
        </w:rPr>
        <w:fldChar w:fldCharType="end"/>
      </w:r>
    </w:p>
    <w:p w14:paraId="2D5720AA" w14:textId="77777777" w:rsidR="00C171FB" w:rsidRDefault="00C171FB" w:rsidP="00C171FB">
      <w:pPr>
        <w:rPr>
          <w:b/>
        </w:rPr>
      </w:pPr>
    </w:p>
    <w:p w14:paraId="028CD987" w14:textId="77777777" w:rsidR="00C171FB" w:rsidRPr="00C171FB" w:rsidRDefault="00C171FB" w:rsidP="00C171FB">
      <w:pPr>
        <w:rPr>
          <w:b/>
        </w:rPr>
      </w:pPr>
      <w:r>
        <w:rPr>
          <w:b/>
        </w:rPr>
        <w:t xml:space="preserve">Alternative contact name: </w:t>
      </w:r>
      <w:r w:rsidR="00482559" w:rsidRPr="00482559">
        <w:rPr>
          <w:b/>
        </w:rPr>
        <w:fldChar w:fldCharType="begin">
          <w:ffData>
            <w:name w:val=""/>
            <w:enabled/>
            <w:calcOnExit w:val="0"/>
            <w:textInput>
              <w:default w:val="Redacted"/>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Redacted</w:t>
      </w:r>
      <w:r w:rsidR="00482559" w:rsidRPr="00482559">
        <w:rPr>
          <w:b/>
        </w:rPr>
        <w:fldChar w:fldCharType="end"/>
      </w:r>
    </w:p>
    <w:p w14:paraId="7081B342"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3AC6D30E"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82559" w:rsidRPr="00482559">
        <w:rPr>
          <w:b/>
        </w:rPr>
        <w:fldChar w:fldCharType="begin">
          <w:ffData>
            <w:name w:val=""/>
            <w:enabled/>
            <w:calcOnExit w:val="0"/>
            <w:textInput>
              <w:default w:val="Redacted"/>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Redacted</w:t>
      </w:r>
      <w:r w:rsidR="00482559" w:rsidRPr="00482559">
        <w:rPr>
          <w:b/>
        </w:rPr>
        <w:fldChar w:fldCharType="end"/>
      </w:r>
    </w:p>
    <w:p w14:paraId="789B960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482559" w:rsidRPr="00482559">
        <w:rPr>
          <w:b/>
        </w:rPr>
        <w:fldChar w:fldCharType="begin">
          <w:ffData>
            <w:name w:val=""/>
            <w:enabled/>
            <w:calcOnExit w:val="0"/>
            <w:textInput>
              <w:default w:val="Redacted"/>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Redacted</w:t>
      </w:r>
      <w:r w:rsidR="00482559" w:rsidRPr="00482559">
        <w:rPr>
          <w:b/>
        </w:rPr>
        <w:fldChar w:fldCharType="end"/>
      </w:r>
    </w:p>
    <w:p w14:paraId="03D77180"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82559" w:rsidRPr="00482559">
        <w:rPr>
          <w:b/>
        </w:rPr>
        <w:fldChar w:fldCharType="begin">
          <w:ffData>
            <w:name w:val=""/>
            <w:enabled/>
            <w:calcOnExit w:val="0"/>
            <w:textInput>
              <w:default w:val="Redacted"/>
            </w:textInput>
          </w:ffData>
        </w:fldChar>
      </w:r>
      <w:r w:rsidR="00482559" w:rsidRPr="00482559">
        <w:rPr>
          <w:b/>
        </w:rPr>
        <w:instrText xml:space="preserve"> FORMTEXT </w:instrText>
      </w:r>
      <w:r w:rsidR="00482559" w:rsidRPr="00482559">
        <w:rPr>
          <w:b/>
        </w:rPr>
      </w:r>
      <w:r w:rsidR="00482559" w:rsidRPr="00482559">
        <w:rPr>
          <w:b/>
        </w:rPr>
        <w:fldChar w:fldCharType="separate"/>
      </w:r>
      <w:r w:rsidR="00482559" w:rsidRPr="00482559">
        <w:rPr>
          <w:b/>
          <w:noProof/>
        </w:rPr>
        <w:t>Redacted</w:t>
      </w:r>
      <w:r w:rsidR="00482559" w:rsidRPr="00482559">
        <w:rPr>
          <w:b/>
        </w:rPr>
        <w:fldChar w:fldCharType="end"/>
      </w:r>
    </w:p>
    <w:p w14:paraId="7B29DECA" w14:textId="77777777" w:rsidR="00C171FB" w:rsidRPr="00C171FB" w:rsidRDefault="00C171FB" w:rsidP="00C171FB"/>
    <w:p w14:paraId="1054DA6E" w14:textId="77777777" w:rsidR="00534C5F" w:rsidRPr="00154B00" w:rsidRDefault="00494011" w:rsidP="004A0BF4">
      <w:pPr>
        <w:pStyle w:val="Heading2"/>
      </w:pPr>
      <w:r>
        <w:t xml:space="preserve">(a) </w:t>
      </w:r>
      <w:r w:rsidR="00534C5F">
        <w:t>Are you a lobbyist acting on behalf of an Applicant?</w:t>
      </w:r>
    </w:p>
    <w:p w14:paraId="224C68E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F46CE">
        <w:rPr>
          <w:szCs w:val="20"/>
        </w:rPr>
      </w:r>
      <w:r w:rsidR="00FF46CE">
        <w:rPr>
          <w:szCs w:val="20"/>
        </w:rPr>
        <w:fldChar w:fldCharType="separate"/>
      </w:r>
      <w:r w:rsidRPr="00753C44">
        <w:rPr>
          <w:szCs w:val="20"/>
        </w:rPr>
        <w:fldChar w:fldCharType="end"/>
      </w:r>
      <w:r>
        <w:rPr>
          <w:szCs w:val="20"/>
        </w:rPr>
        <w:t xml:space="preserve"> Yes</w:t>
      </w:r>
    </w:p>
    <w:p w14:paraId="68624A6D" w14:textId="77777777" w:rsidR="00A6491A" w:rsidRPr="00753C44" w:rsidRDefault="00482559"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FF46CE">
        <w:rPr>
          <w:szCs w:val="20"/>
        </w:rPr>
      </w:r>
      <w:r w:rsidR="00FF46CE">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1DCE1AE1"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06E9F711"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F46CE">
        <w:rPr>
          <w:szCs w:val="20"/>
        </w:rPr>
      </w:r>
      <w:r w:rsidR="00FF46CE">
        <w:rPr>
          <w:szCs w:val="20"/>
        </w:rPr>
        <w:fldChar w:fldCharType="separate"/>
      </w:r>
      <w:r w:rsidRPr="00753C44">
        <w:rPr>
          <w:szCs w:val="20"/>
        </w:rPr>
        <w:fldChar w:fldCharType="end"/>
      </w:r>
      <w:r>
        <w:rPr>
          <w:szCs w:val="20"/>
        </w:rPr>
        <w:t xml:space="preserve"> Yes</w:t>
      </w:r>
    </w:p>
    <w:p w14:paraId="58B80C09" w14:textId="77777777" w:rsidR="00A6491A" w:rsidRPr="00753C44" w:rsidRDefault="00482559"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A6491A">
        <w:rPr>
          <w:szCs w:val="20"/>
        </w:rPr>
        <w:t xml:space="preserve"> No</w:t>
      </w:r>
      <w:r w:rsidR="00A6491A" w:rsidRPr="00753C44">
        <w:rPr>
          <w:szCs w:val="20"/>
        </w:rPr>
        <w:t xml:space="preserve">  </w:t>
      </w:r>
    </w:p>
    <w:p w14:paraId="27B28C57" w14:textId="77777777" w:rsidR="00E04FB3" w:rsidRDefault="00E04FB3" w:rsidP="005C333E">
      <w:pPr>
        <w:spacing w:before="0" w:after="0"/>
        <w:ind w:left="426"/>
        <w:rPr>
          <w:b/>
          <w:szCs w:val="20"/>
        </w:rPr>
      </w:pPr>
      <w:r w:rsidRPr="00154B00">
        <w:rPr>
          <w:b/>
          <w:szCs w:val="20"/>
        </w:rPr>
        <w:br w:type="page"/>
      </w:r>
    </w:p>
    <w:p w14:paraId="07BE9BA2"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366547E8" w14:textId="77777777" w:rsidR="000B3CD0" w:rsidRDefault="000B3CD0" w:rsidP="00730C04">
      <w:pPr>
        <w:pStyle w:val="Heading2"/>
      </w:pPr>
      <w:r w:rsidRPr="00154B00">
        <w:t>Application title</w:t>
      </w:r>
      <w:r w:rsidR="00A8732C">
        <w:t xml:space="preserve"> </w:t>
      </w:r>
    </w:p>
    <w:p w14:paraId="66844FA5" w14:textId="77777777" w:rsidR="009056C5" w:rsidRPr="00482559" w:rsidRDefault="00CE06C1" w:rsidP="002B5FB6">
      <w:pPr>
        <w:shd w:val="clear" w:color="auto" w:fill="FFFFFF" w:themeFill="background1"/>
        <w:ind w:left="284"/>
        <w:rPr>
          <w:color w:val="FF0000"/>
        </w:rPr>
      </w:pPr>
      <w:r w:rsidRPr="002B5FB6">
        <w:fldChar w:fldCharType="begin">
          <w:ffData>
            <w:name w:val="Text2"/>
            <w:enabled/>
            <w:calcOnExit w:val="0"/>
            <w:textInput>
              <w:default w:val="Somatic gene testing for the diagnosis of Gliomas, Gliobastomas, and Soft Tissue and Bone Tumours"/>
            </w:textInput>
          </w:ffData>
        </w:fldChar>
      </w:r>
      <w:bookmarkStart w:id="2" w:name="Text2"/>
      <w:r w:rsidRPr="002B5FB6">
        <w:instrText xml:space="preserve"> FORMTEXT </w:instrText>
      </w:r>
      <w:r w:rsidRPr="002B5FB6">
        <w:fldChar w:fldCharType="separate"/>
      </w:r>
      <w:r w:rsidRPr="002B5FB6">
        <w:rPr>
          <w:noProof/>
        </w:rPr>
        <w:t>Somatic gene testing for the diagnosis of Gliomas, Gliobastomas, and Soft Tissue and Bone Tumours</w:t>
      </w:r>
      <w:r w:rsidRPr="002B5FB6">
        <w:fldChar w:fldCharType="end"/>
      </w:r>
      <w:bookmarkEnd w:id="2"/>
    </w:p>
    <w:p w14:paraId="7CF047E7"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9035664" w14:textId="77777777" w:rsidR="00482559" w:rsidRDefault="00482559" w:rsidP="00A6491A">
      <w:pPr>
        <w:ind w:left="284"/>
      </w:pPr>
      <w:r w:rsidRPr="00482559">
        <w:t xml:space="preserve">Central nervous system tumours of glioma and </w:t>
      </w:r>
      <w:proofErr w:type="spellStart"/>
      <w:r w:rsidRPr="00482559">
        <w:t>gliobastoma</w:t>
      </w:r>
      <w:proofErr w:type="spellEnd"/>
      <w:r w:rsidRPr="00482559">
        <w:t xml:space="preserve"> </w:t>
      </w:r>
      <w:proofErr w:type="gramStart"/>
      <w:r w:rsidRPr="00482559">
        <w:t>subtype,</w:t>
      </w:r>
      <w:proofErr w:type="gramEnd"/>
      <w:r w:rsidRPr="00482559">
        <w:t xml:space="preserve"> and soft tissue and bone tumours.</w:t>
      </w:r>
    </w:p>
    <w:p w14:paraId="0015FC58"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9CF7376" w14:textId="7912C3E6" w:rsidR="00134A58" w:rsidRPr="004C0CD9" w:rsidRDefault="00B83E18" w:rsidP="004C0CD9">
      <w:pPr>
        <w:widowControl w:val="0"/>
        <w:autoSpaceDE w:val="0"/>
        <w:autoSpaceDN w:val="0"/>
        <w:adjustRightInd w:val="0"/>
        <w:spacing w:before="0" w:after="0"/>
        <w:ind w:left="360"/>
        <w:rPr>
          <w:szCs w:val="20"/>
        </w:rPr>
      </w:pPr>
      <w:r w:rsidRPr="004C0CD9">
        <w:rPr>
          <w:szCs w:val="20"/>
        </w:rPr>
        <w:t xml:space="preserve">The latest World Health Organisation (WHO) classification of brain </w:t>
      </w:r>
      <w:proofErr w:type="spellStart"/>
      <w:r w:rsidRPr="004C0CD9">
        <w:rPr>
          <w:szCs w:val="20"/>
        </w:rPr>
        <w:t>tumorus</w:t>
      </w:r>
      <w:proofErr w:type="spellEnd"/>
      <w:r w:rsidRPr="004C0CD9">
        <w:rPr>
          <w:szCs w:val="20"/>
        </w:rPr>
        <w:t xml:space="preserve"> has highlighted the critical </w:t>
      </w:r>
      <w:r w:rsidR="00134A58" w:rsidRPr="004C0CD9">
        <w:rPr>
          <w:szCs w:val="20"/>
        </w:rPr>
        <w:t>importance</w:t>
      </w:r>
      <w:r w:rsidRPr="004C0CD9">
        <w:rPr>
          <w:szCs w:val="20"/>
        </w:rPr>
        <w:t xml:space="preserve"> of molecular diagnostic in the accurate diagnosis and proper classification of brain tumours. </w:t>
      </w:r>
      <w:r w:rsidR="00456FC7" w:rsidRPr="004C0CD9">
        <w:rPr>
          <w:szCs w:val="20"/>
        </w:rPr>
        <w:t xml:space="preserve"> </w:t>
      </w:r>
      <w:r w:rsidR="00456FC7" w:rsidRPr="004C0CD9">
        <w:rPr>
          <w:rFonts w:cs="Times New Roman"/>
          <w:szCs w:val="20"/>
          <w:lang w:val="en-US"/>
        </w:rPr>
        <w:t xml:space="preserve">For some entities, molecular information is required to provide an “integrated” diagnosis and only a descriptive histological diagnosis is acceptable if no molecular diagnostic testing is available. </w:t>
      </w:r>
      <w:r w:rsidR="00482559" w:rsidRPr="004C0CD9">
        <w:rPr>
          <w:szCs w:val="20"/>
        </w:rPr>
        <w:t xml:space="preserve">Identification of co-deletion of chromosome 1p/19q regions </w:t>
      </w:r>
      <w:r w:rsidR="004C0CD9" w:rsidRPr="004C0CD9">
        <w:rPr>
          <w:szCs w:val="20"/>
        </w:rPr>
        <w:t>is important</w:t>
      </w:r>
      <w:r w:rsidRPr="004C0CD9">
        <w:rPr>
          <w:szCs w:val="20"/>
        </w:rPr>
        <w:t xml:space="preserve"> for accurate </w:t>
      </w:r>
      <w:r w:rsidR="00482559" w:rsidRPr="004C0CD9">
        <w:rPr>
          <w:szCs w:val="20"/>
        </w:rPr>
        <w:t>diagnos</w:t>
      </w:r>
      <w:r w:rsidRPr="004C0CD9">
        <w:rPr>
          <w:szCs w:val="20"/>
        </w:rPr>
        <w:t>is</w:t>
      </w:r>
      <w:r w:rsidR="00482559" w:rsidRPr="004C0CD9">
        <w:rPr>
          <w:szCs w:val="20"/>
        </w:rPr>
        <w:t xml:space="preserve"> of </w:t>
      </w:r>
      <w:proofErr w:type="spellStart"/>
      <w:r w:rsidR="00482559" w:rsidRPr="004C0CD9">
        <w:rPr>
          <w:szCs w:val="20"/>
        </w:rPr>
        <w:t>oligodendroglial</w:t>
      </w:r>
      <w:proofErr w:type="spellEnd"/>
      <w:r w:rsidR="00482559" w:rsidRPr="004C0CD9">
        <w:rPr>
          <w:szCs w:val="20"/>
        </w:rPr>
        <w:t xml:space="preserve"> </w:t>
      </w:r>
      <w:proofErr w:type="gramStart"/>
      <w:r w:rsidR="00482559" w:rsidRPr="004C0CD9">
        <w:rPr>
          <w:szCs w:val="20"/>
        </w:rPr>
        <w:t>tumours,</w:t>
      </w:r>
      <w:proofErr w:type="gramEnd"/>
      <w:r w:rsidR="00482559" w:rsidRPr="004C0CD9">
        <w:rPr>
          <w:szCs w:val="20"/>
        </w:rPr>
        <w:t xml:space="preserve"> IDH1/2 mutations and MGMT promoter methylation </w:t>
      </w:r>
      <w:r w:rsidRPr="004C0CD9">
        <w:rPr>
          <w:szCs w:val="20"/>
        </w:rPr>
        <w:t>add important prognostic and predictive information to the histopathological diagnosis of</w:t>
      </w:r>
      <w:r w:rsidR="00482559" w:rsidRPr="004C0CD9">
        <w:rPr>
          <w:szCs w:val="20"/>
        </w:rPr>
        <w:t xml:space="preserve"> </w:t>
      </w:r>
      <w:r w:rsidR="00134A58" w:rsidRPr="004C0CD9">
        <w:rPr>
          <w:szCs w:val="20"/>
        </w:rPr>
        <w:t>gliomas</w:t>
      </w:r>
      <w:r w:rsidRPr="004C0CD9">
        <w:rPr>
          <w:szCs w:val="20"/>
        </w:rPr>
        <w:t xml:space="preserve">. </w:t>
      </w:r>
    </w:p>
    <w:p w14:paraId="667E706B" w14:textId="04337B23" w:rsidR="00CB12EC" w:rsidRPr="004C0CD9" w:rsidRDefault="00B83E18" w:rsidP="004C0CD9">
      <w:pPr>
        <w:widowControl w:val="0"/>
        <w:autoSpaceDE w:val="0"/>
        <w:autoSpaceDN w:val="0"/>
        <w:adjustRightInd w:val="0"/>
        <w:spacing w:before="0" w:after="0"/>
        <w:ind w:left="360"/>
        <w:rPr>
          <w:rFonts w:cs="Times New Roman"/>
          <w:szCs w:val="20"/>
          <w:lang w:val="en-US"/>
        </w:rPr>
      </w:pPr>
      <w:r w:rsidRPr="004C0CD9">
        <w:rPr>
          <w:szCs w:val="20"/>
        </w:rPr>
        <w:t xml:space="preserve">Identification of gene rearrangements, copy number aberrations and mutations </w:t>
      </w:r>
      <w:r w:rsidR="004C0CD9" w:rsidRPr="004C0CD9">
        <w:rPr>
          <w:szCs w:val="20"/>
        </w:rPr>
        <w:t>is also</w:t>
      </w:r>
      <w:r w:rsidR="00134A58" w:rsidRPr="004C0CD9">
        <w:rPr>
          <w:szCs w:val="20"/>
        </w:rPr>
        <w:t xml:space="preserve"> </w:t>
      </w:r>
      <w:r w:rsidRPr="004C0CD9">
        <w:rPr>
          <w:szCs w:val="20"/>
        </w:rPr>
        <w:t xml:space="preserve">increasingly important in the diagnosis of bone and soft tissue </w:t>
      </w:r>
      <w:proofErr w:type="gramStart"/>
      <w:r w:rsidRPr="004C0CD9">
        <w:rPr>
          <w:szCs w:val="20"/>
        </w:rPr>
        <w:t>tumours .</w:t>
      </w:r>
      <w:proofErr w:type="gramEnd"/>
      <w:r w:rsidRPr="004C0CD9">
        <w:rPr>
          <w:szCs w:val="20"/>
        </w:rPr>
        <w:t xml:space="preserve"> Important genes in this setting to be tested include </w:t>
      </w:r>
      <w:r w:rsidR="00482559" w:rsidRPr="004C0CD9">
        <w:rPr>
          <w:szCs w:val="20"/>
        </w:rPr>
        <w:t>beta catenin, EWSR1, SS18, FOX01, PAX3, PAX7, MDM2, FUS, DDIT3, FLI1, ERG, ETV6, NTRK3, COL1A1, PDGF</w:t>
      </w:r>
      <w:r w:rsidR="00176D82" w:rsidRPr="004C0CD9">
        <w:rPr>
          <w:szCs w:val="20"/>
        </w:rPr>
        <w:t>B</w:t>
      </w:r>
      <w:r w:rsidR="00482559" w:rsidRPr="004C0CD9">
        <w:rPr>
          <w:szCs w:val="20"/>
        </w:rPr>
        <w:t xml:space="preserve"> genes. </w:t>
      </w:r>
    </w:p>
    <w:p w14:paraId="1BAB9869"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102A599" w14:textId="77777777" w:rsidR="00753C44" w:rsidRDefault="00C559C5"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FF46CE">
        <w:rPr>
          <w:szCs w:val="20"/>
        </w:rPr>
      </w:r>
      <w:r w:rsidR="00FF46CE">
        <w:rPr>
          <w:szCs w:val="20"/>
        </w:rPr>
        <w:fldChar w:fldCharType="separate"/>
      </w:r>
      <w:r>
        <w:rPr>
          <w:szCs w:val="20"/>
        </w:rPr>
        <w:fldChar w:fldCharType="end"/>
      </w:r>
      <w:bookmarkEnd w:id="3"/>
      <w:r w:rsidR="006B6390">
        <w:rPr>
          <w:szCs w:val="20"/>
        </w:rPr>
        <w:t xml:space="preserve"> Yes</w:t>
      </w:r>
    </w:p>
    <w:p w14:paraId="7D97B3EC" w14:textId="3B386EAB" w:rsidR="00753C44" w:rsidRPr="00753C44" w:rsidRDefault="006B6390" w:rsidP="002B5FB6">
      <w:pPr>
        <w:tabs>
          <w:tab w:val="left" w:pos="6120"/>
        </w:tabs>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F46CE">
        <w:rPr>
          <w:szCs w:val="20"/>
        </w:rPr>
      </w:r>
      <w:r w:rsidR="00FF46CE">
        <w:rPr>
          <w:szCs w:val="20"/>
        </w:rPr>
        <w:fldChar w:fldCharType="separate"/>
      </w:r>
      <w:r w:rsidRPr="00753C44">
        <w:rPr>
          <w:szCs w:val="20"/>
        </w:rPr>
        <w:fldChar w:fldCharType="end"/>
      </w:r>
      <w:r>
        <w:rPr>
          <w:szCs w:val="20"/>
        </w:rPr>
        <w:t xml:space="preserve"> No</w:t>
      </w:r>
      <w:r w:rsidR="004F2E65">
        <w:rPr>
          <w:szCs w:val="20"/>
        </w:rPr>
        <w:t xml:space="preserve"> </w:t>
      </w:r>
    </w:p>
    <w:p w14:paraId="3FDE60AB"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12F4461"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F46CE">
        <w:rPr>
          <w:szCs w:val="20"/>
        </w:rPr>
      </w:r>
      <w:r w:rsidR="00FF46CE">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1D5F294A" w14:textId="77777777" w:rsidR="00753C44" w:rsidRPr="00753C44" w:rsidRDefault="00C559C5"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66BFAC82"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249F302" w14:textId="77777777" w:rsidR="003D795C" w:rsidRPr="00CB12EC" w:rsidRDefault="00C559C5" w:rsidP="00A6491A">
      <w:pPr>
        <w:ind w:left="284"/>
      </w:pPr>
      <w:r>
        <w:fldChar w:fldCharType="begin">
          <w:ffData>
            <w:name w:val=""/>
            <w:enabled/>
            <w:calcOnExit w:val="0"/>
            <w:textInput>
              <w:default w:val="N/A"/>
            </w:textInput>
          </w:ffData>
        </w:fldChar>
      </w:r>
      <w:r>
        <w:instrText xml:space="preserve"> FORMTEXT </w:instrText>
      </w:r>
      <w:r>
        <w:fldChar w:fldCharType="separate"/>
      </w:r>
      <w:r>
        <w:rPr>
          <w:noProof/>
        </w:rPr>
        <w:t>N/A</w:t>
      </w:r>
      <w:r>
        <w:fldChar w:fldCharType="end"/>
      </w:r>
    </w:p>
    <w:p w14:paraId="49FC7043" w14:textId="77777777" w:rsidR="006C0843"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46BA0B0" w14:textId="77777777" w:rsidR="00C559C5" w:rsidRPr="00C559C5" w:rsidRDefault="00C559C5" w:rsidP="00C559C5">
      <w:pPr>
        <w:ind w:left="360"/>
      </w:pPr>
      <w:r>
        <w:t>N/A</w:t>
      </w:r>
    </w:p>
    <w:p w14:paraId="600084C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F46CE">
        <w:rPr>
          <w:b/>
          <w:szCs w:val="20"/>
        </w:rPr>
      </w:r>
      <w:r w:rsidR="00FF46C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0EF2EEC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F46CE">
        <w:rPr>
          <w:b/>
          <w:szCs w:val="20"/>
        </w:rPr>
      </w:r>
      <w:r w:rsidR="00FF46C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18C0423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F46CE">
        <w:rPr>
          <w:b/>
          <w:szCs w:val="20"/>
        </w:rPr>
      </w:r>
      <w:r w:rsidR="00FF46C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2B9B2C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F46CE">
        <w:rPr>
          <w:b/>
          <w:szCs w:val="20"/>
        </w:rPr>
      </w:r>
      <w:r w:rsidR="00FF46C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490BE12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F46CE">
        <w:rPr>
          <w:b/>
          <w:szCs w:val="20"/>
        </w:rPr>
      </w:r>
      <w:r w:rsidR="00FF46CE">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67CA11E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F46CE">
        <w:rPr>
          <w:b/>
          <w:szCs w:val="20"/>
        </w:rPr>
      </w:r>
      <w:r w:rsidR="00FF46CE">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4E1D983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F46CE">
        <w:rPr>
          <w:b/>
          <w:szCs w:val="20"/>
        </w:rPr>
      </w:r>
      <w:r w:rsidR="00FF46C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60666DB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F46CE">
        <w:rPr>
          <w:b/>
          <w:szCs w:val="20"/>
        </w:rPr>
      </w:r>
      <w:r w:rsidR="00FF46C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548D0F74" w14:textId="77777777" w:rsidR="002A270B" w:rsidRPr="00BE535B" w:rsidRDefault="004A263B" w:rsidP="00BE535B">
      <w:pPr>
        <w:pStyle w:val="ListParagraph"/>
        <w:numPr>
          <w:ilvl w:val="0"/>
          <w:numId w:val="34"/>
        </w:numPr>
        <w:ind w:left="851" w:hanging="425"/>
        <w:rPr>
          <w:rFonts w:ascii="Calibri" w:eastAsia="Calibri" w:hAnsi="Calibri" w:cs="Times New Roman"/>
          <w:b/>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F46CE">
        <w:rPr>
          <w:b/>
          <w:szCs w:val="20"/>
        </w:rPr>
      </w:r>
      <w:r w:rsidR="00FF46CE">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4296B187"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2A256076"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F46CE">
        <w:rPr>
          <w:b/>
          <w:szCs w:val="20"/>
        </w:rPr>
      </w:r>
      <w:r w:rsidR="00FF46CE">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76F24F3A" w14:textId="77777777" w:rsidR="006B6390" w:rsidRPr="00AA2CFE" w:rsidRDefault="00BE535B"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FF46CE">
        <w:rPr>
          <w:b/>
          <w:szCs w:val="20"/>
        </w:rPr>
      </w:r>
      <w:r w:rsidR="00FF46CE">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48D6656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FF46CE">
        <w:rPr>
          <w:b/>
          <w:szCs w:val="20"/>
        </w:rPr>
      </w:r>
      <w:r w:rsidR="00FF46C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63FCC14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F46CE">
        <w:rPr>
          <w:b/>
          <w:szCs w:val="20"/>
        </w:rPr>
      </w:r>
      <w:r w:rsidR="00FF46C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7290E9EF"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C6B67CA"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sidRPr="000A5B32">
        <w:rPr>
          <w:szCs w:val="20"/>
        </w:rPr>
        <w:t xml:space="preserve"> Yes</w:t>
      </w:r>
    </w:p>
    <w:p w14:paraId="7F7994DC" w14:textId="77777777" w:rsidR="00626365" w:rsidRDefault="00BE535B"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0A5B32" w:rsidRPr="000A5B32">
        <w:rPr>
          <w:szCs w:val="20"/>
        </w:rPr>
        <w:t xml:space="preserve"> No</w:t>
      </w:r>
    </w:p>
    <w:p w14:paraId="7650AC03"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0FE3E51B" w14:textId="77777777" w:rsidR="000A5B32" w:rsidRPr="00855944" w:rsidRDefault="00BE535B" w:rsidP="00A6491A">
      <w:pPr>
        <w:ind w:left="284"/>
        <w:rPr>
          <w:rStyle w:val="Strong"/>
        </w:rPr>
      </w:pPr>
      <w:r>
        <w:fldChar w:fldCharType="begin">
          <w:ffData>
            <w:name w:val=""/>
            <w:enabled/>
            <w:calcOnExit w:val="0"/>
            <w:textInput>
              <w:default w:val="N/A"/>
            </w:textInput>
          </w:ffData>
        </w:fldChar>
      </w:r>
      <w:r>
        <w:instrText xml:space="preserve"> FORMTEXT </w:instrText>
      </w:r>
      <w:r>
        <w:fldChar w:fldCharType="separate"/>
      </w:r>
      <w:r>
        <w:rPr>
          <w:noProof/>
        </w:rPr>
        <w:t>N/A</w:t>
      </w:r>
      <w:r>
        <w:fldChar w:fldCharType="end"/>
      </w:r>
    </w:p>
    <w:p w14:paraId="34D8F395" w14:textId="77777777" w:rsidR="000B3CD0" w:rsidRDefault="000B3CD0" w:rsidP="00730C04">
      <w:pPr>
        <w:pStyle w:val="Heading2"/>
      </w:pPr>
      <w:r w:rsidRPr="00154B00">
        <w:t xml:space="preserve">What is the type of </w:t>
      </w:r>
      <w:proofErr w:type="gramStart"/>
      <w:r w:rsidRPr="00154B00">
        <w:t>service:</w:t>
      </w:r>
      <w:proofErr w:type="gramEnd"/>
    </w:p>
    <w:p w14:paraId="02056C8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F46CE">
        <w:rPr>
          <w:b/>
          <w:szCs w:val="20"/>
        </w:rPr>
      </w:r>
      <w:r w:rsidR="00FF46CE">
        <w:rPr>
          <w:b/>
          <w:szCs w:val="20"/>
        </w:rPr>
        <w:fldChar w:fldCharType="separate"/>
      </w:r>
      <w:r w:rsidRPr="0027105F">
        <w:rPr>
          <w:b/>
          <w:szCs w:val="20"/>
        </w:rPr>
        <w:fldChar w:fldCharType="end"/>
      </w:r>
      <w:r w:rsidRPr="0027105F">
        <w:rPr>
          <w:b/>
          <w:szCs w:val="20"/>
        </w:rPr>
        <w:t xml:space="preserve"> </w:t>
      </w:r>
      <w:r>
        <w:t>Therapeutic medical service</w:t>
      </w:r>
    </w:p>
    <w:p w14:paraId="25204E62" w14:textId="77777777" w:rsidR="00A6594E" w:rsidRDefault="00BE535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FF46CE">
        <w:rPr>
          <w:b/>
          <w:szCs w:val="20"/>
        </w:rPr>
      </w:r>
      <w:r w:rsidR="00FF46CE">
        <w:rPr>
          <w:b/>
          <w:szCs w:val="20"/>
        </w:rPr>
        <w:fldChar w:fldCharType="separate"/>
      </w:r>
      <w:r>
        <w:rPr>
          <w:b/>
          <w:szCs w:val="20"/>
        </w:rPr>
        <w:fldChar w:fldCharType="end"/>
      </w:r>
      <w:r w:rsidR="00A6594E" w:rsidRPr="0027105F">
        <w:rPr>
          <w:b/>
          <w:szCs w:val="20"/>
        </w:rPr>
        <w:t xml:space="preserve"> </w:t>
      </w:r>
      <w:r w:rsidR="00A6594E">
        <w:t>Investigative medical service</w:t>
      </w:r>
    </w:p>
    <w:p w14:paraId="636BBDF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F46CE">
        <w:rPr>
          <w:b/>
          <w:szCs w:val="20"/>
        </w:rPr>
      </w:r>
      <w:r w:rsidR="00FF46CE">
        <w:rPr>
          <w:b/>
          <w:szCs w:val="20"/>
        </w:rPr>
        <w:fldChar w:fldCharType="separate"/>
      </w:r>
      <w:r w:rsidRPr="0027105F">
        <w:rPr>
          <w:b/>
          <w:szCs w:val="20"/>
        </w:rPr>
        <w:fldChar w:fldCharType="end"/>
      </w:r>
      <w:r w:rsidRPr="0027105F">
        <w:rPr>
          <w:b/>
          <w:szCs w:val="20"/>
        </w:rPr>
        <w:t xml:space="preserve"> </w:t>
      </w:r>
      <w:r>
        <w:t>Single consultation medical service</w:t>
      </w:r>
    </w:p>
    <w:p w14:paraId="3762F48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F46CE">
        <w:rPr>
          <w:b/>
          <w:szCs w:val="20"/>
        </w:rPr>
      </w:r>
      <w:r w:rsidR="00FF46CE">
        <w:rPr>
          <w:b/>
          <w:szCs w:val="20"/>
        </w:rPr>
        <w:fldChar w:fldCharType="separate"/>
      </w:r>
      <w:r w:rsidRPr="0027105F">
        <w:rPr>
          <w:b/>
          <w:szCs w:val="20"/>
        </w:rPr>
        <w:fldChar w:fldCharType="end"/>
      </w:r>
      <w:r w:rsidRPr="0027105F">
        <w:rPr>
          <w:b/>
          <w:szCs w:val="20"/>
        </w:rPr>
        <w:t xml:space="preserve"> </w:t>
      </w:r>
      <w:r>
        <w:t>Global consultation medical service</w:t>
      </w:r>
    </w:p>
    <w:p w14:paraId="6A4BFCC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F46CE">
        <w:rPr>
          <w:b/>
          <w:szCs w:val="20"/>
        </w:rPr>
      </w:r>
      <w:r w:rsidR="00FF46CE">
        <w:rPr>
          <w:b/>
          <w:szCs w:val="20"/>
        </w:rPr>
        <w:fldChar w:fldCharType="separate"/>
      </w:r>
      <w:r w:rsidRPr="0027105F">
        <w:rPr>
          <w:b/>
          <w:szCs w:val="20"/>
        </w:rPr>
        <w:fldChar w:fldCharType="end"/>
      </w:r>
      <w:r w:rsidRPr="0027105F">
        <w:rPr>
          <w:b/>
          <w:szCs w:val="20"/>
        </w:rPr>
        <w:t xml:space="preserve"> </w:t>
      </w:r>
      <w:r>
        <w:t>Allied health service</w:t>
      </w:r>
    </w:p>
    <w:p w14:paraId="002CD29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F46CE">
        <w:rPr>
          <w:b/>
          <w:szCs w:val="20"/>
        </w:rPr>
      </w:r>
      <w:r w:rsidR="00FF46CE">
        <w:rPr>
          <w:b/>
          <w:szCs w:val="20"/>
        </w:rPr>
        <w:fldChar w:fldCharType="separate"/>
      </w:r>
      <w:r w:rsidRPr="0027105F">
        <w:rPr>
          <w:b/>
          <w:szCs w:val="20"/>
        </w:rPr>
        <w:fldChar w:fldCharType="end"/>
      </w:r>
      <w:r w:rsidRPr="0027105F">
        <w:rPr>
          <w:b/>
          <w:szCs w:val="20"/>
        </w:rPr>
        <w:t xml:space="preserve"> </w:t>
      </w:r>
      <w:r>
        <w:t>Co-dependent technology</w:t>
      </w:r>
    </w:p>
    <w:p w14:paraId="52985142"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F46CE">
        <w:rPr>
          <w:b/>
          <w:szCs w:val="20"/>
        </w:rPr>
      </w:r>
      <w:r w:rsidR="00FF46CE">
        <w:rPr>
          <w:b/>
          <w:szCs w:val="20"/>
        </w:rPr>
        <w:fldChar w:fldCharType="separate"/>
      </w:r>
      <w:r w:rsidRPr="0027105F">
        <w:rPr>
          <w:b/>
          <w:szCs w:val="20"/>
        </w:rPr>
        <w:fldChar w:fldCharType="end"/>
      </w:r>
      <w:r w:rsidRPr="0027105F">
        <w:rPr>
          <w:b/>
          <w:szCs w:val="20"/>
        </w:rPr>
        <w:t xml:space="preserve"> </w:t>
      </w:r>
      <w:r>
        <w:t>Hybrid health technology</w:t>
      </w:r>
    </w:p>
    <w:p w14:paraId="38723FB9"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2036FE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FF46CE">
        <w:rPr>
          <w:b/>
          <w:szCs w:val="20"/>
        </w:rPr>
      </w:r>
      <w:r w:rsidR="00FF46CE">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28E8C6A3" w14:textId="77777777" w:rsidR="00A6594E" w:rsidRDefault="00BE535B"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F46CE">
        <w:rPr>
          <w:b/>
          <w:szCs w:val="20"/>
        </w:rPr>
      </w:r>
      <w:r w:rsidR="00FF46CE">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05192D44" w14:textId="77777777" w:rsidR="00A6594E" w:rsidRDefault="00BE535B"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F46CE">
        <w:rPr>
          <w:b/>
          <w:szCs w:val="20"/>
        </w:rPr>
      </w:r>
      <w:r w:rsidR="00FF46CE">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31EA3935" w14:textId="77777777" w:rsidR="00A6594E" w:rsidRDefault="00BE535B"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F46CE">
        <w:rPr>
          <w:b/>
          <w:szCs w:val="20"/>
        </w:rPr>
      </w:r>
      <w:r w:rsidR="00FF46CE">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01A1863E" w14:textId="4288286C" w:rsidR="00A6594E" w:rsidRPr="00A6594E" w:rsidRDefault="002B5FB6"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F46CE">
        <w:rPr>
          <w:b/>
          <w:szCs w:val="20"/>
        </w:rPr>
      </w:r>
      <w:r w:rsidR="00FF46CE">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14:paraId="2CA79FCA"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5A9C2C1"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F46CE">
        <w:rPr>
          <w:b/>
          <w:szCs w:val="20"/>
        </w:rPr>
      </w:r>
      <w:r w:rsidR="00FF46CE">
        <w:rPr>
          <w:b/>
          <w:szCs w:val="20"/>
        </w:rPr>
        <w:fldChar w:fldCharType="separate"/>
      </w:r>
      <w:r w:rsidRPr="0027105F">
        <w:rPr>
          <w:b/>
          <w:szCs w:val="20"/>
        </w:rPr>
        <w:fldChar w:fldCharType="end"/>
      </w:r>
      <w:r w:rsidRPr="0027105F">
        <w:rPr>
          <w:b/>
          <w:szCs w:val="20"/>
        </w:rPr>
        <w:t xml:space="preserve"> </w:t>
      </w:r>
      <w:r>
        <w:t>Pharmaceutical / Biological</w:t>
      </w:r>
    </w:p>
    <w:p w14:paraId="4CA13832"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F46CE">
        <w:rPr>
          <w:b/>
          <w:szCs w:val="20"/>
        </w:rPr>
      </w:r>
      <w:r w:rsidR="00FF46CE">
        <w:rPr>
          <w:b/>
          <w:szCs w:val="20"/>
        </w:rPr>
        <w:fldChar w:fldCharType="separate"/>
      </w:r>
      <w:r w:rsidRPr="0027105F">
        <w:rPr>
          <w:b/>
          <w:szCs w:val="20"/>
        </w:rPr>
        <w:fldChar w:fldCharType="end"/>
      </w:r>
      <w:r w:rsidRPr="0027105F">
        <w:rPr>
          <w:b/>
          <w:szCs w:val="20"/>
        </w:rPr>
        <w:t xml:space="preserve"> </w:t>
      </w:r>
      <w:r>
        <w:t>Prosthesis or device</w:t>
      </w:r>
    </w:p>
    <w:p w14:paraId="5FF5C2A9" w14:textId="77777777" w:rsidR="00FE16C1" w:rsidRPr="00FE16C1" w:rsidRDefault="00BE535B" w:rsidP="00A6491A">
      <w:pPr>
        <w:spacing w:before="0" w:after="0"/>
        <w:ind w:left="284"/>
      </w:pPr>
      <w:r>
        <w:rPr>
          <w:b/>
          <w:szCs w:val="20"/>
        </w:rPr>
        <w:fldChar w:fldCharType="begin">
          <w:ffData>
            <w:name w:val=""/>
            <w:enabled/>
            <w:calcOnExit w:val="0"/>
            <w:checkBox>
              <w:size w:val="20"/>
              <w:default w:val="1"/>
            </w:checkBox>
          </w:ffData>
        </w:fldChar>
      </w:r>
      <w:r>
        <w:rPr>
          <w:b/>
          <w:szCs w:val="20"/>
        </w:rPr>
        <w:instrText xml:space="preserve"> FORMCHECKBOX </w:instrText>
      </w:r>
      <w:r w:rsidR="00FF46CE">
        <w:rPr>
          <w:b/>
          <w:szCs w:val="20"/>
        </w:rPr>
      </w:r>
      <w:r w:rsidR="00FF46CE">
        <w:rPr>
          <w:b/>
          <w:szCs w:val="20"/>
        </w:rPr>
        <w:fldChar w:fldCharType="separate"/>
      </w:r>
      <w:r>
        <w:rPr>
          <w:b/>
          <w:szCs w:val="20"/>
        </w:rPr>
        <w:fldChar w:fldCharType="end"/>
      </w:r>
      <w:r w:rsidR="00FE16C1" w:rsidRPr="0027105F">
        <w:rPr>
          <w:b/>
          <w:szCs w:val="20"/>
        </w:rPr>
        <w:t xml:space="preserve"> </w:t>
      </w:r>
      <w:r w:rsidR="00FE16C1">
        <w:t>No</w:t>
      </w:r>
    </w:p>
    <w:p w14:paraId="7239A7D5" w14:textId="77777777"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28E87970" w14:textId="77777777" w:rsidR="00BE535B" w:rsidRPr="00BE535B" w:rsidRDefault="00BE535B" w:rsidP="00BE535B">
      <w:pPr>
        <w:ind w:left="284"/>
      </w:pPr>
      <w:r>
        <w:t>N/A</w:t>
      </w:r>
    </w:p>
    <w:p w14:paraId="79877641"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sidRPr="000A5B32">
        <w:rPr>
          <w:szCs w:val="20"/>
        </w:rPr>
        <w:t xml:space="preserve"> Yes</w:t>
      </w:r>
    </w:p>
    <w:p w14:paraId="5CD0A122"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No  </w:t>
      </w:r>
    </w:p>
    <w:p w14:paraId="4AC28991"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4244EF4" w14:textId="77777777" w:rsidR="007E39E4" w:rsidRPr="007E39E4" w:rsidRDefault="00BE535B" w:rsidP="00A6491A">
      <w:pPr>
        <w:ind w:left="284"/>
        <w:rPr>
          <w:b/>
          <w:szCs w:val="20"/>
        </w:rPr>
      </w:pPr>
      <w:r>
        <w:fldChar w:fldCharType="begin">
          <w:ffData>
            <w:name w:val=""/>
            <w:enabled/>
            <w:calcOnExit w:val="0"/>
            <w:textInput>
              <w:default w:val="N/A"/>
            </w:textInput>
          </w:ffData>
        </w:fldChar>
      </w:r>
      <w:r>
        <w:instrText xml:space="preserve"> FORMTEXT </w:instrText>
      </w:r>
      <w:r>
        <w:fldChar w:fldCharType="separate"/>
      </w:r>
      <w:r>
        <w:rPr>
          <w:noProof/>
        </w:rPr>
        <w:t>N/A</w:t>
      </w:r>
      <w:r>
        <w:fldChar w:fldCharType="end"/>
      </w:r>
    </w:p>
    <w:p w14:paraId="1FF5A0DD" w14:textId="77777777" w:rsidR="00411735"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D28F6EF" w14:textId="77777777" w:rsidR="00BE535B" w:rsidRPr="00BE535B" w:rsidRDefault="00BE535B" w:rsidP="00BE535B">
      <w:pPr>
        <w:ind w:left="284"/>
      </w:pPr>
      <w:r>
        <w:t>N/A</w:t>
      </w:r>
    </w:p>
    <w:p w14:paraId="1795EE97"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6DEEE06F"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sidR="001E6919">
        <w:rPr>
          <w:szCs w:val="20"/>
        </w:rPr>
        <w:t xml:space="preserve"> No</w:t>
      </w:r>
    </w:p>
    <w:p w14:paraId="0024EA67"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2341306F"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16EBE2F4" w14:textId="77777777" w:rsidR="00BE535B" w:rsidRPr="00BE535B" w:rsidRDefault="00BE535B" w:rsidP="00BE535B">
      <w:pPr>
        <w:ind w:left="284"/>
      </w:pPr>
      <w:r>
        <w:t>N/A</w:t>
      </w:r>
    </w:p>
    <w:p w14:paraId="726E5738"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0E150279"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570C8AA3" w14:textId="77777777"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172F6F47" w14:textId="77777777" w:rsidR="00BE535B" w:rsidRPr="00BE535B" w:rsidRDefault="00BE535B" w:rsidP="00BE535B">
      <w:pPr>
        <w:ind w:left="284"/>
      </w:pPr>
      <w:r>
        <w:t>N/A</w:t>
      </w:r>
    </w:p>
    <w:p w14:paraId="11CCA507"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sidRPr="000A5B32">
        <w:rPr>
          <w:szCs w:val="20"/>
        </w:rPr>
        <w:t xml:space="preserve"> Yes</w:t>
      </w:r>
    </w:p>
    <w:p w14:paraId="72E3B3CA"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No  </w:t>
      </w:r>
    </w:p>
    <w:p w14:paraId="14151013"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7166154" w14:textId="77777777" w:rsidR="001366D2" w:rsidRDefault="001366D2" w:rsidP="00A6491A">
      <w:pPr>
        <w:spacing w:before="0" w:after="0"/>
        <w:ind w:left="284"/>
      </w:pPr>
      <w:r>
        <w:t>N/A</w:t>
      </w:r>
    </w:p>
    <w:p w14:paraId="00A07E61" w14:textId="77777777" w:rsidR="001366D2" w:rsidRDefault="001366D2" w:rsidP="00A6491A">
      <w:pPr>
        <w:spacing w:before="0" w:after="0"/>
        <w:ind w:left="284"/>
      </w:pPr>
    </w:p>
    <w:p w14:paraId="281CFED2"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7B687EE0"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72D852BE"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6FEB32E4"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2D0C3603"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4880DB32" w14:textId="77777777" w:rsidR="001366D2" w:rsidRPr="001366D2" w:rsidRDefault="001366D2" w:rsidP="001366D2">
      <w:pPr>
        <w:ind w:left="284"/>
      </w:pPr>
      <w:r>
        <w:t>N/A</w:t>
      </w:r>
    </w:p>
    <w:p w14:paraId="1265D94B"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sidRPr="000A5B32">
        <w:rPr>
          <w:szCs w:val="20"/>
        </w:rPr>
        <w:t xml:space="preserve"> Yes</w:t>
      </w:r>
    </w:p>
    <w:p w14:paraId="684DDAB3"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No  </w:t>
      </w:r>
    </w:p>
    <w:p w14:paraId="0DCBF7AC" w14:textId="77777777" w:rsidR="00016B6E"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64E93183" w14:textId="77777777" w:rsidR="001366D2" w:rsidRPr="001366D2" w:rsidRDefault="001366D2" w:rsidP="001366D2">
      <w:pPr>
        <w:ind w:left="284"/>
      </w:pPr>
      <w:r>
        <w:t>N/A</w:t>
      </w:r>
    </w:p>
    <w:p w14:paraId="611D58FC"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sidRPr="000A5B32">
        <w:rPr>
          <w:szCs w:val="20"/>
        </w:rPr>
        <w:t xml:space="preserve"> Yes</w:t>
      </w:r>
    </w:p>
    <w:p w14:paraId="3DEBB90D"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No  </w:t>
      </w:r>
    </w:p>
    <w:p w14:paraId="17270B15"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4FE0D28F" w14:textId="77777777" w:rsidR="001366D2" w:rsidRPr="001366D2" w:rsidRDefault="001366D2" w:rsidP="001366D2">
      <w:pPr>
        <w:ind w:left="284"/>
      </w:pPr>
      <w:r>
        <w:t>N/A</w:t>
      </w:r>
    </w:p>
    <w:p w14:paraId="7EFA9F0C"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6FB48D29"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7C985D32" w14:textId="77777777" w:rsidR="00CE06C1" w:rsidRDefault="009939DC" w:rsidP="00A6491A">
      <w:pPr>
        <w:spacing w:before="0" w:after="0"/>
        <w:ind w:left="284"/>
      </w:pPr>
      <w:r>
        <w:t xml:space="preserve">Single use consumables: </w:t>
      </w:r>
    </w:p>
    <w:p w14:paraId="7C3C3861" w14:textId="77777777" w:rsidR="00CE06C1" w:rsidRDefault="00CE06C1" w:rsidP="00A6491A">
      <w:pPr>
        <w:spacing w:before="0" w:after="0"/>
        <w:ind w:left="284"/>
      </w:pPr>
    </w:p>
    <w:p w14:paraId="2D4BCCC3" w14:textId="5E8C60CD" w:rsidR="00CE06C1" w:rsidRPr="00CE06C1" w:rsidRDefault="00134A58" w:rsidP="00A6491A">
      <w:pPr>
        <w:spacing w:before="0" w:after="0"/>
        <w:ind w:left="284"/>
        <w:rPr>
          <w:u w:val="single"/>
        </w:rPr>
      </w:pPr>
      <w:r>
        <w:rPr>
          <w:u w:val="single"/>
        </w:rPr>
        <w:t>B</w:t>
      </w:r>
      <w:r w:rsidR="002E748F">
        <w:rPr>
          <w:u w:val="single"/>
        </w:rPr>
        <w:t>rain tumours:</w:t>
      </w:r>
    </w:p>
    <w:p w14:paraId="4FFB217E" w14:textId="4A6A7742" w:rsidR="00CE06C1" w:rsidRDefault="00CE06C1" w:rsidP="00CE06C1">
      <w:pPr>
        <w:spacing w:before="0" w:after="0"/>
        <w:ind w:left="284"/>
      </w:pPr>
      <w:r>
        <w:t xml:space="preserve">A number of different assays that all require the use of consumables can be used to detect the genetic changes described above including fluorescent in situ hybridisation (FISH), polymerase chain reaction (PCR), Sanger sequencing, and next generation sequencing (NGS). </w:t>
      </w:r>
    </w:p>
    <w:p w14:paraId="7040B1A4" w14:textId="77777777" w:rsidR="00CE06C1" w:rsidRDefault="00CE06C1" w:rsidP="00CE06C1">
      <w:pPr>
        <w:spacing w:before="0" w:after="0"/>
        <w:ind w:left="284"/>
      </w:pPr>
      <w:r>
        <w:t>Further information can be provided if required.</w:t>
      </w:r>
    </w:p>
    <w:p w14:paraId="7CEBDCBB" w14:textId="77777777" w:rsidR="00CE06C1" w:rsidRDefault="00CE06C1" w:rsidP="00A6491A">
      <w:pPr>
        <w:spacing w:before="0" w:after="0"/>
        <w:ind w:left="284"/>
      </w:pPr>
    </w:p>
    <w:p w14:paraId="7F7FF162" w14:textId="77777777" w:rsidR="00CE06C1" w:rsidRPr="00CE06C1" w:rsidRDefault="00CE06C1" w:rsidP="00A6491A">
      <w:pPr>
        <w:spacing w:before="0" w:after="0"/>
        <w:ind w:left="284"/>
        <w:rPr>
          <w:u w:val="single"/>
        </w:rPr>
      </w:pPr>
      <w:r w:rsidRPr="00CE06C1">
        <w:rPr>
          <w:u w:val="single"/>
        </w:rPr>
        <w:t>Soft Tissue and Bone Tumours</w:t>
      </w:r>
    </w:p>
    <w:p w14:paraId="6A5C3BC1" w14:textId="3A5B63AE" w:rsidR="00CE06C1" w:rsidRDefault="00CE06C1" w:rsidP="00CE06C1">
      <w:pPr>
        <w:spacing w:before="0" w:after="0"/>
        <w:ind w:left="284"/>
      </w:pPr>
      <w:r>
        <w:t>A wide number of assays and techniques can be used to detect the genetic changes described above including polymerase chain reaction (PCR), Sanger sequencing, next generation sequencing (NGS) and fluorescent in situ hybridisation (FISH).</w:t>
      </w:r>
      <w:r w:rsidR="00134A58">
        <w:t xml:space="preserve"> FISH is the most commonly employed assay.</w:t>
      </w:r>
    </w:p>
    <w:p w14:paraId="6F6D3E64" w14:textId="77777777" w:rsidR="00CE06C1" w:rsidRDefault="00CE06C1" w:rsidP="00CE06C1">
      <w:pPr>
        <w:spacing w:before="0" w:after="0"/>
        <w:ind w:left="284"/>
      </w:pPr>
      <w:r>
        <w:t>An exhaustive listing is beyond the scope of this application given the multiple assays/ techniques that can be used. These will continue to evolve as new diagnostic changes are reported across tumour types.</w:t>
      </w:r>
    </w:p>
    <w:p w14:paraId="4CFF7604" w14:textId="77777777" w:rsidR="00CE06C1" w:rsidRDefault="00CE06C1" w:rsidP="00CE06C1">
      <w:pPr>
        <w:spacing w:before="0" w:after="0"/>
        <w:ind w:left="284"/>
      </w:pPr>
      <w:r>
        <w:t>Further information can be provided if required.</w:t>
      </w:r>
    </w:p>
    <w:p w14:paraId="7F5F62AC" w14:textId="77777777" w:rsidR="00CE06C1" w:rsidRDefault="00CE06C1" w:rsidP="00A6491A">
      <w:pPr>
        <w:spacing w:before="0" w:after="0"/>
        <w:ind w:left="284"/>
      </w:pPr>
    </w:p>
    <w:p w14:paraId="09595DEB" w14:textId="77777777" w:rsidR="00CE06C1" w:rsidRDefault="00CE06C1" w:rsidP="00A6491A">
      <w:pPr>
        <w:spacing w:before="0" w:after="0"/>
        <w:ind w:left="284"/>
      </w:pPr>
    </w:p>
    <w:p w14:paraId="4474B68B" w14:textId="77777777" w:rsidR="00F301F1" w:rsidRPr="00855944" w:rsidRDefault="00F301F1" w:rsidP="00A6491A">
      <w:pPr>
        <w:spacing w:before="0" w:after="0"/>
        <w:ind w:left="284"/>
      </w:pPr>
      <w:r w:rsidRPr="00855944">
        <w:br w:type="page"/>
      </w:r>
    </w:p>
    <w:p w14:paraId="4C8BD8D9"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2C0ADB51"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378C8E24"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CE06C1">
        <w:fldChar w:fldCharType="begin">
          <w:ffData>
            <w:name w:val=""/>
            <w:enabled/>
            <w:calcOnExit w:val="0"/>
            <w:textInput>
              <w:default w:val="In-vitro diagnostic test"/>
            </w:textInput>
          </w:ffData>
        </w:fldChar>
      </w:r>
      <w:r w:rsidR="00CE06C1">
        <w:instrText xml:space="preserve"> FORMTEXT </w:instrText>
      </w:r>
      <w:r w:rsidR="00CE06C1">
        <w:fldChar w:fldCharType="separate"/>
      </w:r>
      <w:r w:rsidR="00CE06C1">
        <w:rPr>
          <w:noProof/>
        </w:rPr>
        <w:t>In-vitro diagnostic test</w:t>
      </w:r>
      <w:r w:rsidR="00CE06C1">
        <w:fldChar w:fldCharType="end"/>
      </w:r>
    </w:p>
    <w:p w14:paraId="2635BB25"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CE06C1">
        <w:fldChar w:fldCharType="begin">
          <w:ffData>
            <w:name w:val=""/>
            <w:enabled/>
            <w:calcOnExit w:val="0"/>
            <w:textInput>
              <w:default w:val="Various"/>
            </w:textInput>
          </w:ffData>
        </w:fldChar>
      </w:r>
      <w:r w:rsidR="00CE06C1">
        <w:instrText xml:space="preserve"> FORMTEXT </w:instrText>
      </w:r>
      <w:r w:rsidR="00CE06C1">
        <w:fldChar w:fldCharType="separate"/>
      </w:r>
      <w:r w:rsidR="00CE06C1">
        <w:rPr>
          <w:noProof/>
        </w:rPr>
        <w:t>Various</w:t>
      </w:r>
      <w:r w:rsidR="00CE06C1">
        <w:fldChar w:fldCharType="end"/>
      </w:r>
    </w:p>
    <w:p w14:paraId="76593987"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CE06C1">
        <w:fldChar w:fldCharType="begin">
          <w:ffData>
            <w:name w:val=""/>
            <w:enabled/>
            <w:calcOnExit w:val="0"/>
            <w:textInput>
              <w:default w:val="Not applicable"/>
            </w:textInput>
          </w:ffData>
        </w:fldChar>
      </w:r>
      <w:r w:rsidR="00CE06C1">
        <w:instrText xml:space="preserve"> FORMTEXT </w:instrText>
      </w:r>
      <w:r w:rsidR="00CE06C1">
        <w:fldChar w:fldCharType="separate"/>
      </w:r>
      <w:r w:rsidR="00CE06C1">
        <w:rPr>
          <w:noProof/>
        </w:rPr>
        <w:t>Not applicable</w:t>
      </w:r>
      <w:r w:rsidR="00CE06C1">
        <w:fldChar w:fldCharType="end"/>
      </w:r>
    </w:p>
    <w:p w14:paraId="5800EDFF"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36B73684" w14:textId="77777777" w:rsidR="00615F42" w:rsidRPr="00615F42" w:rsidRDefault="00CE06C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2DB3287E"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sidRPr="000A5B32">
        <w:rPr>
          <w:szCs w:val="20"/>
        </w:rPr>
        <w:t xml:space="preserve"> </w:t>
      </w:r>
      <w:r w:rsidRPr="00615F42">
        <w:rPr>
          <w:szCs w:val="20"/>
        </w:rPr>
        <w:t>AIMD</w:t>
      </w:r>
    </w:p>
    <w:p w14:paraId="4D2528A3"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sidRPr="000A5B32">
        <w:rPr>
          <w:szCs w:val="20"/>
        </w:rPr>
        <w:t xml:space="preserve"> </w:t>
      </w:r>
      <w:r w:rsidRPr="00615F42">
        <w:rPr>
          <w:szCs w:val="20"/>
        </w:rPr>
        <w:t>N/A</w:t>
      </w:r>
    </w:p>
    <w:p w14:paraId="2594DE44"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B1FA381"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7D06CAB" w14:textId="77777777" w:rsidR="003421AE" w:rsidRPr="00615F42" w:rsidRDefault="00CE06C1"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615F42">
        <w:rPr>
          <w:szCs w:val="20"/>
        </w:rPr>
        <w:t xml:space="preserve"> No</w:t>
      </w:r>
    </w:p>
    <w:p w14:paraId="41E5D009"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286AC309" w14:textId="77777777" w:rsidR="0043654D" w:rsidRDefault="00CE06C1"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43654D">
        <w:rPr>
          <w:szCs w:val="20"/>
        </w:rPr>
        <w:t xml:space="preserve"> Yes (if yes, please provide details below)</w:t>
      </w:r>
    </w:p>
    <w:p w14:paraId="22C8FAFA"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No</w:t>
      </w:r>
    </w:p>
    <w:p w14:paraId="1350FFF8" w14:textId="77777777" w:rsidR="0043654D" w:rsidRPr="00615F42" w:rsidRDefault="0043654D" w:rsidP="0043654D">
      <w:pPr>
        <w:spacing w:before="0" w:after="0"/>
        <w:ind w:left="284"/>
        <w:rPr>
          <w:b/>
          <w:szCs w:val="20"/>
        </w:rPr>
      </w:pPr>
    </w:p>
    <w:p w14:paraId="1EDD0531" w14:textId="58C54844" w:rsidR="00861B31" w:rsidRDefault="0043654D" w:rsidP="004F2E65">
      <w:pPr>
        <w:spacing w:before="0" w:after="0"/>
        <w:ind w:left="284"/>
        <w:rPr>
          <w:szCs w:val="20"/>
        </w:rPr>
      </w:pPr>
      <w:r w:rsidRPr="0043654D">
        <w:rPr>
          <w:szCs w:val="20"/>
        </w:rPr>
        <w:t>ARTG listing, r</w:t>
      </w:r>
      <w:r w:rsidR="004F2E65">
        <w:rPr>
          <w:szCs w:val="20"/>
        </w:rPr>
        <w:t>egistration or inclusion number</w:t>
      </w:r>
    </w:p>
    <w:tbl>
      <w:tblPr>
        <w:tblStyle w:val="TableGrid2"/>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that outlines ARTG license numbers"/>
        <w:tblDescription w:val="."/>
      </w:tblPr>
      <w:tblGrid>
        <w:gridCol w:w="4536"/>
        <w:gridCol w:w="4110"/>
      </w:tblGrid>
      <w:tr w:rsidR="00861B31" w:rsidRPr="00861B31" w14:paraId="537A745B" w14:textId="77777777" w:rsidTr="00FF46CE">
        <w:trPr>
          <w:tblHeader/>
        </w:trPr>
        <w:tc>
          <w:tcPr>
            <w:tcW w:w="4536" w:type="dxa"/>
            <w:tcBorders>
              <w:right w:val="single" w:sz="4" w:space="0" w:color="auto"/>
            </w:tcBorders>
          </w:tcPr>
          <w:p w14:paraId="201CE306" w14:textId="77777777" w:rsidR="00861B31" w:rsidRPr="00861B31" w:rsidRDefault="00861B31" w:rsidP="00861B31">
            <w:pPr>
              <w:spacing w:before="100" w:beforeAutospacing="1" w:after="100" w:afterAutospacing="1"/>
              <w:rPr>
                <w:szCs w:val="20"/>
              </w:rPr>
            </w:pPr>
          </w:p>
        </w:tc>
        <w:tc>
          <w:tcPr>
            <w:tcW w:w="4110" w:type="dxa"/>
            <w:tcBorders>
              <w:top w:val="single" w:sz="4" w:space="0" w:color="auto"/>
              <w:left w:val="single" w:sz="4" w:space="0" w:color="auto"/>
              <w:bottom w:val="single" w:sz="4" w:space="0" w:color="auto"/>
              <w:right w:val="single" w:sz="4" w:space="0" w:color="auto"/>
            </w:tcBorders>
          </w:tcPr>
          <w:p w14:paraId="0F3E15D4" w14:textId="77777777" w:rsidR="00861B31" w:rsidRPr="00861B31" w:rsidRDefault="00861B31" w:rsidP="00861B31">
            <w:pPr>
              <w:pBdr>
                <w:bottom w:val="single" w:sz="4" w:space="1" w:color="auto"/>
              </w:pBdr>
              <w:spacing w:before="0" w:after="0"/>
              <w:rPr>
                <w:szCs w:val="20"/>
              </w:rPr>
            </w:pPr>
            <w:r w:rsidRPr="00861B31">
              <w:rPr>
                <w:szCs w:val="20"/>
              </w:rPr>
              <w:t xml:space="preserve">ARTG licence numbers for Acquired genetic alteration IVDs including but not limited to: </w:t>
            </w:r>
          </w:p>
          <w:p w14:paraId="5BD825C7" w14:textId="77777777" w:rsidR="00861B31" w:rsidRPr="00861B31" w:rsidRDefault="00861B31" w:rsidP="00861B31">
            <w:pPr>
              <w:spacing w:before="0" w:after="0"/>
              <w:rPr>
                <w:sz w:val="18"/>
                <w:szCs w:val="18"/>
              </w:rPr>
            </w:pPr>
          </w:p>
          <w:p w14:paraId="0E2E333D" w14:textId="77777777" w:rsidR="00861B31" w:rsidRPr="00861B31" w:rsidRDefault="00861B31" w:rsidP="00861B31">
            <w:pPr>
              <w:spacing w:before="0" w:after="0"/>
              <w:rPr>
                <w:sz w:val="18"/>
                <w:szCs w:val="18"/>
              </w:rPr>
            </w:pPr>
            <w:r w:rsidRPr="00861B31">
              <w:rPr>
                <w:sz w:val="18"/>
                <w:szCs w:val="18"/>
              </w:rPr>
              <w:t xml:space="preserve">AA-Med Pty Ltd 214482 </w:t>
            </w:r>
          </w:p>
          <w:p w14:paraId="1D706CE0" w14:textId="77777777" w:rsidR="00861B31" w:rsidRPr="00861B31" w:rsidRDefault="00861B31" w:rsidP="00861B31">
            <w:pPr>
              <w:spacing w:before="0" w:after="0"/>
              <w:rPr>
                <w:sz w:val="18"/>
                <w:szCs w:val="18"/>
              </w:rPr>
            </w:pPr>
            <w:r w:rsidRPr="00861B31">
              <w:rPr>
                <w:sz w:val="18"/>
                <w:szCs w:val="18"/>
              </w:rPr>
              <w:t xml:space="preserve">Abacus ALS Pty Ltd 255352 256572 262298 </w:t>
            </w:r>
          </w:p>
          <w:p w14:paraId="7D0D8C50" w14:textId="77777777" w:rsidR="00861B31" w:rsidRPr="00861B31" w:rsidRDefault="00861B31" w:rsidP="00861B31">
            <w:pPr>
              <w:spacing w:before="0" w:after="0"/>
              <w:rPr>
                <w:sz w:val="18"/>
                <w:szCs w:val="18"/>
              </w:rPr>
            </w:pPr>
            <w:r w:rsidRPr="00861B31">
              <w:rPr>
                <w:sz w:val="18"/>
                <w:szCs w:val="18"/>
              </w:rPr>
              <w:t xml:space="preserve">Abbott Australasia Pty Ltd Molecular Division 196286 </w:t>
            </w:r>
          </w:p>
          <w:p w14:paraId="0BCCC915" w14:textId="77777777" w:rsidR="00861B31" w:rsidRPr="00861B31" w:rsidRDefault="00861B31" w:rsidP="00861B31">
            <w:pPr>
              <w:spacing w:before="0" w:after="0"/>
              <w:rPr>
                <w:sz w:val="18"/>
                <w:szCs w:val="18"/>
              </w:rPr>
            </w:pPr>
            <w:proofErr w:type="spellStart"/>
            <w:r w:rsidRPr="00861B31">
              <w:rPr>
                <w:sz w:val="18"/>
                <w:szCs w:val="18"/>
              </w:rPr>
              <w:t>Biomerieux</w:t>
            </w:r>
            <w:proofErr w:type="spellEnd"/>
            <w:r w:rsidRPr="00861B31">
              <w:rPr>
                <w:sz w:val="18"/>
                <w:szCs w:val="18"/>
              </w:rPr>
              <w:t xml:space="preserve"> Australia Pty Ltd 217781 </w:t>
            </w:r>
          </w:p>
          <w:p w14:paraId="4A4AF362" w14:textId="77777777" w:rsidR="00861B31" w:rsidRPr="00861B31" w:rsidRDefault="00861B31" w:rsidP="00861B31">
            <w:pPr>
              <w:spacing w:before="0" w:after="0"/>
              <w:rPr>
                <w:sz w:val="18"/>
                <w:szCs w:val="18"/>
              </w:rPr>
            </w:pPr>
            <w:r w:rsidRPr="00861B31">
              <w:rPr>
                <w:sz w:val="18"/>
                <w:szCs w:val="18"/>
              </w:rPr>
              <w:t xml:space="preserve">Bio-Strategy Pty Ltd 226487 </w:t>
            </w:r>
          </w:p>
          <w:p w14:paraId="3867DEC1" w14:textId="77777777" w:rsidR="00861B31" w:rsidRPr="00861B31" w:rsidRDefault="00861B31" w:rsidP="00861B31">
            <w:pPr>
              <w:spacing w:before="0" w:after="0"/>
              <w:rPr>
                <w:sz w:val="18"/>
                <w:szCs w:val="18"/>
              </w:rPr>
            </w:pPr>
            <w:r w:rsidRPr="00861B31">
              <w:rPr>
                <w:sz w:val="18"/>
                <w:szCs w:val="18"/>
              </w:rPr>
              <w:t xml:space="preserve">Carl Zeiss Pty Ltd 266568 </w:t>
            </w:r>
          </w:p>
          <w:p w14:paraId="03D95806" w14:textId="77777777" w:rsidR="00861B31" w:rsidRPr="00861B31" w:rsidRDefault="00861B31" w:rsidP="00861B31">
            <w:pPr>
              <w:spacing w:before="0" w:after="0"/>
              <w:rPr>
                <w:sz w:val="18"/>
                <w:szCs w:val="18"/>
              </w:rPr>
            </w:pPr>
            <w:r w:rsidRPr="00861B31">
              <w:rPr>
                <w:sz w:val="18"/>
                <w:szCs w:val="18"/>
              </w:rPr>
              <w:t xml:space="preserve">Cepheid Holdings Pty Ltd 226631 </w:t>
            </w:r>
          </w:p>
          <w:p w14:paraId="4412A3B7" w14:textId="77777777" w:rsidR="00861B31" w:rsidRPr="00861B31" w:rsidRDefault="00861B31" w:rsidP="00861B31">
            <w:pPr>
              <w:spacing w:before="0" w:after="0"/>
              <w:rPr>
                <w:sz w:val="18"/>
                <w:szCs w:val="18"/>
              </w:rPr>
            </w:pPr>
            <w:proofErr w:type="spellStart"/>
            <w:r w:rsidRPr="00861B31">
              <w:rPr>
                <w:sz w:val="18"/>
                <w:szCs w:val="18"/>
              </w:rPr>
              <w:t>Dako</w:t>
            </w:r>
            <w:proofErr w:type="spellEnd"/>
            <w:r w:rsidRPr="00861B31">
              <w:rPr>
                <w:sz w:val="18"/>
                <w:szCs w:val="18"/>
              </w:rPr>
              <w:t xml:space="preserve"> Australia Pty Ltd 199420 264573 </w:t>
            </w:r>
          </w:p>
          <w:p w14:paraId="1A1F6C8A" w14:textId="77777777" w:rsidR="00861B31" w:rsidRPr="00861B31" w:rsidRDefault="00861B31" w:rsidP="00861B31">
            <w:pPr>
              <w:spacing w:before="0" w:after="0"/>
              <w:rPr>
                <w:sz w:val="18"/>
                <w:szCs w:val="18"/>
              </w:rPr>
            </w:pPr>
            <w:r w:rsidRPr="00861B31">
              <w:rPr>
                <w:sz w:val="18"/>
                <w:szCs w:val="18"/>
              </w:rPr>
              <w:t xml:space="preserve">In Vitro Technologies Pty Ltd 225995 </w:t>
            </w:r>
          </w:p>
          <w:p w14:paraId="4293A16E" w14:textId="77777777" w:rsidR="00861B31" w:rsidRPr="00861B31" w:rsidRDefault="00861B31" w:rsidP="00861B31">
            <w:pPr>
              <w:spacing w:before="0" w:after="0"/>
              <w:rPr>
                <w:sz w:val="18"/>
                <w:szCs w:val="18"/>
              </w:rPr>
            </w:pPr>
            <w:r w:rsidRPr="00861B31">
              <w:rPr>
                <w:sz w:val="18"/>
                <w:szCs w:val="18"/>
              </w:rPr>
              <w:t xml:space="preserve">Key Diagnostics Pty Ltd 270292 </w:t>
            </w:r>
          </w:p>
          <w:p w14:paraId="34A4D4C0" w14:textId="77777777" w:rsidR="00861B31" w:rsidRPr="00861B31" w:rsidRDefault="00861B31" w:rsidP="00861B31">
            <w:pPr>
              <w:spacing w:before="0" w:after="0"/>
              <w:rPr>
                <w:sz w:val="18"/>
                <w:szCs w:val="18"/>
              </w:rPr>
            </w:pPr>
            <w:r w:rsidRPr="00861B31">
              <w:rPr>
                <w:sz w:val="18"/>
                <w:szCs w:val="18"/>
              </w:rPr>
              <w:t xml:space="preserve">Leica Microsystems Pty Ltd 191254 </w:t>
            </w:r>
          </w:p>
          <w:p w14:paraId="328290C8" w14:textId="77777777" w:rsidR="00861B31" w:rsidRPr="00861B31" w:rsidRDefault="00861B31" w:rsidP="00861B31">
            <w:pPr>
              <w:spacing w:before="0" w:after="0"/>
              <w:rPr>
                <w:sz w:val="18"/>
                <w:szCs w:val="18"/>
              </w:rPr>
            </w:pPr>
            <w:proofErr w:type="spellStart"/>
            <w:r w:rsidRPr="00861B31">
              <w:rPr>
                <w:sz w:val="18"/>
                <w:szCs w:val="18"/>
              </w:rPr>
              <w:t>Qiagen</w:t>
            </w:r>
            <w:proofErr w:type="spellEnd"/>
            <w:r w:rsidRPr="00861B31">
              <w:rPr>
                <w:sz w:val="18"/>
                <w:szCs w:val="18"/>
              </w:rPr>
              <w:t xml:space="preserve"> Pty Ltd 214994 226453 238792 </w:t>
            </w:r>
          </w:p>
          <w:p w14:paraId="55F929FD" w14:textId="77777777" w:rsidR="00861B31" w:rsidRPr="00861B31" w:rsidRDefault="00861B31" w:rsidP="00861B31">
            <w:pPr>
              <w:spacing w:before="0" w:after="0"/>
              <w:rPr>
                <w:sz w:val="18"/>
                <w:szCs w:val="18"/>
              </w:rPr>
            </w:pPr>
            <w:r w:rsidRPr="00861B31">
              <w:rPr>
                <w:sz w:val="18"/>
                <w:szCs w:val="18"/>
              </w:rPr>
              <w:t xml:space="preserve">Roche Diagnostics Australia Pty Limited 180933 192394 192395 194319 196363 </w:t>
            </w:r>
            <w:proofErr w:type="spellStart"/>
            <w:r w:rsidRPr="00861B31">
              <w:rPr>
                <w:sz w:val="18"/>
                <w:szCs w:val="18"/>
              </w:rPr>
              <w:t>Thermo</w:t>
            </w:r>
            <w:proofErr w:type="spellEnd"/>
            <w:r w:rsidRPr="00861B31">
              <w:rPr>
                <w:sz w:val="18"/>
                <w:szCs w:val="18"/>
              </w:rPr>
              <w:t xml:space="preserve"> Fisher Scientific Australia Pty Ltd 227503 256113 </w:t>
            </w:r>
          </w:p>
          <w:p w14:paraId="52CCA6E0" w14:textId="77777777" w:rsidR="00861B31" w:rsidRPr="00861B31" w:rsidRDefault="00861B31" w:rsidP="00861B31">
            <w:pPr>
              <w:spacing w:before="0" w:after="0"/>
              <w:rPr>
                <w:sz w:val="18"/>
                <w:szCs w:val="18"/>
              </w:rPr>
            </w:pPr>
            <w:r w:rsidRPr="00861B31">
              <w:rPr>
                <w:sz w:val="18"/>
                <w:szCs w:val="18"/>
              </w:rPr>
              <w:t>Vela Diagnostics Australia Pty Ltd 228024 235394</w:t>
            </w:r>
          </w:p>
          <w:p w14:paraId="102AC2A9" w14:textId="77777777" w:rsidR="00861B31" w:rsidRPr="00861B31" w:rsidRDefault="00861B31" w:rsidP="00861B31">
            <w:pPr>
              <w:spacing w:before="0" w:after="0"/>
              <w:rPr>
                <w:szCs w:val="20"/>
              </w:rPr>
            </w:pPr>
          </w:p>
        </w:tc>
      </w:tr>
    </w:tbl>
    <w:p w14:paraId="1BCEB249" w14:textId="77777777" w:rsidR="00861B31" w:rsidRDefault="00861B31" w:rsidP="0043654D">
      <w:pPr>
        <w:spacing w:before="0" w:after="0"/>
        <w:ind w:left="284"/>
        <w:rPr>
          <w:szCs w:val="20"/>
        </w:rPr>
      </w:pPr>
    </w:p>
    <w:p w14:paraId="639A4B39" w14:textId="3E10CCDB" w:rsidR="0043654D" w:rsidRPr="0043654D" w:rsidRDefault="0043654D" w:rsidP="0043654D">
      <w:pPr>
        <w:spacing w:before="0" w:after="0"/>
        <w:ind w:left="284"/>
        <w:rPr>
          <w:szCs w:val="20"/>
        </w:rPr>
      </w:pPr>
      <w:r w:rsidRPr="0043654D">
        <w:rPr>
          <w:szCs w:val="20"/>
        </w:rPr>
        <w:t>TGA approved indication(s), if applicable:</w:t>
      </w:r>
    </w:p>
    <w:p w14:paraId="3144A618" w14:textId="7672400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p>
    <w:p w14:paraId="31A4BF23" w14:textId="77777777" w:rsidR="00C0796F" w:rsidRDefault="00C0796F" w:rsidP="00530204">
      <w:pPr>
        <w:pStyle w:val="Heading2"/>
      </w:pPr>
      <w:r w:rsidRPr="0043654D">
        <w:t>If the therapeutic good has not been listed, registered or included in the ARTG, is the therapeutic good in the process of being considered for inclusion by the TGA?</w:t>
      </w:r>
    </w:p>
    <w:p w14:paraId="18456215" w14:textId="77777777" w:rsidR="00861B31" w:rsidRDefault="00861B31" w:rsidP="00861B31"/>
    <w:p w14:paraId="38D0743B" w14:textId="77777777" w:rsidR="00861B31" w:rsidRPr="00861B31" w:rsidRDefault="00861B31" w:rsidP="00861B31">
      <w:pPr>
        <w:ind w:left="284"/>
      </w:pPr>
      <w:r>
        <w:t>N/A</w:t>
      </w:r>
    </w:p>
    <w:p w14:paraId="3007C28B" w14:textId="77777777" w:rsidR="0047581D" w:rsidRDefault="0047581D" w:rsidP="0047581D">
      <w:pPr>
        <w:spacing w:before="0" w:after="0"/>
        <w:ind w:left="284"/>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Yes (please provide details below)</w:t>
      </w:r>
    </w:p>
    <w:p w14:paraId="34BF106F"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No</w:t>
      </w:r>
    </w:p>
    <w:p w14:paraId="20E6462C" w14:textId="77777777" w:rsidR="0047581D" w:rsidRDefault="0047581D" w:rsidP="0047581D">
      <w:pPr>
        <w:spacing w:before="0" w:after="0"/>
        <w:rPr>
          <w:b/>
          <w:szCs w:val="20"/>
        </w:rPr>
      </w:pPr>
    </w:p>
    <w:p w14:paraId="3D1EC347" w14:textId="77777777"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60364498" w14:textId="77777777" w:rsidR="00861B31" w:rsidRPr="00861B31" w:rsidRDefault="00861B31" w:rsidP="00861B31">
      <w:pPr>
        <w:ind w:left="284"/>
      </w:pPr>
      <w:r>
        <w:t>N/A</w:t>
      </w:r>
    </w:p>
    <w:p w14:paraId="1CF27834"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Yes (please provide details below)</w:t>
      </w:r>
    </w:p>
    <w:p w14:paraId="1CFA1578"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No</w:t>
      </w:r>
    </w:p>
    <w:p w14:paraId="4116675F" w14:textId="77777777" w:rsidR="000A110D" w:rsidRDefault="000A110D" w:rsidP="00971EDB">
      <w:pPr>
        <w:spacing w:before="0" w:after="0"/>
        <w:rPr>
          <w:szCs w:val="20"/>
        </w:rPr>
      </w:pPr>
    </w:p>
    <w:p w14:paraId="13888BFE"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786F5900"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62B64B03" w14:textId="7777777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p w14:paraId="06688F3B" w14:textId="201E87FB" w:rsidR="00861B31" w:rsidRDefault="002B5FB6" w:rsidP="00861B31">
      <w:pPr>
        <w:rPr>
          <w:b/>
          <w:szCs w:val="20"/>
        </w:rPr>
      </w:pPr>
      <w:r>
        <w:rPr>
          <w:b/>
          <w:szCs w:val="20"/>
        </w:rPr>
        <w:tab/>
      </w:r>
      <w:r w:rsidR="00861B31">
        <w:rPr>
          <w:b/>
          <w:szCs w:val="20"/>
        </w:rPr>
        <w:t>Gliomas</w:t>
      </w:r>
    </w:p>
    <w:p w14:paraId="744B7571" w14:textId="77777777" w:rsidR="00861B31" w:rsidRPr="00861B31" w:rsidRDefault="00861B31" w:rsidP="00586FCD">
      <w:pPr>
        <w:spacing w:before="0" w:after="200" w:line="276" w:lineRule="auto"/>
        <w:ind w:left="360"/>
        <w:contextualSpacing/>
        <w:rPr>
          <w:b/>
          <w:szCs w:val="20"/>
        </w:rPr>
      </w:pPr>
    </w:p>
    <w:tbl>
      <w:tblPr>
        <w:tblStyle w:val="TableGrid3"/>
        <w:tblW w:w="8708" w:type="dxa"/>
        <w:tblInd w:w="534" w:type="dxa"/>
        <w:tblLayout w:type="fixed"/>
        <w:tblLook w:val="04A0" w:firstRow="1" w:lastRow="0" w:firstColumn="1" w:lastColumn="0" w:noHBand="0" w:noVBand="1"/>
        <w:tblCaption w:val="Table outlining the summary of evidence"/>
        <w:tblDescription w:val="."/>
      </w:tblPr>
      <w:tblGrid>
        <w:gridCol w:w="567"/>
        <w:gridCol w:w="1417"/>
        <w:gridCol w:w="1843"/>
        <w:gridCol w:w="2126"/>
        <w:gridCol w:w="1757"/>
        <w:gridCol w:w="998"/>
      </w:tblGrid>
      <w:tr w:rsidR="00861B31" w:rsidRPr="00861B31" w14:paraId="1BFD16DC" w14:textId="77777777" w:rsidTr="00FF46CE">
        <w:trPr>
          <w:tblHeader/>
        </w:trPr>
        <w:tc>
          <w:tcPr>
            <w:tcW w:w="567" w:type="dxa"/>
          </w:tcPr>
          <w:p w14:paraId="0DE553EF" w14:textId="77777777" w:rsidR="00861B31" w:rsidRPr="00861B31" w:rsidRDefault="00861B31" w:rsidP="00861B31">
            <w:pPr>
              <w:spacing w:before="0" w:after="0"/>
              <w:rPr>
                <w:b/>
                <w:szCs w:val="20"/>
              </w:rPr>
            </w:pPr>
          </w:p>
        </w:tc>
        <w:tc>
          <w:tcPr>
            <w:tcW w:w="1417" w:type="dxa"/>
          </w:tcPr>
          <w:p w14:paraId="31D1B03F" w14:textId="77777777" w:rsidR="00861B31" w:rsidRPr="00861B31" w:rsidRDefault="00861B31" w:rsidP="00861B31">
            <w:pPr>
              <w:spacing w:before="0" w:after="0"/>
              <w:rPr>
                <w:b/>
                <w:szCs w:val="20"/>
              </w:rPr>
            </w:pPr>
            <w:r w:rsidRPr="00861B31">
              <w:rPr>
                <w:b/>
                <w:szCs w:val="20"/>
              </w:rPr>
              <w:t>Type of study design*</w:t>
            </w:r>
          </w:p>
        </w:tc>
        <w:tc>
          <w:tcPr>
            <w:tcW w:w="1843" w:type="dxa"/>
          </w:tcPr>
          <w:p w14:paraId="5463321C" w14:textId="77777777" w:rsidR="00861B31" w:rsidRPr="00861B31" w:rsidRDefault="00861B31" w:rsidP="00861B31">
            <w:pPr>
              <w:spacing w:before="0" w:after="0"/>
              <w:rPr>
                <w:b/>
                <w:szCs w:val="20"/>
              </w:rPr>
            </w:pPr>
            <w:r w:rsidRPr="00861B31">
              <w:rPr>
                <w:b/>
                <w:szCs w:val="20"/>
              </w:rPr>
              <w:t>Title of journal article  or research project (including any trial identifier or study lead if relevant)</w:t>
            </w:r>
          </w:p>
        </w:tc>
        <w:tc>
          <w:tcPr>
            <w:tcW w:w="2126" w:type="dxa"/>
          </w:tcPr>
          <w:p w14:paraId="7C86321C" w14:textId="77777777" w:rsidR="00861B31" w:rsidRPr="00861B31" w:rsidRDefault="00861B31" w:rsidP="00861B31">
            <w:pPr>
              <w:spacing w:before="0" w:after="0"/>
              <w:rPr>
                <w:b/>
                <w:szCs w:val="20"/>
              </w:rPr>
            </w:pPr>
            <w:r w:rsidRPr="00861B31">
              <w:rPr>
                <w:b/>
                <w:szCs w:val="20"/>
              </w:rPr>
              <w:t>Short description of research  (max 50 words)**</w:t>
            </w:r>
          </w:p>
        </w:tc>
        <w:tc>
          <w:tcPr>
            <w:tcW w:w="1757" w:type="dxa"/>
          </w:tcPr>
          <w:p w14:paraId="433D697D" w14:textId="77777777" w:rsidR="00861B31" w:rsidRPr="00861B31" w:rsidRDefault="00861B31" w:rsidP="00861B31">
            <w:pPr>
              <w:spacing w:before="0" w:after="0"/>
              <w:rPr>
                <w:b/>
                <w:szCs w:val="20"/>
              </w:rPr>
            </w:pPr>
            <w:r w:rsidRPr="00861B31">
              <w:rPr>
                <w:b/>
                <w:szCs w:val="20"/>
              </w:rPr>
              <w:t>Website link to journal article or research (if available)</w:t>
            </w:r>
          </w:p>
        </w:tc>
        <w:tc>
          <w:tcPr>
            <w:tcW w:w="998" w:type="dxa"/>
          </w:tcPr>
          <w:p w14:paraId="2604AA11" w14:textId="77777777" w:rsidR="00861B31" w:rsidRPr="00861B31" w:rsidRDefault="00861B31" w:rsidP="00861B31">
            <w:pPr>
              <w:spacing w:before="0" w:after="0"/>
              <w:rPr>
                <w:b/>
                <w:szCs w:val="20"/>
              </w:rPr>
            </w:pPr>
            <w:r w:rsidRPr="00861B31">
              <w:rPr>
                <w:b/>
                <w:szCs w:val="20"/>
              </w:rPr>
              <w:t>Date of publication***</w:t>
            </w:r>
          </w:p>
        </w:tc>
      </w:tr>
      <w:tr w:rsidR="00861B31" w:rsidRPr="00861B31" w14:paraId="7AD76D59" w14:textId="77777777" w:rsidTr="00F91393">
        <w:tc>
          <w:tcPr>
            <w:tcW w:w="567" w:type="dxa"/>
          </w:tcPr>
          <w:p w14:paraId="5762B0BD" w14:textId="77777777" w:rsidR="00861B31" w:rsidRPr="00861B31" w:rsidRDefault="00861B31" w:rsidP="00861B31">
            <w:pPr>
              <w:spacing w:before="0" w:after="0"/>
              <w:rPr>
                <w:szCs w:val="20"/>
              </w:rPr>
            </w:pPr>
            <w:r w:rsidRPr="00861B31">
              <w:rPr>
                <w:szCs w:val="20"/>
              </w:rPr>
              <w:t>1.</w:t>
            </w:r>
          </w:p>
        </w:tc>
        <w:tc>
          <w:tcPr>
            <w:tcW w:w="1417" w:type="dxa"/>
          </w:tcPr>
          <w:p w14:paraId="0023330F" w14:textId="77777777" w:rsidR="00861B31" w:rsidRPr="00861B31" w:rsidRDefault="00861B31" w:rsidP="00861B31">
            <w:pPr>
              <w:spacing w:before="0" w:after="0"/>
              <w:rPr>
                <w:szCs w:val="20"/>
              </w:rPr>
            </w:pPr>
            <w:r w:rsidRPr="00861B31">
              <w:rPr>
                <w:szCs w:val="20"/>
              </w:rPr>
              <w:t>Clinical practice guidelines</w:t>
            </w:r>
          </w:p>
        </w:tc>
        <w:tc>
          <w:tcPr>
            <w:tcW w:w="1843" w:type="dxa"/>
          </w:tcPr>
          <w:p w14:paraId="616A653E" w14:textId="77777777" w:rsidR="00861B31" w:rsidRPr="00861B31" w:rsidRDefault="00861B31" w:rsidP="00861B31">
            <w:pPr>
              <w:spacing w:before="0" w:after="0"/>
              <w:rPr>
                <w:szCs w:val="20"/>
              </w:rPr>
            </w:pPr>
            <w:r w:rsidRPr="00861B31">
              <w:rPr>
                <w:szCs w:val="20"/>
              </w:rPr>
              <w:t xml:space="preserve">Louis DN, Perry A, Burger P, et al: International Society Of Neuropathology--Haarlem consensus guidelines for nervous system tumour classification and grading. Brain </w:t>
            </w:r>
            <w:proofErr w:type="spellStart"/>
            <w:r w:rsidRPr="00861B31">
              <w:rPr>
                <w:szCs w:val="20"/>
              </w:rPr>
              <w:t>Pathol</w:t>
            </w:r>
            <w:proofErr w:type="spellEnd"/>
            <w:r w:rsidRPr="00861B31">
              <w:rPr>
                <w:szCs w:val="20"/>
              </w:rPr>
              <w:t xml:space="preserve"> 24:429-35, 2014.</w:t>
            </w:r>
          </w:p>
        </w:tc>
        <w:tc>
          <w:tcPr>
            <w:tcW w:w="2126" w:type="dxa"/>
          </w:tcPr>
          <w:p w14:paraId="49BAEE77" w14:textId="77777777" w:rsidR="00861B31" w:rsidRPr="00861B31" w:rsidRDefault="00861B31" w:rsidP="00861B31">
            <w:pPr>
              <w:spacing w:before="0" w:after="0"/>
              <w:rPr>
                <w:szCs w:val="20"/>
              </w:rPr>
            </w:pPr>
            <w:r w:rsidRPr="00861B31">
              <w:rPr>
                <w:szCs w:val="20"/>
              </w:rPr>
              <w:t>International clinical practice guidelines on the classification of nervous system tumours by expert consensus.</w:t>
            </w:r>
          </w:p>
        </w:tc>
        <w:tc>
          <w:tcPr>
            <w:tcW w:w="1757" w:type="dxa"/>
          </w:tcPr>
          <w:p w14:paraId="235B2585" w14:textId="637C70A9" w:rsidR="00861B31" w:rsidRPr="00861B31" w:rsidRDefault="00FF46CE" w:rsidP="00861B31">
            <w:pPr>
              <w:spacing w:before="0" w:after="0"/>
              <w:rPr>
                <w:szCs w:val="20"/>
              </w:rPr>
            </w:pPr>
            <w:hyperlink r:id="rId13" w:history="1">
              <w:r w:rsidR="00995892">
                <w:rPr>
                  <w:color w:val="0000FF" w:themeColor="hyperlink"/>
                  <w:szCs w:val="20"/>
                  <w:u w:val="single"/>
                </w:rPr>
                <w:t xml:space="preserve">International Society of Neuropathology-Haarlem Consensus Guidelines for Nervous System </w:t>
              </w:r>
              <w:proofErr w:type="spellStart"/>
              <w:r w:rsidR="00995892">
                <w:rPr>
                  <w:color w:val="0000FF" w:themeColor="hyperlink"/>
                  <w:szCs w:val="20"/>
                  <w:u w:val="single"/>
                </w:rPr>
                <w:t>Tumor</w:t>
              </w:r>
              <w:proofErr w:type="spellEnd"/>
              <w:r w:rsidR="00995892">
                <w:rPr>
                  <w:color w:val="0000FF" w:themeColor="hyperlink"/>
                  <w:szCs w:val="20"/>
                  <w:u w:val="single"/>
                </w:rPr>
                <w:t xml:space="preserve"> Classification and Grading</w:t>
              </w:r>
            </w:hyperlink>
          </w:p>
        </w:tc>
        <w:tc>
          <w:tcPr>
            <w:tcW w:w="998" w:type="dxa"/>
          </w:tcPr>
          <w:p w14:paraId="7ABB346F" w14:textId="77777777" w:rsidR="00861B31" w:rsidRPr="00861B31" w:rsidRDefault="00861B31" w:rsidP="00861B31">
            <w:pPr>
              <w:spacing w:before="0" w:after="0"/>
              <w:rPr>
                <w:szCs w:val="20"/>
              </w:rPr>
            </w:pPr>
            <w:r w:rsidRPr="00861B31">
              <w:rPr>
                <w:szCs w:val="20"/>
              </w:rPr>
              <w:t>10 Sep 2014</w:t>
            </w:r>
          </w:p>
        </w:tc>
      </w:tr>
      <w:tr w:rsidR="00861B31" w:rsidRPr="00861B31" w14:paraId="7FD05644" w14:textId="77777777" w:rsidTr="00F91393">
        <w:tc>
          <w:tcPr>
            <w:tcW w:w="567" w:type="dxa"/>
          </w:tcPr>
          <w:p w14:paraId="358AE63F" w14:textId="77777777" w:rsidR="00861B31" w:rsidRPr="00861B31" w:rsidRDefault="00861B31" w:rsidP="00861B31">
            <w:pPr>
              <w:spacing w:before="0" w:after="0"/>
              <w:rPr>
                <w:szCs w:val="20"/>
              </w:rPr>
            </w:pPr>
            <w:r w:rsidRPr="00861B31">
              <w:rPr>
                <w:szCs w:val="20"/>
              </w:rPr>
              <w:t>2.</w:t>
            </w:r>
          </w:p>
        </w:tc>
        <w:tc>
          <w:tcPr>
            <w:tcW w:w="1417" w:type="dxa"/>
          </w:tcPr>
          <w:p w14:paraId="2CAFBC8E" w14:textId="77777777" w:rsidR="00861B31" w:rsidRPr="00861B31" w:rsidRDefault="00861B31" w:rsidP="00861B31">
            <w:pPr>
              <w:spacing w:before="0" w:after="0"/>
              <w:rPr>
                <w:szCs w:val="20"/>
              </w:rPr>
            </w:pPr>
            <w:r w:rsidRPr="00861B31">
              <w:rPr>
                <w:szCs w:val="20"/>
              </w:rPr>
              <w:t>Clinical practice guidelines</w:t>
            </w:r>
          </w:p>
        </w:tc>
        <w:tc>
          <w:tcPr>
            <w:tcW w:w="1843" w:type="dxa"/>
          </w:tcPr>
          <w:p w14:paraId="6CE159DE" w14:textId="77777777" w:rsidR="00861B31" w:rsidRPr="00861B31" w:rsidRDefault="00861B31" w:rsidP="00861B31">
            <w:pPr>
              <w:spacing w:before="0" w:after="0"/>
              <w:rPr>
                <w:szCs w:val="20"/>
              </w:rPr>
            </w:pPr>
            <w:r w:rsidRPr="00861B31">
              <w:rPr>
                <w:szCs w:val="20"/>
              </w:rPr>
              <w:t xml:space="preserve">Louis DN, </w:t>
            </w:r>
            <w:proofErr w:type="spellStart"/>
            <w:r w:rsidRPr="00861B31">
              <w:rPr>
                <w:szCs w:val="20"/>
              </w:rPr>
              <w:t>Ohgaki</w:t>
            </w:r>
            <w:proofErr w:type="spellEnd"/>
            <w:r w:rsidRPr="00861B31">
              <w:rPr>
                <w:szCs w:val="20"/>
              </w:rPr>
              <w:t xml:space="preserve"> H, </w:t>
            </w:r>
            <w:proofErr w:type="spellStart"/>
            <w:r w:rsidRPr="00861B31">
              <w:rPr>
                <w:szCs w:val="20"/>
              </w:rPr>
              <w:t>Wiestler</w:t>
            </w:r>
            <w:proofErr w:type="spellEnd"/>
            <w:r w:rsidRPr="00861B31">
              <w:rPr>
                <w:szCs w:val="20"/>
              </w:rPr>
              <w:t xml:space="preserve"> OD, et al: WHO Classification of Tumours of the Central Nervous System (</w:t>
            </w:r>
            <w:proofErr w:type="spellStart"/>
            <w:r w:rsidRPr="00861B31">
              <w:rPr>
                <w:szCs w:val="20"/>
              </w:rPr>
              <w:t>ed</w:t>
            </w:r>
            <w:proofErr w:type="spellEnd"/>
            <w:r w:rsidRPr="00861B31">
              <w:rPr>
                <w:szCs w:val="20"/>
              </w:rPr>
              <w:t xml:space="preserve"> 4th). Lyon, IARC Press, 2016</w:t>
            </w:r>
          </w:p>
        </w:tc>
        <w:tc>
          <w:tcPr>
            <w:tcW w:w="2126" w:type="dxa"/>
          </w:tcPr>
          <w:p w14:paraId="1C418207" w14:textId="77777777" w:rsidR="00861B31" w:rsidRPr="00861B31" w:rsidRDefault="00861B31" w:rsidP="00861B31">
            <w:pPr>
              <w:spacing w:before="0" w:after="0"/>
              <w:rPr>
                <w:szCs w:val="20"/>
              </w:rPr>
            </w:pPr>
            <w:r w:rsidRPr="00861B31">
              <w:rPr>
                <w:szCs w:val="20"/>
              </w:rPr>
              <w:t>International practice guidelines endorsing the use of Haarlem recommendations for the classification of CNS tumours.</w:t>
            </w:r>
          </w:p>
        </w:tc>
        <w:tc>
          <w:tcPr>
            <w:tcW w:w="1757" w:type="dxa"/>
          </w:tcPr>
          <w:p w14:paraId="1825FB12" w14:textId="77777777" w:rsidR="00861B31" w:rsidRPr="00861B31" w:rsidRDefault="00861B31" w:rsidP="00861B31">
            <w:pPr>
              <w:spacing w:before="0" w:after="0"/>
              <w:rPr>
                <w:sz w:val="22"/>
              </w:rPr>
            </w:pPr>
            <w:r w:rsidRPr="00861B31">
              <w:rPr>
                <w:sz w:val="22"/>
              </w:rPr>
              <w:t>Book –no URL</w:t>
            </w:r>
          </w:p>
        </w:tc>
        <w:tc>
          <w:tcPr>
            <w:tcW w:w="998" w:type="dxa"/>
          </w:tcPr>
          <w:p w14:paraId="041DA1AF" w14:textId="77777777" w:rsidR="00861B31" w:rsidRPr="00861B31" w:rsidRDefault="00861B31" w:rsidP="00861B31">
            <w:pPr>
              <w:spacing w:before="0" w:after="0"/>
              <w:rPr>
                <w:szCs w:val="20"/>
              </w:rPr>
            </w:pPr>
            <w:r w:rsidRPr="00861B31">
              <w:rPr>
                <w:szCs w:val="20"/>
              </w:rPr>
              <w:t>May 2016</w:t>
            </w:r>
          </w:p>
        </w:tc>
      </w:tr>
      <w:tr w:rsidR="00861B31" w:rsidRPr="00861B31" w14:paraId="7185ECF4" w14:textId="77777777" w:rsidTr="00F91393">
        <w:tc>
          <w:tcPr>
            <w:tcW w:w="567" w:type="dxa"/>
          </w:tcPr>
          <w:p w14:paraId="768A6889" w14:textId="77777777" w:rsidR="00861B31" w:rsidRPr="00861B31" w:rsidRDefault="00861B31" w:rsidP="00861B31">
            <w:pPr>
              <w:spacing w:before="0" w:after="0"/>
              <w:rPr>
                <w:szCs w:val="20"/>
              </w:rPr>
            </w:pPr>
            <w:r w:rsidRPr="00861B31">
              <w:rPr>
                <w:szCs w:val="20"/>
              </w:rPr>
              <w:t>3.</w:t>
            </w:r>
          </w:p>
        </w:tc>
        <w:tc>
          <w:tcPr>
            <w:tcW w:w="1417" w:type="dxa"/>
          </w:tcPr>
          <w:p w14:paraId="36D93719" w14:textId="77777777" w:rsidR="00861B31" w:rsidRPr="00861B31" w:rsidRDefault="00861B31" w:rsidP="00861B31">
            <w:pPr>
              <w:spacing w:before="0" w:after="0"/>
              <w:rPr>
                <w:szCs w:val="20"/>
              </w:rPr>
            </w:pPr>
            <w:r w:rsidRPr="00861B31">
              <w:rPr>
                <w:szCs w:val="20"/>
              </w:rPr>
              <w:t>Study of diagnostic accuracy</w:t>
            </w:r>
          </w:p>
        </w:tc>
        <w:tc>
          <w:tcPr>
            <w:tcW w:w="1843" w:type="dxa"/>
          </w:tcPr>
          <w:p w14:paraId="46238024" w14:textId="77777777" w:rsidR="00861B31" w:rsidRPr="00861B31" w:rsidRDefault="00861B31" w:rsidP="00861B31">
            <w:pPr>
              <w:spacing w:before="0" w:after="0"/>
              <w:rPr>
                <w:szCs w:val="20"/>
              </w:rPr>
            </w:pPr>
            <w:r w:rsidRPr="00861B31">
              <w:rPr>
                <w:szCs w:val="20"/>
              </w:rPr>
              <w:t xml:space="preserve">Cahill DP, Louis DN, </w:t>
            </w:r>
            <w:proofErr w:type="spellStart"/>
            <w:proofErr w:type="gramStart"/>
            <w:r w:rsidRPr="00861B31">
              <w:rPr>
                <w:szCs w:val="20"/>
              </w:rPr>
              <w:t>Cairncross</w:t>
            </w:r>
            <w:proofErr w:type="spellEnd"/>
            <w:proofErr w:type="gramEnd"/>
            <w:r w:rsidRPr="00861B31">
              <w:rPr>
                <w:szCs w:val="20"/>
              </w:rPr>
              <w:t xml:space="preserve"> JG: Molecular background of </w:t>
            </w:r>
            <w:proofErr w:type="spellStart"/>
            <w:r w:rsidRPr="00861B31">
              <w:rPr>
                <w:szCs w:val="20"/>
              </w:rPr>
              <w:t>oligodendroglioma</w:t>
            </w:r>
            <w:proofErr w:type="spellEnd"/>
            <w:r w:rsidRPr="00861B31">
              <w:rPr>
                <w:szCs w:val="20"/>
              </w:rPr>
              <w:t xml:space="preserve">: 1p/19q, IDH, TERT, CIC and FUBP1. CNS </w:t>
            </w:r>
            <w:proofErr w:type="spellStart"/>
            <w:r w:rsidRPr="00861B31">
              <w:rPr>
                <w:szCs w:val="20"/>
              </w:rPr>
              <w:t>Oncol</w:t>
            </w:r>
            <w:proofErr w:type="spellEnd"/>
            <w:r w:rsidRPr="00861B31">
              <w:rPr>
                <w:szCs w:val="20"/>
              </w:rPr>
              <w:t xml:space="preserve"> 4:287-94, 2015</w:t>
            </w:r>
          </w:p>
        </w:tc>
        <w:tc>
          <w:tcPr>
            <w:tcW w:w="2126" w:type="dxa"/>
          </w:tcPr>
          <w:p w14:paraId="5AF7B88C" w14:textId="77777777" w:rsidR="00861B31" w:rsidRPr="00861B31" w:rsidRDefault="00861B31" w:rsidP="00861B31">
            <w:pPr>
              <w:spacing w:before="0" w:after="0"/>
              <w:rPr>
                <w:szCs w:val="20"/>
              </w:rPr>
            </w:pPr>
            <w:r w:rsidRPr="00861B31">
              <w:rPr>
                <w:szCs w:val="20"/>
              </w:rPr>
              <w:t xml:space="preserve">A study into molecular identification of </w:t>
            </w:r>
            <w:proofErr w:type="spellStart"/>
            <w:r w:rsidRPr="00861B31">
              <w:rPr>
                <w:szCs w:val="20"/>
              </w:rPr>
              <w:t>oligodendroglioma</w:t>
            </w:r>
            <w:proofErr w:type="spellEnd"/>
            <w:r w:rsidRPr="00861B31">
              <w:rPr>
                <w:szCs w:val="20"/>
              </w:rPr>
              <w:t xml:space="preserve"> as a subcategory of gliomas. The findings provided a foundation for the consistent diagnosis of the </w:t>
            </w:r>
            <w:proofErr w:type="spellStart"/>
            <w:r w:rsidRPr="00861B31">
              <w:rPr>
                <w:szCs w:val="20"/>
              </w:rPr>
              <w:t>tumor</w:t>
            </w:r>
            <w:proofErr w:type="spellEnd"/>
            <w:r w:rsidRPr="00861B31">
              <w:rPr>
                <w:szCs w:val="20"/>
              </w:rPr>
              <w:t xml:space="preserve"> type, for which there is a strong evidence base for effective treatment with radiation and chemotherapy.</w:t>
            </w:r>
          </w:p>
        </w:tc>
        <w:tc>
          <w:tcPr>
            <w:tcW w:w="1757" w:type="dxa"/>
          </w:tcPr>
          <w:p w14:paraId="6C6FBA09" w14:textId="6642F0D2" w:rsidR="00861B31" w:rsidRPr="00861B31" w:rsidRDefault="00FF46CE" w:rsidP="00861B31">
            <w:pPr>
              <w:spacing w:before="0" w:after="0"/>
              <w:rPr>
                <w:szCs w:val="20"/>
              </w:rPr>
            </w:pPr>
            <w:hyperlink r:id="rId14" w:history="1">
              <w:r w:rsidR="009149BF">
                <w:rPr>
                  <w:color w:val="0000FF" w:themeColor="hyperlink"/>
                  <w:szCs w:val="20"/>
                  <w:u w:val="single"/>
                </w:rPr>
                <w:t xml:space="preserve">Molecular background of </w:t>
              </w:r>
              <w:proofErr w:type="spellStart"/>
              <w:r w:rsidR="009149BF">
                <w:rPr>
                  <w:color w:val="0000FF" w:themeColor="hyperlink"/>
                  <w:szCs w:val="20"/>
                  <w:u w:val="single"/>
                </w:rPr>
                <w:t>oligodendroglioma</w:t>
              </w:r>
              <w:proofErr w:type="spellEnd"/>
              <w:r w:rsidR="009149BF">
                <w:rPr>
                  <w:color w:val="0000FF" w:themeColor="hyperlink"/>
                  <w:szCs w:val="20"/>
                  <w:u w:val="single"/>
                </w:rPr>
                <w:t>: 1p/19q, IDH, TERT, CIC and FUBP1</w:t>
              </w:r>
            </w:hyperlink>
            <w:r w:rsidR="00861B31" w:rsidRPr="00861B31">
              <w:rPr>
                <w:szCs w:val="20"/>
              </w:rPr>
              <w:t xml:space="preserve"> </w:t>
            </w:r>
          </w:p>
        </w:tc>
        <w:tc>
          <w:tcPr>
            <w:tcW w:w="998" w:type="dxa"/>
          </w:tcPr>
          <w:p w14:paraId="1540C9AF" w14:textId="77777777" w:rsidR="00861B31" w:rsidRPr="00861B31" w:rsidRDefault="00861B31" w:rsidP="00861B31">
            <w:pPr>
              <w:spacing w:before="0" w:after="0"/>
              <w:rPr>
                <w:szCs w:val="20"/>
              </w:rPr>
            </w:pPr>
            <w:r w:rsidRPr="00861B31">
              <w:rPr>
                <w:szCs w:val="20"/>
              </w:rPr>
              <w:t>7 Nov 2015</w:t>
            </w:r>
          </w:p>
        </w:tc>
      </w:tr>
      <w:tr w:rsidR="00861B31" w:rsidRPr="00861B31" w14:paraId="11D0BCDD" w14:textId="77777777" w:rsidTr="00F91393">
        <w:tc>
          <w:tcPr>
            <w:tcW w:w="567" w:type="dxa"/>
          </w:tcPr>
          <w:p w14:paraId="39E03730" w14:textId="77777777" w:rsidR="00861B31" w:rsidRPr="00861B31" w:rsidRDefault="00861B31" w:rsidP="00861B31">
            <w:pPr>
              <w:spacing w:before="0" w:after="0"/>
              <w:rPr>
                <w:szCs w:val="20"/>
              </w:rPr>
            </w:pPr>
            <w:r w:rsidRPr="00861B31">
              <w:rPr>
                <w:szCs w:val="20"/>
              </w:rPr>
              <w:t>4.</w:t>
            </w:r>
          </w:p>
        </w:tc>
        <w:tc>
          <w:tcPr>
            <w:tcW w:w="1417" w:type="dxa"/>
          </w:tcPr>
          <w:p w14:paraId="69B211AA" w14:textId="77777777" w:rsidR="00861B31" w:rsidRPr="00861B31" w:rsidRDefault="00861B31" w:rsidP="00861B31">
            <w:pPr>
              <w:spacing w:before="0" w:after="0"/>
              <w:rPr>
                <w:szCs w:val="20"/>
              </w:rPr>
            </w:pPr>
            <w:r w:rsidRPr="00861B31">
              <w:rPr>
                <w:szCs w:val="20"/>
              </w:rPr>
              <w:t>Clinical trial</w:t>
            </w:r>
          </w:p>
        </w:tc>
        <w:tc>
          <w:tcPr>
            <w:tcW w:w="1843" w:type="dxa"/>
          </w:tcPr>
          <w:p w14:paraId="6F5C8FCE" w14:textId="77777777" w:rsidR="00861B31" w:rsidRPr="00861B31" w:rsidRDefault="00861B31" w:rsidP="00861B31">
            <w:pPr>
              <w:autoSpaceDE w:val="0"/>
              <w:autoSpaceDN w:val="0"/>
              <w:adjustRightInd w:val="0"/>
              <w:spacing w:before="0" w:after="0"/>
              <w:rPr>
                <w:szCs w:val="20"/>
              </w:rPr>
            </w:pPr>
            <w:proofErr w:type="gramStart"/>
            <w:r w:rsidRPr="00861B31">
              <w:rPr>
                <w:rFonts w:ascii="Segoe UI" w:hAnsi="Segoe UI" w:cs="Segoe UI"/>
                <w:sz w:val="18"/>
                <w:szCs w:val="18"/>
              </w:rPr>
              <w:t>van</w:t>
            </w:r>
            <w:proofErr w:type="gramEnd"/>
            <w:r w:rsidRPr="00861B31">
              <w:rPr>
                <w:rFonts w:ascii="Segoe UI" w:hAnsi="Segoe UI" w:cs="Segoe UI"/>
                <w:sz w:val="18"/>
                <w:szCs w:val="18"/>
              </w:rPr>
              <w:t xml:space="preserve"> den Bent MJ, </w:t>
            </w:r>
            <w:proofErr w:type="spellStart"/>
            <w:r w:rsidRPr="00861B31">
              <w:rPr>
                <w:rFonts w:ascii="Segoe UI" w:hAnsi="Segoe UI" w:cs="Segoe UI"/>
                <w:sz w:val="18"/>
                <w:szCs w:val="18"/>
              </w:rPr>
              <w:t>Brandes</w:t>
            </w:r>
            <w:proofErr w:type="spellEnd"/>
            <w:r w:rsidRPr="00861B31">
              <w:rPr>
                <w:rFonts w:ascii="Segoe UI" w:hAnsi="Segoe UI" w:cs="Segoe UI"/>
                <w:sz w:val="18"/>
                <w:szCs w:val="18"/>
              </w:rPr>
              <w:t xml:space="preserve"> AA, </w:t>
            </w:r>
            <w:proofErr w:type="spellStart"/>
            <w:r w:rsidRPr="00861B31">
              <w:rPr>
                <w:rFonts w:ascii="Segoe UI" w:hAnsi="Segoe UI" w:cs="Segoe UI"/>
                <w:sz w:val="18"/>
                <w:szCs w:val="18"/>
              </w:rPr>
              <w:t>Taphoorn</w:t>
            </w:r>
            <w:proofErr w:type="spellEnd"/>
            <w:r w:rsidRPr="00861B31">
              <w:rPr>
                <w:rFonts w:ascii="Segoe UI" w:hAnsi="Segoe UI" w:cs="Segoe UI"/>
                <w:sz w:val="18"/>
                <w:szCs w:val="18"/>
              </w:rPr>
              <w:t xml:space="preserve"> MJ, et al. Adjuvant </w:t>
            </w:r>
            <w:proofErr w:type="spellStart"/>
            <w:r w:rsidRPr="00861B31">
              <w:rPr>
                <w:rFonts w:ascii="Segoe UI" w:hAnsi="Segoe UI" w:cs="Segoe UI"/>
                <w:sz w:val="18"/>
                <w:szCs w:val="18"/>
              </w:rPr>
              <w:t>procarbazine</w:t>
            </w:r>
            <w:proofErr w:type="spellEnd"/>
            <w:r w:rsidRPr="00861B31">
              <w:rPr>
                <w:rFonts w:ascii="Segoe UI" w:hAnsi="Segoe UI" w:cs="Segoe UI"/>
                <w:sz w:val="18"/>
                <w:szCs w:val="18"/>
              </w:rPr>
              <w:t xml:space="preserve">, </w:t>
            </w:r>
            <w:proofErr w:type="spellStart"/>
            <w:r w:rsidRPr="00861B31">
              <w:rPr>
                <w:rFonts w:ascii="Segoe UI" w:hAnsi="Segoe UI" w:cs="Segoe UI"/>
                <w:sz w:val="18"/>
                <w:szCs w:val="18"/>
              </w:rPr>
              <w:t>lomustine</w:t>
            </w:r>
            <w:proofErr w:type="spellEnd"/>
            <w:r w:rsidRPr="00861B31">
              <w:rPr>
                <w:rFonts w:ascii="Segoe UI" w:hAnsi="Segoe UI" w:cs="Segoe UI"/>
                <w:sz w:val="18"/>
                <w:szCs w:val="18"/>
              </w:rPr>
              <w:t xml:space="preserve">, and vincristine </w:t>
            </w:r>
            <w:r w:rsidRPr="00861B31">
              <w:rPr>
                <w:rFonts w:ascii="Segoe UI" w:hAnsi="Segoe UI" w:cs="Segoe UI"/>
                <w:sz w:val="18"/>
                <w:szCs w:val="18"/>
              </w:rPr>
              <w:lastRenderedPageBreak/>
              <w:t xml:space="preserve">chemotherapy in newly diagnosed anaplastic </w:t>
            </w:r>
            <w:proofErr w:type="spellStart"/>
            <w:r w:rsidRPr="00861B31">
              <w:rPr>
                <w:rFonts w:ascii="Segoe UI" w:hAnsi="Segoe UI" w:cs="Segoe UI"/>
                <w:sz w:val="18"/>
                <w:szCs w:val="18"/>
              </w:rPr>
              <w:t>oligodendroglioma</w:t>
            </w:r>
            <w:proofErr w:type="spellEnd"/>
            <w:r w:rsidRPr="00861B31">
              <w:rPr>
                <w:rFonts w:ascii="Segoe UI" w:hAnsi="Segoe UI" w:cs="Segoe UI"/>
                <w:sz w:val="18"/>
                <w:szCs w:val="18"/>
              </w:rPr>
              <w:t xml:space="preserve">: long-term follow-up of EORTC brain </w:t>
            </w:r>
            <w:proofErr w:type="spellStart"/>
            <w:r w:rsidRPr="00861B31">
              <w:rPr>
                <w:rFonts w:ascii="Segoe UI" w:hAnsi="Segoe UI" w:cs="Segoe UI"/>
                <w:sz w:val="18"/>
                <w:szCs w:val="18"/>
              </w:rPr>
              <w:t>tumor</w:t>
            </w:r>
            <w:proofErr w:type="spellEnd"/>
            <w:r w:rsidRPr="00861B31">
              <w:rPr>
                <w:rFonts w:ascii="Segoe UI" w:hAnsi="Segoe UI" w:cs="Segoe UI"/>
                <w:sz w:val="18"/>
                <w:szCs w:val="18"/>
              </w:rPr>
              <w:t xml:space="preserve"> group study 26951. J </w:t>
            </w:r>
            <w:proofErr w:type="spellStart"/>
            <w:r w:rsidRPr="00861B31">
              <w:rPr>
                <w:rFonts w:ascii="Segoe UI" w:hAnsi="Segoe UI" w:cs="Segoe UI"/>
                <w:sz w:val="18"/>
                <w:szCs w:val="18"/>
              </w:rPr>
              <w:t>Clin</w:t>
            </w:r>
            <w:proofErr w:type="spellEnd"/>
            <w:r w:rsidRPr="00861B31">
              <w:rPr>
                <w:rFonts w:ascii="Segoe UI" w:hAnsi="Segoe UI" w:cs="Segoe UI"/>
                <w:sz w:val="18"/>
                <w:szCs w:val="18"/>
              </w:rPr>
              <w:t xml:space="preserve"> </w:t>
            </w:r>
            <w:proofErr w:type="spellStart"/>
            <w:r w:rsidRPr="00861B31">
              <w:rPr>
                <w:rFonts w:ascii="Segoe UI" w:hAnsi="Segoe UI" w:cs="Segoe UI"/>
                <w:sz w:val="18"/>
                <w:szCs w:val="18"/>
              </w:rPr>
              <w:t>Oncol</w:t>
            </w:r>
            <w:proofErr w:type="spellEnd"/>
            <w:r w:rsidRPr="00861B31">
              <w:rPr>
                <w:rFonts w:ascii="Segoe UI" w:hAnsi="Segoe UI" w:cs="Segoe UI"/>
                <w:sz w:val="18"/>
                <w:szCs w:val="18"/>
              </w:rPr>
              <w:t>. 2013</w:t>
            </w:r>
            <w:proofErr w:type="gramStart"/>
            <w:r w:rsidRPr="00861B31">
              <w:rPr>
                <w:rFonts w:ascii="Segoe UI" w:hAnsi="Segoe UI" w:cs="Segoe UI"/>
                <w:sz w:val="18"/>
                <w:szCs w:val="18"/>
              </w:rPr>
              <w:t>;31</w:t>
            </w:r>
            <w:proofErr w:type="gramEnd"/>
            <w:r w:rsidRPr="00861B31">
              <w:rPr>
                <w:rFonts w:ascii="Segoe UI" w:hAnsi="Segoe UI" w:cs="Segoe UI"/>
                <w:sz w:val="18"/>
                <w:szCs w:val="18"/>
              </w:rPr>
              <w:t xml:space="preserve">(3):344-50. </w:t>
            </w:r>
          </w:p>
        </w:tc>
        <w:tc>
          <w:tcPr>
            <w:tcW w:w="2126" w:type="dxa"/>
          </w:tcPr>
          <w:p w14:paraId="4D05C500" w14:textId="77777777" w:rsidR="00861B31" w:rsidRPr="00861B31" w:rsidRDefault="00861B31" w:rsidP="00861B31">
            <w:pPr>
              <w:spacing w:before="0" w:after="0"/>
              <w:rPr>
                <w:szCs w:val="20"/>
              </w:rPr>
            </w:pPr>
            <w:r w:rsidRPr="00861B31">
              <w:rPr>
                <w:szCs w:val="20"/>
              </w:rPr>
              <w:lastRenderedPageBreak/>
              <w:t xml:space="preserve">Long-term follow-up findings of a randomized phase III study on the addition of six cycles of </w:t>
            </w:r>
            <w:proofErr w:type="spellStart"/>
            <w:r w:rsidRPr="00861B31">
              <w:rPr>
                <w:szCs w:val="20"/>
              </w:rPr>
              <w:t>procarbazine</w:t>
            </w:r>
            <w:proofErr w:type="spellEnd"/>
            <w:r w:rsidRPr="00861B31">
              <w:rPr>
                <w:szCs w:val="20"/>
              </w:rPr>
              <w:t xml:space="preserve">, </w:t>
            </w:r>
            <w:proofErr w:type="spellStart"/>
            <w:r w:rsidRPr="00861B31">
              <w:rPr>
                <w:szCs w:val="20"/>
              </w:rPr>
              <w:t>lomustine</w:t>
            </w:r>
            <w:proofErr w:type="spellEnd"/>
            <w:r w:rsidRPr="00861B31">
              <w:rPr>
                <w:szCs w:val="20"/>
              </w:rPr>
              <w:t xml:space="preserve">, and </w:t>
            </w:r>
            <w:r w:rsidRPr="00861B31">
              <w:rPr>
                <w:szCs w:val="20"/>
              </w:rPr>
              <w:lastRenderedPageBreak/>
              <w:t xml:space="preserve">vincristine (PCV) chemotherapy to radiotherapy (RT) (368 patients, median follow-up 140 months) In the 80 patients with a 1p/19q </w:t>
            </w:r>
            <w:proofErr w:type="spellStart"/>
            <w:r w:rsidRPr="00861B31">
              <w:rPr>
                <w:szCs w:val="20"/>
              </w:rPr>
              <w:t>codeletion</w:t>
            </w:r>
            <w:proofErr w:type="spellEnd"/>
            <w:r w:rsidRPr="00861B31">
              <w:rPr>
                <w:szCs w:val="20"/>
              </w:rPr>
              <w:t>, OS was increased, demonstrating benefit of adjuvant PCV with RT. IDH mutational status was also of prognostic significance.</w:t>
            </w:r>
          </w:p>
        </w:tc>
        <w:tc>
          <w:tcPr>
            <w:tcW w:w="1757" w:type="dxa"/>
          </w:tcPr>
          <w:p w14:paraId="716371E1" w14:textId="6D489079" w:rsidR="00861B31" w:rsidRPr="00861B31" w:rsidRDefault="00FF46CE" w:rsidP="00861B31">
            <w:pPr>
              <w:autoSpaceDE w:val="0"/>
              <w:autoSpaceDN w:val="0"/>
              <w:adjustRightInd w:val="0"/>
              <w:spacing w:before="0" w:after="0"/>
              <w:rPr>
                <w:rFonts w:ascii="Segoe UI" w:hAnsi="Segoe UI" w:cs="Segoe UI"/>
                <w:sz w:val="18"/>
                <w:szCs w:val="18"/>
              </w:rPr>
            </w:pPr>
            <w:hyperlink r:id="rId15" w:history="1">
              <w:r w:rsidR="00521D30">
                <w:rPr>
                  <w:rFonts w:ascii="Segoe UI" w:hAnsi="Segoe UI" w:cs="Segoe UI"/>
                  <w:color w:val="0000FF" w:themeColor="hyperlink"/>
                  <w:sz w:val="18"/>
                  <w:szCs w:val="18"/>
                  <w:u w:val="single"/>
                </w:rPr>
                <w:t xml:space="preserve">Adjuvant </w:t>
              </w:r>
              <w:proofErr w:type="spellStart"/>
              <w:r w:rsidR="00521D30">
                <w:rPr>
                  <w:rFonts w:ascii="Segoe UI" w:hAnsi="Segoe UI" w:cs="Segoe UI"/>
                  <w:color w:val="0000FF" w:themeColor="hyperlink"/>
                  <w:sz w:val="18"/>
                  <w:szCs w:val="18"/>
                  <w:u w:val="single"/>
                </w:rPr>
                <w:t>Procarbazine</w:t>
              </w:r>
              <w:proofErr w:type="spellEnd"/>
              <w:r w:rsidR="00521D30">
                <w:rPr>
                  <w:rFonts w:ascii="Segoe UI" w:hAnsi="Segoe UI" w:cs="Segoe UI"/>
                  <w:color w:val="0000FF" w:themeColor="hyperlink"/>
                  <w:sz w:val="18"/>
                  <w:szCs w:val="18"/>
                  <w:u w:val="single"/>
                </w:rPr>
                <w:t xml:space="preserve">, </w:t>
              </w:r>
              <w:proofErr w:type="spellStart"/>
              <w:r w:rsidR="00521D30">
                <w:rPr>
                  <w:rFonts w:ascii="Segoe UI" w:hAnsi="Segoe UI" w:cs="Segoe UI"/>
                  <w:color w:val="0000FF" w:themeColor="hyperlink"/>
                  <w:sz w:val="18"/>
                  <w:szCs w:val="18"/>
                  <w:u w:val="single"/>
                </w:rPr>
                <w:t>Lomustine</w:t>
              </w:r>
              <w:proofErr w:type="spellEnd"/>
              <w:r w:rsidR="00521D30">
                <w:rPr>
                  <w:rFonts w:ascii="Segoe UI" w:hAnsi="Segoe UI" w:cs="Segoe UI"/>
                  <w:color w:val="0000FF" w:themeColor="hyperlink"/>
                  <w:sz w:val="18"/>
                  <w:szCs w:val="18"/>
                  <w:u w:val="single"/>
                </w:rPr>
                <w:t xml:space="preserve">, and Vincristine Chemotherapy in Newly Diagnosed Anaplastic </w:t>
              </w:r>
              <w:proofErr w:type="spellStart"/>
              <w:r w:rsidR="00521D30">
                <w:rPr>
                  <w:rFonts w:ascii="Segoe UI" w:hAnsi="Segoe UI" w:cs="Segoe UI"/>
                  <w:color w:val="0000FF" w:themeColor="hyperlink"/>
                  <w:sz w:val="18"/>
                  <w:szCs w:val="18"/>
                  <w:u w:val="single"/>
                </w:rPr>
                <w:lastRenderedPageBreak/>
                <w:t>Oligodendroglioma</w:t>
              </w:r>
              <w:proofErr w:type="spellEnd"/>
              <w:r w:rsidR="00521D30">
                <w:rPr>
                  <w:rFonts w:ascii="Segoe UI" w:hAnsi="Segoe UI" w:cs="Segoe UI"/>
                  <w:color w:val="0000FF" w:themeColor="hyperlink"/>
                  <w:sz w:val="18"/>
                  <w:szCs w:val="18"/>
                  <w:u w:val="single"/>
                </w:rPr>
                <w:t xml:space="preserve">: Long-Term Follow-Up of EORTC Brain </w:t>
              </w:r>
              <w:proofErr w:type="spellStart"/>
              <w:r w:rsidR="00521D30">
                <w:rPr>
                  <w:rFonts w:ascii="Segoe UI" w:hAnsi="Segoe UI" w:cs="Segoe UI"/>
                  <w:color w:val="0000FF" w:themeColor="hyperlink"/>
                  <w:sz w:val="18"/>
                  <w:szCs w:val="18"/>
                  <w:u w:val="single"/>
                </w:rPr>
                <w:t>Tumor</w:t>
              </w:r>
              <w:proofErr w:type="spellEnd"/>
              <w:r w:rsidR="00521D30">
                <w:rPr>
                  <w:rFonts w:ascii="Segoe UI" w:hAnsi="Segoe UI" w:cs="Segoe UI"/>
                  <w:color w:val="0000FF" w:themeColor="hyperlink"/>
                  <w:sz w:val="18"/>
                  <w:szCs w:val="18"/>
                  <w:u w:val="single"/>
                </w:rPr>
                <w:t xml:space="preserve"> Group Study 26951</w:t>
              </w:r>
            </w:hyperlink>
          </w:p>
          <w:p w14:paraId="0F14BFA0" w14:textId="77777777" w:rsidR="00861B31" w:rsidRPr="00861B31" w:rsidRDefault="00861B31" w:rsidP="00861B31">
            <w:pPr>
              <w:spacing w:before="0" w:after="0"/>
              <w:rPr>
                <w:sz w:val="22"/>
              </w:rPr>
            </w:pPr>
            <w:r w:rsidRPr="00861B31">
              <w:rPr>
                <w:sz w:val="22"/>
              </w:rPr>
              <w:t xml:space="preserve"> </w:t>
            </w:r>
          </w:p>
        </w:tc>
        <w:tc>
          <w:tcPr>
            <w:tcW w:w="998" w:type="dxa"/>
          </w:tcPr>
          <w:p w14:paraId="2A080C68" w14:textId="77777777" w:rsidR="00861B31" w:rsidRPr="00861B31" w:rsidRDefault="00861B31" w:rsidP="00861B31">
            <w:pPr>
              <w:spacing w:before="0" w:after="0"/>
              <w:rPr>
                <w:szCs w:val="20"/>
              </w:rPr>
            </w:pPr>
            <w:r w:rsidRPr="00861B31">
              <w:rPr>
                <w:szCs w:val="20"/>
              </w:rPr>
              <w:lastRenderedPageBreak/>
              <w:t>2013</w:t>
            </w:r>
          </w:p>
        </w:tc>
      </w:tr>
      <w:tr w:rsidR="00861B31" w:rsidRPr="00861B31" w14:paraId="1FE8CFA9" w14:textId="77777777" w:rsidTr="00F91393">
        <w:tc>
          <w:tcPr>
            <w:tcW w:w="567" w:type="dxa"/>
          </w:tcPr>
          <w:p w14:paraId="0FEA1DEA" w14:textId="77777777" w:rsidR="00861B31" w:rsidRPr="00861B31" w:rsidRDefault="00861B31" w:rsidP="00861B31">
            <w:pPr>
              <w:spacing w:before="0" w:after="0"/>
              <w:rPr>
                <w:szCs w:val="20"/>
              </w:rPr>
            </w:pPr>
            <w:r w:rsidRPr="00861B31">
              <w:rPr>
                <w:szCs w:val="20"/>
              </w:rPr>
              <w:lastRenderedPageBreak/>
              <w:t>5.</w:t>
            </w:r>
          </w:p>
        </w:tc>
        <w:tc>
          <w:tcPr>
            <w:tcW w:w="1417" w:type="dxa"/>
          </w:tcPr>
          <w:p w14:paraId="238A5341" w14:textId="77777777" w:rsidR="00861B31" w:rsidRPr="00861B31" w:rsidRDefault="00861B31" w:rsidP="00861B31">
            <w:pPr>
              <w:spacing w:before="0" w:after="0"/>
              <w:rPr>
                <w:szCs w:val="20"/>
              </w:rPr>
            </w:pPr>
            <w:proofErr w:type="spellStart"/>
            <w:r w:rsidRPr="00861B31">
              <w:rPr>
                <w:szCs w:val="20"/>
              </w:rPr>
              <w:t>Meta analysis</w:t>
            </w:r>
            <w:proofErr w:type="spellEnd"/>
          </w:p>
        </w:tc>
        <w:tc>
          <w:tcPr>
            <w:tcW w:w="1843" w:type="dxa"/>
          </w:tcPr>
          <w:p w14:paraId="0CA8B5C4" w14:textId="77777777" w:rsidR="00861B31" w:rsidRPr="00861B31" w:rsidRDefault="00861B31" w:rsidP="00861B31">
            <w:pPr>
              <w:autoSpaceDE w:val="0"/>
              <w:autoSpaceDN w:val="0"/>
              <w:adjustRightInd w:val="0"/>
              <w:spacing w:before="0" w:after="0"/>
              <w:rPr>
                <w:rFonts w:ascii="Segoe UI" w:hAnsi="Segoe UI" w:cs="Segoe UI"/>
                <w:sz w:val="18"/>
                <w:szCs w:val="18"/>
              </w:rPr>
            </w:pPr>
            <w:r w:rsidRPr="00861B31">
              <w:rPr>
                <w:rFonts w:ascii="Segoe UI" w:hAnsi="Segoe UI" w:cs="Segoe UI"/>
                <w:sz w:val="18"/>
                <w:szCs w:val="18"/>
              </w:rPr>
              <w:t xml:space="preserve">Hu N, Richards R, Jensen R. Role of chromosomal 1p/19q co-deletion on the prognosis of </w:t>
            </w:r>
            <w:proofErr w:type="spellStart"/>
            <w:r w:rsidRPr="00861B31">
              <w:rPr>
                <w:rFonts w:ascii="Segoe UI" w:hAnsi="Segoe UI" w:cs="Segoe UI"/>
                <w:sz w:val="18"/>
                <w:szCs w:val="18"/>
              </w:rPr>
              <w:t>oligodendrogliomas</w:t>
            </w:r>
            <w:proofErr w:type="spellEnd"/>
            <w:r w:rsidRPr="00861B31">
              <w:rPr>
                <w:rFonts w:ascii="Segoe UI" w:hAnsi="Segoe UI" w:cs="Segoe UI"/>
                <w:sz w:val="18"/>
                <w:szCs w:val="18"/>
              </w:rPr>
              <w:t>: A systematic review and meta-analysis. Interdisciplinary Neurosurgery. 2016</w:t>
            </w:r>
            <w:proofErr w:type="gramStart"/>
            <w:r w:rsidRPr="00861B31">
              <w:rPr>
                <w:rFonts w:ascii="Segoe UI" w:hAnsi="Segoe UI" w:cs="Segoe UI"/>
                <w:sz w:val="18"/>
                <w:szCs w:val="18"/>
              </w:rPr>
              <w:t>;5:58</w:t>
            </w:r>
            <w:proofErr w:type="gramEnd"/>
            <w:r w:rsidRPr="00861B31">
              <w:rPr>
                <w:rFonts w:ascii="Segoe UI" w:hAnsi="Segoe UI" w:cs="Segoe UI"/>
                <w:sz w:val="18"/>
                <w:szCs w:val="18"/>
              </w:rPr>
              <w:t xml:space="preserve">-63. </w:t>
            </w:r>
          </w:p>
          <w:p w14:paraId="3F51C8D1" w14:textId="77777777" w:rsidR="00861B31" w:rsidRPr="00861B31" w:rsidRDefault="00861B31" w:rsidP="00861B31">
            <w:pPr>
              <w:autoSpaceDE w:val="0"/>
              <w:autoSpaceDN w:val="0"/>
              <w:adjustRightInd w:val="0"/>
              <w:spacing w:before="0" w:after="0"/>
              <w:rPr>
                <w:rFonts w:ascii="Segoe UI" w:hAnsi="Segoe UI" w:cs="Segoe UI"/>
                <w:sz w:val="18"/>
                <w:szCs w:val="18"/>
              </w:rPr>
            </w:pPr>
          </w:p>
        </w:tc>
        <w:tc>
          <w:tcPr>
            <w:tcW w:w="2126" w:type="dxa"/>
          </w:tcPr>
          <w:p w14:paraId="3F91BEA3" w14:textId="77777777" w:rsidR="00861B31" w:rsidRPr="00861B31" w:rsidRDefault="00861B31" w:rsidP="00861B31">
            <w:pPr>
              <w:spacing w:before="0" w:after="0"/>
              <w:rPr>
                <w:szCs w:val="20"/>
              </w:rPr>
            </w:pPr>
            <w:r w:rsidRPr="00861B31">
              <w:rPr>
                <w:szCs w:val="20"/>
              </w:rPr>
              <w:t xml:space="preserve">A systematic review and meta-analysis on the prognostic effect of 1p/19q co-deletion affects prognoses of WHO grade II/III </w:t>
            </w:r>
            <w:proofErr w:type="spellStart"/>
            <w:r w:rsidRPr="00861B31">
              <w:rPr>
                <w:szCs w:val="20"/>
              </w:rPr>
              <w:t>oligodendrogliomas</w:t>
            </w:r>
            <w:proofErr w:type="spellEnd"/>
            <w:r w:rsidRPr="00861B31">
              <w:rPr>
                <w:szCs w:val="20"/>
              </w:rPr>
              <w:t>.</w:t>
            </w:r>
          </w:p>
          <w:p w14:paraId="554B3C58" w14:textId="77777777" w:rsidR="00861B31" w:rsidRPr="00861B31" w:rsidRDefault="00861B31" w:rsidP="00861B31">
            <w:pPr>
              <w:spacing w:before="0" w:after="0"/>
              <w:rPr>
                <w:szCs w:val="20"/>
              </w:rPr>
            </w:pPr>
            <w:r w:rsidRPr="00861B31">
              <w:rPr>
                <w:szCs w:val="20"/>
              </w:rPr>
              <w:t>The study demonstrated the beneficial prognosis of chromosomal 1p/19q co-deletion in these tumours.</w:t>
            </w:r>
          </w:p>
        </w:tc>
        <w:tc>
          <w:tcPr>
            <w:tcW w:w="1757" w:type="dxa"/>
          </w:tcPr>
          <w:p w14:paraId="4256E099" w14:textId="60CF5DD1" w:rsidR="00861B31" w:rsidRPr="00861B31" w:rsidRDefault="00FF46CE" w:rsidP="00861B31">
            <w:pPr>
              <w:autoSpaceDE w:val="0"/>
              <w:autoSpaceDN w:val="0"/>
              <w:adjustRightInd w:val="0"/>
              <w:spacing w:before="0" w:after="0"/>
              <w:rPr>
                <w:rFonts w:ascii="Segoe UI" w:hAnsi="Segoe UI" w:cs="Segoe UI"/>
                <w:sz w:val="18"/>
                <w:szCs w:val="18"/>
              </w:rPr>
            </w:pPr>
            <w:hyperlink r:id="rId16" w:history="1">
              <w:r w:rsidR="00521D30">
                <w:rPr>
                  <w:rFonts w:ascii="Segoe UI" w:hAnsi="Segoe UI" w:cs="Segoe UI"/>
                  <w:color w:val="0000FF" w:themeColor="hyperlink"/>
                  <w:sz w:val="18"/>
                  <w:szCs w:val="18"/>
                  <w:u w:val="single"/>
                </w:rPr>
                <w:t xml:space="preserve">Role of chromosomal 1p/19q co-deletion on the prognosis of </w:t>
              </w:r>
              <w:proofErr w:type="spellStart"/>
              <w:r w:rsidR="00521D30">
                <w:rPr>
                  <w:rFonts w:ascii="Segoe UI" w:hAnsi="Segoe UI" w:cs="Segoe UI"/>
                  <w:color w:val="0000FF" w:themeColor="hyperlink"/>
                  <w:sz w:val="18"/>
                  <w:szCs w:val="18"/>
                  <w:u w:val="single"/>
                </w:rPr>
                <w:t>oligodendrogliomas</w:t>
              </w:r>
              <w:proofErr w:type="spellEnd"/>
              <w:r w:rsidR="00521D30">
                <w:rPr>
                  <w:rFonts w:ascii="Segoe UI" w:hAnsi="Segoe UI" w:cs="Segoe UI"/>
                  <w:color w:val="0000FF" w:themeColor="hyperlink"/>
                  <w:sz w:val="18"/>
                  <w:szCs w:val="18"/>
                  <w:u w:val="single"/>
                </w:rPr>
                <w:t>: A systematic review and meta-analysis</w:t>
              </w:r>
            </w:hyperlink>
          </w:p>
        </w:tc>
        <w:tc>
          <w:tcPr>
            <w:tcW w:w="998" w:type="dxa"/>
          </w:tcPr>
          <w:p w14:paraId="19F32540" w14:textId="77777777" w:rsidR="00861B31" w:rsidRPr="00861B31" w:rsidRDefault="00861B31" w:rsidP="00861B31">
            <w:pPr>
              <w:spacing w:before="0" w:after="0"/>
              <w:rPr>
                <w:szCs w:val="20"/>
              </w:rPr>
            </w:pPr>
            <w:r w:rsidRPr="00861B31">
              <w:rPr>
                <w:szCs w:val="20"/>
              </w:rPr>
              <w:t>2016</w:t>
            </w:r>
          </w:p>
        </w:tc>
      </w:tr>
      <w:tr w:rsidR="00861B31" w:rsidRPr="00861B31" w14:paraId="75DE075A" w14:textId="77777777" w:rsidTr="00F91393">
        <w:tc>
          <w:tcPr>
            <w:tcW w:w="567" w:type="dxa"/>
          </w:tcPr>
          <w:p w14:paraId="41733DD7" w14:textId="77777777" w:rsidR="00861B31" w:rsidRPr="00861B31" w:rsidRDefault="00861B31" w:rsidP="00861B31">
            <w:pPr>
              <w:spacing w:before="0" w:after="0"/>
              <w:rPr>
                <w:szCs w:val="20"/>
              </w:rPr>
            </w:pPr>
            <w:r w:rsidRPr="00861B31">
              <w:rPr>
                <w:szCs w:val="20"/>
              </w:rPr>
              <w:t>6.</w:t>
            </w:r>
          </w:p>
        </w:tc>
        <w:tc>
          <w:tcPr>
            <w:tcW w:w="1417" w:type="dxa"/>
          </w:tcPr>
          <w:p w14:paraId="7D184AD3" w14:textId="77777777" w:rsidR="00861B31" w:rsidRPr="00861B31" w:rsidRDefault="00861B31" w:rsidP="00861B31">
            <w:pPr>
              <w:spacing w:before="0" w:after="0"/>
              <w:rPr>
                <w:szCs w:val="20"/>
              </w:rPr>
            </w:pPr>
            <w:r w:rsidRPr="00861B31">
              <w:rPr>
                <w:szCs w:val="20"/>
              </w:rPr>
              <w:t>Observational study</w:t>
            </w:r>
          </w:p>
        </w:tc>
        <w:tc>
          <w:tcPr>
            <w:tcW w:w="1843" w:type="dxa"/>
          </w:tcPr>
          <w:p w14:paraId="27FB8C2C" w14:textId="77777777" w:rsidR="00861B31" w:rsidRPr="00861B31" w:rsidRDefault="00861B31" w:rsidP="00861B31">
            <w:pPr>
              <w:spacing w:before="0" w:after="0"/>
              <w:rPr>
                <w:szCs w:val="20"/>
              </w:rPr>
            </w:pPr>
            <w:proofErr w:type="spellStart"/>
            <w:r w:rsidRPr="00861B31">
              <w:rPr>
                <w:rFonts w:ascii="Segoe UI" w:hAnsi="Segoe UI" w:cs="Segoe UI"/>
                <w:sz w:val="18"/>
                <w:szCs w:val="18"/>
              </w:rPr>
              <w:t>Staedtke</w:t>
            </w:r>
            <w:proofErr w:type="spellEnd"/>
            <w:r w:rsidRPr="00861B31">
              <w:rPr>
                <w:rFonts w:ascii="Segoe UI" w:hAnsi="Segoe UI" w:cs="Segoe UI"/>
                <w:sz w:val="18"/>
                <w:szCs w:val="18"/>
              </w:rPr>
              <w:t xml:space="preserve"> V, </w:t>
            </w:r>
            <w:proofErr w:type="spellStart"/>
            <w:r w:rsidRPr="00861B31">
              <w:rPr>
                <w:rFonts w:ascii="Segoe UI" w:hAnsi="Segoe UI" w:cs="Segoe UI"/>
                <w:sz w:val="18"/>
                <w:szCs w:val="18"/>
              </w:rPr>
              <w:t>Dzaye</w:t>
            </w:r>
            <w:proofErr w:type="spellEnd"/>
            <w:r w:rsidRPr="00861B31">
              <w:rPr>
                <w:rFonts w:ascii="Segoe UI" w:hAnsi="Segoe UI" w:cs="Segoe UI"/>
                <w:sz w:val="18"/>
                <w:szCs w:val="18"/>
              </w:rPr>
              <w:t xml:space="preserve"> ODA, </w:t>
            </w:r>
            <w:proofErr w:type="spellStart"/>
            <w:r w:rsidRPr="00861B31">
              <w:rPr>
                <w:rFonts w:ascii="Segoe UI" w:hAnsi="Segoe UI" w:cs="Segoe UI"/>
                <w:sz w:val="18"/>
                <w:szCs w:val="18"/>
              </w:rPr>
              <w:t>Holdhoff</w:t>
            </w:r>
            <w:proofErr w:type="spellEnd"/>
            <w:r w:rsidRPr="00861B31">
              <w:rPr>
                <w:rFonts w:ascii="Segoe UI" w:hAnsi="Segoe UI" w:cs="Segoe UI"/>
                <w:sz w:val="18"/>
                <w:szCs w:val="18"/>
              </w:rPr>
              <w:t xml:space="preserve"> M. Actionable Molecular Biomarkers in Primary Brain </w:t>
            </w:r>
            <w:proofErr w:type="spellStart"/>
            <w:r w:rsidRPr="00861B31">
              <w:rPr>
                <w:rFonts w:ascii="Segoe UI" w:hAnsi="Segoe UI" w:cs="Segoe UI"/>
                <w:sz w:val="18"/>
                <w:szCs w:val="18"/>
              </w:rPr>
              <w:t>Tumors</w:t>
            </w:r>
            <w:proofErr w:type="spellEnd"/>
            <w:r w:rsidRPr="00861B31">
              <w:rPr>
                <w:rFonts w:ascii="Segoe UI" w:hAnsi="Segoe UI" w:cs="Segoe UI"/>
                <w:sz w:val="18"/>
                <w:szCs w:val="18"/>
              </w:rPr>
              <w:t>. Trends Cancer. 2016</w:t>
            </w:r>
            <w:proofErr w:type="gramStart"/>
            <w:r w:rsidRPr="00861B31">
              <w:rPr>
                <w:rFonts w:ascii="Segoe UI" w:hAnsi="Segoe UI" w:cs="Segoe UI"/>
                <w:sz w:val="18"/>
                <w:szCs w:val="18"/>
              </w:rPr>
              <w:t>;2</w:t>
            </w:r>
            <w:proofErr w:type="gramEnd"/>
            <w:r w:rsidRPr="00861B31">
              <w:rPr>
                <w:rFonts w:ascii="Segoe UI" w:hAnsi="Segoe UI" w:cs="Segoe UI"/>
                <w:sz w:val="18"/>
                <w:szCs w:val="18"/>
              </w:rPr>
              <w:t xml:space="preserve">(7):338-49. </w:t>
            </w:r>
          </w:p>
        </w:tc>
        <w:tc>
          <w:tcPr>
            <w:tcW w:w="2126" w:type="dxa"/>
          </w:tcPr>
          <w:p w14:paraId="783D2FD9" w14:textId="77777777" w:rsidR="00861B31" w:rsidRPr="00861B31" w:rsidRDefault="00861B31" w:rsidP="00861B31">
            <w:pPr>
              <w:spacing w:before="0" w:after="0"/>
              <w:rPr>
                <w:szCs w:val="20"/>
              </w:rPr>
            </w:pPr>
            <w:r w:rsidRPr="00861B31">
              <w:rPr>
                <w:szCs w:val="20"/>
              </w:rPr>
              <w:t>Study of actionable biomarkers available in the diagnosis of brain tumours. (</w:t>
            </w:r>
            <w:proofErr w:type="spellStart"/>
            <w:r w:rsidRPr="00861B31">
              <w:rPr>
                <w:szCs w:val="20"/>
              </w:rPr>
              <w:t>i</w:t>
            </w:r>
            <w:proofErr w:type="spellEnd"/>
            <w:r w:rsidRPr="00861B31">
              <w:rPr>
                <w:szCs w:val="20"/>
              </w:rPr>
              <w:t xml:space="preserve">) MGMT promoter methylation as a prognostic and predictive marker in glioblastoma; (ii) </w:t>
            </w:r>
            <w:proofErr w:type="spellStart"/>
            <w:r w:rsidRPr="00861B31">
              <w:rPr>
                <w:szCs w:val="20"/>
              </w:rPr>
              <w:t>codeletion</w:t>
            </w:r>
            <w:proofErr w:type="spellEnd"/>
            <w:r w:rsidRPr="00861B31">
              <w:rPr>
                <w:szCs w:val="20"/>
              </w:rPr>
              <w:t xml:space="preserve"> of 1p and 19q differentiating </w:t>
            </w:r>
            <w:proofErr w:type="spellStart"/>
            <w:r w:rsidRPr="00861B31">
              <w:rPr>
                <w:szCs w:val="20"/>
              </w:rPr>
              <w:t>oligodendrogliomas</w:t>
            </w:r>
            <w:proofErr w:type="spellEnd"/>
            <w:r w:rsidRPr="00861B31">
              <w:rPr>
                <w:szCs w:val="20"/>
              </w:rPr>
              <w:t xml:space="preserve"> from </w:t>
            </w:r>
            <w:proofErr w:type="spellStart"/>
            <w:r w:rsidRPr="00861B31">
              <w:rPr>
                <w:szCs w:val="20"/>
              </w:rPr>
              <w:t>astrocytomas</w:t>
            </w:r>
            <w:proofErr w:type="spellEnd"/>
            <w:r w:rsidRPr="00861B31">
              <w:rPr>
                <w:szCs w:val="20"/>
              </w:rPr>
              <w:t>; (iii) IDH1/2 mutations; and (iv) select pathway-associated mutations.</w:t>
            </w:r>
          </w:p>
        </w:tc>
        <w:tc>
          <w:tcPr>
            <w:tcW w:w="1757" w:type="dxa"/>
          </w:tcPr>
          <w:p w14:paraId="5E619D0E" w14:textId="7D8776C9" w:rsidR="00861B31" w:rsidRPr="00861B31" w:rsidRDefault="00FF46CE" w:rsidP="00861B31">
            <w:pPr>
              <w:spacing w:before="0" w:after="0"/>
              <w:rPr>
                <w:szCs w:val="20"/>
              </w:rPr>
            </w:pPr>
            <w:hyperlink r:id="rId17" w:history="1">
              <w:r w:rsidR="00521D30">
                <w:rPr>
                  <w:rFonts w:ascii="Segoe UI" w:hAnsi="Segoe UI" w:cs="Segoe UI"/>
                  <w:color w:val="0000FF" w:themeColor="hyperlink"/>
                  <w:sz w:val="18"/>
                  <w:szCs w:val="18"/>
                  <w:u w:val="single"/>
                </w:rPr>
                <w:t xml:space="preserve">Actionable Molecular Biomarkers in Primary Brain </w:t>
              </w:r>
              <w:proofErr w:type="spellStart"/>
              <w:r w:rsidR="00521D30">
                <w:rPr>
                  <w:rFonts w:ascii="Segoe UI" w:hAnsi="Segoe UI" w:cs="Segoe UI"/>
                  <w:color w:val="0000FF" w:themeColor="hyperlink"/>
                  <w:sz w:val="18"/>
                  <w:szCs w:val="18"/>
                  <w:u w:val="single"/>
                </w:rPr>
                <w:t>Tumors</w:t>
              </w:r>
              <w:proofErr w:type="spellEnd"/>
            </w:hyperlink>
          </w:p>
        </w:tc>
        <w:tc>
          <w:tcPr>
            <w:tcW w:w="998" w:type="dxa"/>
          </w:tcPr>
          <w:p w14:paraId="61D2FA6D" w14:textId="77777777" w:rsidR="00861B31" w:rsidRPr="00861B31" w:rsidRDefault="00861B31" w:rsidP="00861B31">
            <w:pPr>
              <w:spacing w:before="0" w:after="0"/>
              <w:rPr>
                <w:szCs w:val="20"/>
              </w:rPr>
            </w:pPr>
            <w:r w:rsidRPr="00861B31">
              <w:rPr>
                <w:szCs w:val="20"/>
              </w:rPr>
              <w:t>2016</w:t>
            </w:r>
          </w:p>
        </w:tc>
      </w:tr>
      <w:tr w:rsidR="00861B31" w:rsidRPr="00861B31" w14:paraId="21D47B6D" w14:textId="77777777" w:rsidTr="00F91393">
        <w:tc>
          <w:tcPr>
            <w:tcW w:w="567" w:type="dxa"/>
          </w:tcPr>
          <w:p w14:paraId="61CD0D24" w14:textId="77777777" w:rsidR="00861B31" w:rsidRPr="00861B31" w:rsidRDefault="00861B31" w:rsidP="00861B31">
            <w:pPr>
              <w:spacing w:before="0" w:after="0"/>
              <w:rPr>
                <w:szCs w:val="20"/>
              </w:rPr>
            </w:pPr>
            <w:r w:rsidRPr="00861B31">
              <w:rPr>
                <w:szCs w:val="20"/>
              </w:rPr>
              <w:t>7.</w:t>
            </w:r>
          </w:p>
        </w:tc>
        <w:tc>
          <w:tcPr>
            <w:tcW w:w="1417" w:type="dxa"/>
          </w:tcPr>
          <w:p w14:paraId="127E0B40" w14:textId="77777777" w:rsidR="00861B31" w:rsidRPr="00861B31" w:rsidRDefault="00861B31" w:rsidP="00861B31">
            <w:pPr>
              <w:spacing w:before="0" w:after="0"/>
              <w:rPr>
                <w:szCs w:val="20"/>
              </w:rPr>
            </w:pPr>
            <w:r w:rsidRPr="00861B31">
              <w:rPr>
                <w:szCs w:val="20"/>
              </w:rPr>
              <w:t>Observational study</w:t>
            </w:r>
          </w:p>
        </w:tc>
        <w:tc>
          <w:tcPr>
            <w:tcW w:w="1843" w:type="dxa"/>
          </w:tcPr>
          <w:p w14:paraId="088262AE" w14:textId="77777777" w:rsidR="00861B31" w:rsidRPr="00861B31" w:rsidRDefault="00861B31" w:rsidP="00861B31">
            <w:pPr>
              <w:spacing w:before="0" w:after="0"/>
              <w:rPr>
                <w:szCs w:val="20"/>
              </w:rPr>
            </w:pPr>
            <w:r w:rsidRPr="00861B31">
              <w:rPr>
                <w:szCs w:val="20"/>
              </w:rPr>
              <w:t>Rare Cancers Australia: Just a Little More Time Rare Cancers Update Report. 2016</w:t>
            </w:r>
          </w:p>
        </w:tc>
        <w:tc>
          <w:tcPr>
            <w:tcW w:w="2126" w:type="dxa"/>
          </w:tcPr>
          <w:p w14:paraId="0D106B2E" w14:textId="77777777" w:rsidR="00861B31" w:rsidRPr="00861B31" w:rsidRDefault="00861B31" w:rsidP="00861B31">
            <w:pPr>
              <w:spacing w:before="0" w:after="0"/>
              <w:rPr>
                <w:szCs w:val="20"/>
              </w:rPr>
            </w:pPr>
            <w:r w:rsidRPr="00861B31">
              <w:rPr>
                <w:szCs w:val="20"/>
              </w:rPr>
              <w:t xml:space="preserve">A review of available cancer data investigating the disparities existing for incidence, mortality and survival across the cancer spectrum. The study provided a definition for rare </w:t>
            </w:r>
            <w:r w:rsidRPr="00861B31">
              <w:rPr>
                <w:szCs w:val="20"/>
              </w:rPr>
              <w:lastRenderedPageBreak/>
              <w:t>cancers, and the burden of disease that rare and less common cancers pose across all ages in Australia</w:t>
            </w:r>
          </w:p>
        </w:tc>
        <w:tc>
          <w:tcPr>
            <w:tcW w:w="1757" w:type="dxa"/>
          </w:tcPr>
          <w:p w14:paraId="49EC7F81" w14:textId="24A2F6E0" w:rsidR="00861B31" w:rsidRPr="00861B31" w:rsidRDefault="00FF46CE" w:rsidP="00861B31">
            <w:pPr>
              <w:spacing w:before="0" w:after="0"/>
              <w:rPr>
                <w:szCs w:val="20"/>
              </w:rPr>
            </w:pPr>
            <w:hyperlink r:id="rId18" w:history="1">
              <w:r w:rsidR="00521D30">
                <w:rPr>
                  <w:color w:val="0000FF" w:themeColor="hyperlink"/>
                  <w:szCs w:val="20"/>
                  <w:u w:val="single"/>
                </w:rPr>
                <w:t>Just a Little More Time Rare Cancers Update Report</w:t>
              </w:r>
            </w:hyperlink>
            <w:r w:rsidR="00861B31" w:rsidRPr="00861B31">
              <w:rPr>
                <w:szCs w:val="20"/>
              </w:rPr>
              <w:t xml:space="preserve"> </w:t>
            </w:r>
          </w:p>
        </w:tc>
        <w:tc>
          <w:tcPr>
            <w:tcW w:w="998" w:type="dxa"/>
          </w:tcPr>
          <w:p w14:paraId="10E44FC2" w14:textId="77777777" w:rsidR="00861B31" w:rsidRPr="00861B31" w:rsidRDefault="00861B31" w:rsidP="00861B31">
            <w:pPr>
              <w:spacing w:before="0" w:after="0"/>
              <w:rPr>
                <w:szCs w:val="20"/>
              </w:rPr>
            </w:pPr>
            <w:r w:rsidRPr="00861B31">
              <w:rPr>
                <w:szCs w:val="20"/>
              </w:rPr>
              <w:t>2016</w:t>
            </w:r>
          </w:p>
        </w:tc>
      </w:tr>
      <w:tr w:rsidR="00861B31" w:rsidRPr="00861B31" w14:paraId="760F62CB" w14:textId="77777777" w:rsidTr="00F91393">
        <w:tc>
          <w:tcPr>
            <w:tcW w:w="567" w:type="dxa"/>
          </w:tcPr>
          <w:p w14:paraId="6F8FD60B" w14:textId="77777777" w:rsidR="00861B31" w:rsidRPr="00861B31" w:rsidRDefault="00861B31" w:rsidP="00861B31">
            <w:pPr>
              <w:spacing w:before="0" w:after="0"/>
              <w:rPr>
                <w:szCs w:val="20"/>
              </w:rPr>
            </w:pPr>
            <w:r w:rsidRPr="00861B31">
              <w:rPr>
                <w:szCs w:val="20"/>
              </w:rPr>
              <w:lastRenderedPageBreak/>
              <w:t>8.</w:t>
            </w:r>
          </w:p>
        </w:tc>
        <w:tc>
          <w:tcPr>
            <w:tcW w:w="1417" w:type="dxa"/>
          </w:tcPr>
          <w:p w14:paraId="7C134ED7" w14:textId="77777777" w:rsidR="00861B31" w:rsidRPr="00861B31" w:rsidRDefault="00861B31" w:rsidP="00861B31">
            <w:pPr>
              <w:spacing w:before="0" w:after="0"/>
              <w:rPr>
                <w:szCs w:val="20"/>
              </w:rPr>
            </w:pPr>
            <w:r w:rsidRPr="00861B31">
              <w:rPr>
                <w:szCs w:val="20"/>
              </w:rPr>
              <w:t>Health economics study</w:t>
            </w:r>
          </w:p>
        </w:tc>
        <w:tc>
          <w:tcPr>
            <w:tcW w:w="1843" w:type="dxa"/>
          </w:tcPr>
          <w:p w14:paraId="0BC48F36" w14:textId="77777777" w:rsidR="00861B31" w:rsidRPr="00861B31" w:rsidRDefault="00861B31" w:rsidP="00861B31">
            <w:pPr>
              <w:spacing w:before="0" w:after="0"/>
              <w:rPr>
                <w:szCs w:val="20"/>
              </w:rPr>
            </w:pPr>
            <w:r w:rsidRPr="00861B31">
              <w:rPr>
                <w:szCs w:val="20"/>
              </w:rPr>
              <w:t xml:space="preserve">Sabatini LM, Mathews C, </w:t>
            </w:r>
            <w:proofErr w:type="spellStart"/>
            <w:r w:rsidRPr="00861B31">
              <w:rPr>
                <w:szCs w:val="20"/>
              </w:rPr>
              <w:t>Ptak</w:t>
            </w:r>
            <w:proofErr w:type="spellEnd"/>
            <w:r w:rsidRPr="00861B31">
              <w:rPr>
                <w:szCs w:val="20"/>
              </w:rPr>
              <w:t xml:space="preserve"> D, et al: Genomic Sequencing Procedure </w:t>
            </w:r>
            <w:proofErr w:type="spellStart"/>
            <w:r w:rsidRPr="00861B31">
              <w:rPr>
                <w:szCs w:val="20"/>
              </w:rPr>
              <w:t>Microcosting</w:t>
            </w:r>
            <w:proofErr w:type="spellEnd"/>
            <w:r w:rsidRPr="00861B31">
              <w:rPr>
                <w:szCs w:val="20"/>
              </w:rPr>
              <w:t xml:space="preserve"> Analysis and Health Economic Cost-Impact Analysis: A Report of the Association for Molecular Pathology. J of </w:t>
            </w:r>
            <w:proofErr w:type="spellStart"/>
            <w:r w:rsidRPr="00861B31">
              <w:rPr>
                <w:szCs w:val="20"/>
              </w:rPr>
              <w:t>Mol</w:t>
            </w:r>
            <w:proofErr w:type="spellEnd"/>
            <w:r w:rsidRPr="00861B31">
              <w:rPr>
                <w:szCs w:val="20"/>
              </w:rPr>
              <w:t xml:space="preserve"> </w:t>
            </w:r>
            <w:proofErr w:type="spellStart"/>
            <w:r w:rsidRPr="00861B31">
              <w:rPr>
                <w:szCs w:val="20"/>
              </w:rPr>
              <w:t>Diagn</w:t>
            </w:r>
            <w:proofErr w:type="spellEnd"/>
            <w:r w:rsidRPr="00861B31">
              <w:rPr>
                <w:szCs w:val="20"/>
              </w:rPr>
              <w:t xml:space="preserve"> 2016</w:t>
            </w:r>
            <w:proofErr w:type="gramStart"/>
            <w:r w:rsidRPr="00861B31">
              <w:rPr>
                <w:szCs w:val="20"/>
              </w:rPr>
              <w:t>;18:319</w:t>
            </w:r>
            <w:proofErr w:type="gramEnd"/>
            <w:r w:rsidRPr="00861B31">
              <w:rPr>
                <w:szCs w:val="20"/>
              </w:rPr>
              <w:t>-328.</w:t>
            </w:r>
          </w:p>
        </w:tc>
        <w:tc>
          <w:tcPr>
            <w:tcW w:w="2126" w:type="dxa"/>
          </w:tcPr>
          <w:p w14:paraId="0EB6BCE6" w14:textId="77777777" w:rsidR="00861B31" w:rsidRPr="00861B31" w:rsidRDefault="00861B31" w:rsidP="00861B31">
            <w:pPr>
              <w:spacing w:before="0" w:after="0"/>
              <w:rPr>
                <w:szCs w:val="20"/>
              </w:rPr>
            </w:pPr>
            <w:r w:rsidRPr="00861B31">
              <w:rPr>
                <w:szCs w:val="20"/>
              </w:rPr>
              <w:t xml:space="preserve">US Study by Association for Molecular Pathology on cost and value analysis of specific genomic sequencing procedures (GSPs) gathered from representative laboratories’ data. Cost-impact models for three clinical scenarios were generated -advanced non–small-cell lung cancer sensorineural hearing loss, and paediatric neurodevelopmental disorders of unknown genetic aetiology. </w:t>
            </w:r>
          </w:p>
        </w:tc>
        <w:tc>
          <w:tcPr>
            <w:tcW w:w="1757" w:type="dxa"/>
          </w:tcPr>
          <w:p w14:paraId="13797276" w14:textId="73AC09CC" w:rsidR="00861B31" w:rsidRPr="00861B31" w:rsidRDefault="00FF46CE" w:rsidP="00861B31">
            <w:pPr>
              <w:spacing w:before="0" w:after="0"/>
              <w:rPr>
                <w:szCs w:val="20"/>
              </w:rPr>
            </w:pPr>
            <w:hyperlink r:id="rId19" w:history="1">
              <w:r w:rsidR="00521D30">
                <w:rPr>
                  <w:color w:val="0000FF" w:themeColor="hyperlink"/>
                  <w:szCs w:val="20"/>
                  <w:u w:val="single"/>
                </w:rPr>
                <w:t xml:space="preserve">Genomic Sequencing Procedure </w:t>
              </w:r>
              <w:proofErr w:type="spellStart"/>
              <w:r w:rsidR="00521D30">
                <w:rPr>
                  <w:color w:val="0000FF" w:themeColor="hyperlink"/>
                  <w:szCs w:val="20"/>
                  <w:u w:val="single"/>
                </w:rPr>
                <w:t>Microcosting</w:t>
              </w:r>
              <w:proofErr w:type="spellEnd"/>
              <w:r w:rsidR="00521D30">
                <w:rPr>
                  <w:color w:val="0000FF" w:themeColor="hyperlink"/>
                  <w:szCs w:val="20"/>
                  <w:u w:val="single"/>
                </w:rPr>
                <w:t xml:space="preserve"> Analysis and Health Economic Cost-Impact Analysis: A Report of the Association for Molecular Pathology</w:t>
              </w:r>
            </w:hyperlink>
            <w:r w:rsidR="00861B31" w:rsidRPr="00861B31">
              <w:rPr>
                <w:szCs w:val="20"/>
              </w:rPr>
              <w:t xml:space="preserve"> </w:t>
            </w:r>
          </w:p>
          <w:p w14:paraId="3528E778" w14:textId="77777777" w:rsidR="00861B31" w:rsidRPr="00861B31" w:rsidRDefault="00861B31" w:rsidP="00861B31">
            <w:pPr>
              <w:spacing w:before="0" w:after="0"/>
              <w:rPr>
                <w:szCs w:val="20"/>
              </w:rPr>
            </w:pPr>
          </w:p>
          <w:p w14:paraId="7D44AED2" w14:textId="77777777" w:rsidR="00861B31" w:rsidRPr="00861B31" w:rsidRDefault="00861B31" w:rsidP="00861B31">
            <w:pPr>
              <w:spacing w:before="0" w:after="0"/>
              <w:rPr>
                <w:szCs w:val="20"/>
              </w:rPr>
            </w:pPr>
          </w:p>
        </w:tc>
        <w:tc>
          <w:tcPr>
            <w:tcW w:w="998" w:type="dxa"/>
          </w:tcPr>
          <w:p w14:paraId="4EF3B263" w14:textId="77777777" w:rsidR="00861B31" w:rsidRPr="00861B31" w:rsidRDefault="00861B31" w:rsidP="00861B31">
            <w:pPr>
              <w:spacing w:before="0" w:after="0"/>
              <w:rPr>
                <w:szCs w:val="20"/>
              </w:rPr>
            </w:pPr>
            <w:r w:rsidRPr="00861B31">
              <w:rPr>
                <w:szCs w:val="20"/>
              </w:rPr>
              <w:t>2016</w:t>
            </w:r>
          </w:p>
        </w:tc>
      </w:tr>
    </w:tbl>
    <w:p w14:paraId="3A77C50C" w14:textId="77777777" w:rsidR="009076BB" w:rsidRDefault="009076BB" w:rsidP="00861B31">
      <w:pPr>
        <w:rPr>
          <w:b/>
          <w:szCs w:val="20"/>
        </w:rPr>
      </w:pPr>
    </w:p>
    <w:p w14:paraId="1FCF3687" w14:textId="3BFC92E4" w:rsidR="009076BB" w:rsidRPr="009076BB" w:rsidRDefault="001D0B8B" w:rsidP="00861B31">
      <w:pPr>
        <w:rPr>
          <w:b/>
          <w:szCs w:val="20"/>
        </w:rPr>
      </w:pPr>
      <w:r>
        <w:rPr>
          <w:rFonts w:ascii="Calibri" w:eastAsia="Times New Roman" w:hAnsi="Calibri" w:cs="Times New Roman"/>
          <w:b/>
          <w:szCs w:val="20"/>
          <w:lang w:eastAsia="en-AU"/>
        </w:rPr>
        <w:tab/>
      </w:r>
      <w:proofErr w:type="spellStart"/>
      <w:r w:rsidR="009076BB" w:rsidRPr="009076BB">
        <w:rPr>
          <w:rFonts w:ascii="Calibri" w:eastAsia="Times New Roman" w:hAnsi="Calibri" w:cs="Times New Roman"/>
          <w:b/>
          <w:szCs w:val="20"/>
          <w:lang w:eastAsia="en-AU"/>
        </w:rPr>
        <w:t>Gliobastomas</w:t>
      </w:r>
      <w:proofErr w:type="spellEnd"/>
    </w:p>
    <w:tbl>
      <w:tblPr>
        <w:tblStyle w:val="TableGrid4"/>
        <w:tblW w:w="8708" w:type="dxa"/>
        <w:tblInd w:w="534" w:type="dxa"/>
        <w:tblLayout w:type="fixed"/>
        <w:tblLook w:val="04A0" w:firstRow="1" w:lastRow="0" w:firstColumn="1" w:lastColumn="0" w:noHBand="0" w:noVBand="1"/>
        <w:tblCaption w:val="Table outlining summary of evidence"/>
        <w:tblDescription w:val="."/>
      </w:tblPr>
      <w:tblGrid>
        <w:gridCol w:w="567"/>
        <w:gridCol w:w="1417"/>
        <w:gridCol w:w="1843"/>
        <w:gridCol w:w="2126"/>
        <w:gridCol w:w="1757"/>
        <w:gridCol w:w="998"/>
      </w:tblGrid>
      <w:tr w:rsidR="009076BB" w:rsidRPr="009076BB" w14:paraId="08EB5D49" w14:textId="77777777" w:rsidTr="00FF46CE">
        <w:trPr>
          <w:tblHeader/>
        </w:trPr>
        <w:tc>
          <w:tcPr>
            <w:tcW w:w="567" w:type="dxa"/>
          </w:tcPr>
          <w:p w14:paraId="6B6B925C" w14:textId="77777777" w:rsidR="009076BB" w:rsidRPr="009076BB" w:rsidRDefault="009076BB" w:rsidP="009076BB">
            <w:pPr>
              <w:spacing w:before="0" w:after="0"/>
              <w:rPr>
                <w:b/>
                <w:szCs w:val="20"/>
              </w:rPr>
            </w:pPr>
          </w:p>
        </w:tc>
        <w:tc>
          <w:tcPr>
            <w:tcW w:w="1417" w:type="dxa"/>
          </w:tcPr>
          <w:p w14:paraId="18DAD1E7" w14:textId="77777777" w:rsidR="009076BB" w:rsidRPr="009076BB" w:rsidRDefault="009076BB" w:rsidP="009076BB">
            <w:pPr>
              <w:spacing w:before="0" w:after="0"/>
              <w:rPr>
                <w:b/>
                <w:szCs w:val="20"/>
              </w:rPr>
            </w:pPr>
            <w:r w:rsidRPr="009076BB">
              <w:rPr>
                <w:b/>
                <w:szCs w:val="20"/>
              </w:rPr>
              <w:t>Type of study design*</w:t>
            </w:r>
          </w:p>
        </w:tc>
        <w:tc>
          <w:tcPr>
            <w:tcW w:w="1843" w:type="dxa"/>
          </w:tcPr>
          <w:p w14:paraId="1DB355C6" w14:textId="77777777" w:rsidR="009076BB" w:rsidRPr="009076BB" w:rsidRDefault="009076BB" w:rsidP="009076BB">
            <w:pPr>
              <w:spacing w:before="0" w:after="0"/>
              <w:rPr>
                <w:b/>
                <w:szCs w:val="20"/>
              </w:rPr>
            </w:pPr>
            <w:r w:rsidRPr="009076BB">
              <w:rPr>
                <w:b/>
                <w:szCs w:val="20"/>
              </w:rPr>
              <w:t>Title of journal article  or research project (including any trial identifier or study lead if relevant)</w:t>
            </w:r>
          </w:p>
        </w:tc>
        <w:tc>
          <w:tcPr>
            <w:tcW w:w="2126" w:type="dxa"/>
          </w:tcPr>
          <w:p w14:paraId="03EE5204" w14:textId="77777777" w:rsidR="009076BB" w:rsidRPr="009076BB" w:rsidRDefault="009076BB" w:rsidP="009076BB">
            <w:pPr>
              <w:spacing w:before="0" w:after="0"/>
              <w:rPr>
                <w:b/>
                <w:szCs w:val="20"/>
              </w:rPr>
            </w:pPr>
            <w:r w:rsidRPr="009076BB">
              <w:rPr>
                <w:b/>
                <w:szCs w:val="20"/>
              </w:rPr>
              <w:t>Short description of research  (max 50 words)**</w:t>
            </w:r>
          </w:p>
        </w:tc>
        <w:tc>
          <w:tcPr>
            <w:tcW w:w="1757" w:type="dxa"/>
          </w:tcPr>
          <w:p w14:paraId="68CD290F" w14:textId="77777777" w:rsidR="009076BB" w:rsidRPr="009076BB" w:rsidRDefault="009076BB" w:rsidP="009076BB">
            <w:pPr>
              <w:spacing w:before="0" w:after="0"/>
              <w:rPr>
                <w:b/>
                <w:szCs w:val="20"/>
              </w:rPr>
            </w:pPr>
            <w:r w:rsidRPr="009076BB">
              <w:rPr>
                <w:b/>
                <w:szCs w:val="20"/>
              </w:rPr>
              <w:t>Website link to journal article or research (if available)</w:t>
            </w:r>
          </w:p>
        </w:tc>
        <w:tc>
          <w:tcPr>
            <w:tcW w:w="998" w:type="dxa"/>
          </w:tcPr>
          <w:p w14:paraId="21AD1AD7" w14:textId="77777777" w:rsidR="009076BB" w:rsidRPr="009076BB" w:rsidRDefault="009076BB" w:rsidP="009076BB">
            <w:pPr>
              <w:spacing w:before="0" w:after="0"/>
              <w:rPr>
                <w:b/>
                <w:szCs w:val="20"/>
              </w:rPr>
            </w:pPr>
            <w:r w:rsidRPr="009076BB">
              <w:rPr>
                <w:b/>
                <w:szCs w:val="20"/>
              </w:rPr>
              <w:t>Date of publication***</w:t>
            </w:r>
          </w:p>
        </w:tc>
      </w:tr>
      <w:tr w:rsidR="009076BB" w:rsidRPr="009076BB" w14:paraId="20AA6BB3" w14:textId="77777777" w:rsidTr="00F91393">
        <w:tc>
          <w:tcPr>
            <w:tcW w:w="567" w:type="dxa"/>
          </w:tcPr>
          <w:p w14:paraId="48666F51" w14:textId="77777777" w:rsidR="009076BB" w:rsidRPr="009076BB" w:rsidRDefault="009076BB" w:rsidP="009076BB">
            <w:pPr>
              <w:spacing w:before="0" w:after="0"/>
              <w:rPr>
                <w:szCs w:val="20"/>
              </w:rPr>
            </w:pPr>
            <w:r w:rsidRPr="009076BB">
              <w:rPr>
                <w:szCs w:val="20"/>
              </w:rPr>
              <w:t>1.</w:t>
            </w:r>
          </w:p>
        </w:tc>
        <w:tc>
          <w:tcPr>
            <w:tcW w:w="1417" w:type="dxa"/>
          </w:tcPr>
          <w:p w14:paraId="1CC9604D" w14:textId="77777777" w:rsidR="009076BB" w:rsidRPr="009076BB" w:rsidRDefault="009076BB" w:rsidP="009076BB">
            <w:pPr>
              <w:spacing w:before="0" w:after="0"/>
              <w:rPr>
                <w:szCs w:val="20"/>
              </w:rPr>
            </w:pPr>
            <w:r w:rsidRPr="009076BB">
              <w:rPr>
                <w:szCs w:val="20"/>
              </w:rPr>
              <w:t>Clinical practice guidelines</w:t>
            </w:r>
          </w:p>
        </w:tc>
        <w:tc>
          <w:tcPr>
            <w:tcW w:w="1843" w:type="dxa"/>
          </w:tcPr>
          <w:p w14:paraId="748036B2" w14:textId="77777777" w:rsidR="009076BB" w:rsidRPr="009076BB" w:rsidRDefault="009076BB" w:rsidP="009076BB">
            <w:pPr>
              <w:spacing w:before="0" w:after="0"/>
              <w:rPr>
                <w:szCs w:val="20"/>
              </w:rPr>
            </w:pPr>
            <w:r w:rsidRPr="009076BB">
              <w:rPr>
                <w:szCs w:val="20"/>
              </w:rPr>
              <w:t xml:space="preserve">Louis DN, Perry A, Burger P, et al: International Society Of Neuropathology--Haarlem consensus guidelines for nervous system tumour classification and grading. Brain </w:t>
            </w:r>
            <w:proofErr w:type="spellStart"/>
            <w:r w:rsidRPr="009076BB">
              <w:rPr>
                <w:szCs w:val="20"/>
              </w:rPr>
              <w:t>Pathol</w:t>
            </w:r>
            <w:proofErr w:type="spellEnd"/>
            <w:r w:rsidRPr="009076BB">
              <w:rPr>
                <w:szCs w:val="20"/>
              </w:rPr>
              <w:t xml:space="preserve"> 24:429-35, 2014.</w:t>
            </w:r>
          </w:p>
        </w:tc>
        <w:tc>
          <w:tcPr>
            <w:tcW w:w="2126" w:type="dxa"/>
          </w:tcPr>
          <w:p w14:paraId="75BF4ADD" w14:textId="77777777" w:rsidR="009076BB" w:rsidRPr="009076BB" w:rsidRDefault="009076BB" w:rsidP="009076BB">
            <w:pPr>
              <w:spacing w:before="0" w:after="0"/>
              <w:rPr>
                <w:szCs w:val="20"/>
              </w:rPr>
            </w:pPr>
            <w:r w:rsidRPr="009076BB">
              <w:rPr>
                <w:szCs w:val="20"/>
              </w:rPr>
              <w:t>International clinical practice guidelines on the classification of nervous system tumours by expert consensus.</w:t>
            </w:r>
          </w:p>
        </w:tc>
        <w:tc>
          <w:tcPr>
            <w:tcW w:w="1757" w:type="dxa"/>
          </w:tcPr>
          <w:p w14:paraId="46A7F865" w14:textId="15B3A05A" w:rsidR="009076BB" w:rsidRPr="009076BB" w:rsidRDefault="00FF46CE" w:rsidP="009076BB">
            <w:pPr>
              <w:spacing w:before="0" w:after="0"/>
              <w:rPr>
                <w:szCs w:val="20"/>
              </w:rPr>
            </w:pPr>
            <w:hyperlink r:id="rId20" w:history="1">
              <w:r w:rsidR="00521D30">
                <w:rPr>
                  <w:color w:val="0000FF" w:themeColor="hyperlink"/>
                  <w:szCs w:val="20"/>
                  <w:u w:val="single"/>
                </w:rPr>
                <w:t xml:space="preserve">International Society of Neuropathology-Haarlem Consensus Guidelines for Nervous System </w:t>
              </w:r>
              <w:proofErr w:type="spellStart"/>
              <w:r w:rsidR="00521D30">
                <w:rPr>
                  <w:color w:val="0000FF" w:themeColor="hyperlink"/>
                  <w:szCs w:val="20"/>
                  <w:u w:val="single"/>
                </w:rPr>
                <w:t>Tumor</w:t>
              </w:r>
              <w:proofErr w:type="spellEnd"/>
              <w:r w:rsidR="00521D30">
                <w:rPr>
                  <w:color w:val="0000FF" w:themeColor="hyperlink"/>
                  <w:szCs w:val="20"/>
                  <w:u w:val="single"/>
                </w:rPr>
                <w:t xml:space="preserve"> Classification and Grading</w:t>
              </w:r>
            </w:hyperlink>
          </w:p>
        </w:tc>
        <w:tc>
          <w:tcPr>
            <w:tcW w:w="998" w:type="dxa"/>
          </w:tcPr>
          <w:p w14:paraId="34F11B20" w14:textId="77777777" w:rsidR="009076BB" w:rsidRPr="009076BB" w:rsidRDefault="009076BB" w:rsidP="009076BB">
            <w:pPr>
              <w:spacing w:before="0" w:after="0"/>
              <w:rPr>
                <w:szCs w:val="20"/>
              </w:rPr>
            </w:pPr>
            <w:r w:rsidRPr="009076BB">
              <w:rPr>
                <w:szCs w:val="20"/>
              </w:rPr>
              <w:t>10 Sep 2014</w:t>
            </w:r>
          </w:p>
        </w:tc>
      </w:tr>
      <w:tr w:rsidR="009076BB" w:rsidRPr="009076BB" w14:paraId="1E326C2B" w14:textId="77777777" w:rsidTr="00F91393">
        <w:tc>
          <w:tcPr>
            <w:tcW w:w="567" w:type="dxa"/>
          </w:tcPr>
          <w:p w14:paraId="44F27A09" w14:textId="77777777" w:rsidR="009076BB" w:rsidRPr="009076BB" w:rsidRDefault="009076BB" w:rsidP="009076BB">
            <w:pPr>
              <w:spacing w:before="0" w:after="0"/>
              <w:rPr>
                <w:szCs w:val="20"/>
              </w:rPr>
            </w:pPr>
            <w:r w:rsidRPr="009076BB">
              <w:rPr>
                <w:szCs w:val="20"/>
              </w:rPr>
              <w:t>2.</w:t>
            </w:r>
          </w:p>
        </w:tc>
        <w:tc>
          <w:tcPr>
            <w:tcW w:w="1417" w:type="dxa"/>
          </w:tcPr>
          <w:p w14:paraId="2540741A" w14:textId="77777777" w:rsidR="009076BB" w:rsidRPr="009076BB" w:rsidRDefault="009076BB" w:rsidP="009076BB">
            <w:pPr>
              <w:spacing w:before="0" w:after="0"/>
              <w:rPr>
                <w:szCs w:val="20"/>
              </w:rPr>
            </w:pPr>
            <w:r w:rsidRPr="009076BB">
              <w:rPr>
                <w:szCs w:val="20"/>
              </w:rPr>
              <w:t>Clinical practice guidelines</w:t>
            </w:r>
          </w:p>
        </w:tc>
        <w:tc>
          <w:tcPr>
            <w:tcW w:w="1843" w:type="dxa"/>
          </w:tcPr>
          <w:p w14:paraId="34B2D234" w14:textId="77777777" w:rsidR="009076BB" w:rsidRPr="009076BB" w:rsidRDefault="009076BB" w:rsidP="009076BB">
            <w:pPr>
              <w:spacing w:before="0" w:after="0"/>
              <w:rPr>
                <w:szCs w:val="20"/>
              </w:rPr>
            </w:pPr>
            <w:r w:rsidRPr="009076BB">
              <w:rPr>
                <w:szCs w:val="20"/>
              </w:rPr>
              <w:t xml:space="preserve">Louis DN, </w:t>
            </w:r>
            <w:proofErr w:type="spellStart"/>
            <w:r w:rsidRPr="009076BB">
              <w:rPr>
                <w:szCs w:val="20"/>
              </w:rPr>
              <w:t>Ohgaki</w:t>
            </w:r>
            <w:proofErr w:type="spellEnd"/>
            <w:r w:rsidRPr="009076BB">
              <w:rPr>
                <w:szCs w:val="20"/>
              </w:rPr>
              <w:t xml:space="preserve"> H, </w:t>
            </w:r>
            <w:proofErr w:type="spellStart"/>
            <w:r w:rsidRPr="009076BB">
              <w:rPr>
                <w:szCs w:val="20"/>
              </w:rPr>
              <w:t>Wiestler</w:t>
            </w:r>
            <w:proofErr w:type="spellEnd"/>
            <w:r w:rsidRPr="009076BB">
              <w:rPr>
                <w:szCs w:val="20"/>
              </w:rPr>
              <w:t xml:space="preserve"> OD, et al: WHO Classification </w:t>
            </w:r>
            <w:r w:rsidRPr="009076BB">
              <w:rPr>
                <w:szCs w:val="20"/>
              </w:rPr>
              <w:lastRenderedPageBreak/>
              <w:t>of Tumours of the Central Nervous System (</w:t>
            </w:r>
            <w:proofErr w:type="spellStart"/>
            <w:r w:rsidRPr="009076BB">
              <w:rPr>
                <w:szCs w:val="20"/>
              </w:rPr>
              <w:t>ed</w:t>
            </w:r>
            <w:proofErr w:type="spellEnd"/>
            <w:r w:rsidRPr="009076BB">
              <w:rPr>
                <w:szCs w:val="20"/>
              </w:rPr>
              <w:t xml:space="preserve"> 4th). Lyon, IARC Press, 2016</w:t>
            </w:r>
          </w:p>
        </w:tc>
        <w:tc>
          <w:tcPr>
            <w:tcW w:w="2126" w:type="dxa"/>
          </w:tcPr>
          <w:p w14:paraId="4B36D6AD" w14:textId="77777777" w:rsidR="009076BB" w:rsidRPr="009076BB" w:rsidRDefault="009076BB" w:rsidP="009076BB">
            <w:pPr>
              <w:spacing w:before="0" w:after="0"/>
              <w:rPr>
                <w:szCs w:val="20"/>
              </w:rPr>
            </w:pPr>
            <w:r w:rsidRPr="009076BB">
              <w:rPr>
                <w:szCs w:val="20"/>
              </w:rPr>
              <w:lastRenderedPageBreak/>
              <w:t xml:space="preserve">International practice guidelines endorsing the use of Haarlem </w:t>
            </w:r>
            <w:r w:rsidRPr="009076BB">
              <w:rPr>
                <w:szCs w:val="20"/>
              </w:rPr>
              <w:lastRenderedPageBreak/>
              <w:t>recommendations for the classification of CNS tumours.</w:t>
            </w:r>
          </w:p>
        </w:tc>
        <w:tc>
          <w:tcPr>
            <w:tcW w:w="1757" w:type="dxa"/>
          </w:tcPr>
          <w:p w14:paraId="11D6971F" w14:textId="77777777" w:rsidR="009076BB" w:rsidRPr="009076BB" w:rsidRDefault="009076BB" w:rsidP="009076BB">
            <w:pPr>
              <w:spacing w:before="0" w:after="0"/>
              <w:rPr>
                <w:sz w:val="22"/>
              </w:rPr>
            </w:pPr>
            <w:r w:rsidRPr="009076BB">
              <w:rPr>
                <w:sz w:val="22"/>
              </w:rPr>
              <w:lastRenderedPageBreak/>
              <w:t>Book –no URL</w:t>
            </w:r>
          </w:p>
        </w:tc>
        <w:tc>
          <w:tcPr>
            <w:tcW w:w="998" w:type="dxa"/>
          </w:tcPr>
          <w:p w14:paraId="707045CB" w14:textId="77777777" w:rsidR="009076BB" w:rsidRPr="009076BB" w:rsidRDefault="009076BB" w:rsidP="009076BB">
            <w:pPr>
              <w:spacing w:before="0" w:after="0"/>
              <w:rPr>
                <w:szCs w:val="20"/>
              </w:rPr>
            </w:pPr>
            <w:r w:rsidRPr="009076BB">
              <w:rPr>
                <w:szCs w:val="20"/>
              </w:rPr>
              <w:t>May 2016</w:t>
            </w:r>
          </w:p>
        </w:tc>
      </w:tr>
      <w:tr w:rsidR="009076BB" w:rsidRPr="009076BB" w14:paraId="1A80DBB9" w14:textId="77777777" w:rsidTr="00F91393">
        <w:tc>
          <w:tcPr>
            <w:tcW w:w="567" w:type="dxa"/>
          </w:tcPr>
          <w:p w14:paraId="0F6C64FF" w14:textId="77777777" w:rsidR="009076BB" w:rsidRPr="009076BB" w:rsidRDefault="009076BB" w:rsidP="009076BB">
            <w:pPr>
              <w:spacing w:before="0" w:after="0"/>
              <w:rPr>
                <w:szCs w:val="20"/>
              </w:rPr>
            </w:pPr>
            <w:r w:rsidRPr="009076BB">
              <w:rPr>
                <w:szCs w:val="20"/>
              </w:rPr>
              <w:lastRenderedPageBreak/>
              <w:t>3.</w:t>
            </w:r>
          </w:p>
        </w:tc>
        <w:tc>
          <w:tcPr>
            <w:tcW w:w="1417" w:type="dxa"/>
          </w:tcPr>
          <w:p w14:paraId="4C6B4707" w14:textId="77777777" w:rsidR="009076BB" w:rsidRPr="009076BB" w:rsidRDefault="009076BB" w:rsidP="009076BB">
            <w:pPr>
              <w:spacing w:before="0" w:after="0"/>
              <w:rPr>
                <w:szCs w:val="20"/>
              </w:rPr>
            </w:pPr>
            <w:r w:rsidRPr="009076BB">
              <w:rPr>
                <w:szCs w:val="20"/>
              </w:rPr>
              <w:t>Observational study</w:t>
            </w:r>
          </w:p>
        </w:tc>
        <w:tc>
          <w:tcPr>
            <w:tcW w:w="1843" w:type="dxa"/>
          </w:tcPr>
          <w:p w14:paraId="4A90C0D1" w14:textId="77777777" w:rsidR="009076BB" w:rsidRPr="009076BB" w:rsidRDefault="009076BB" w:rsidP="009076BB">
            <w:pPr>
              <w:spacing w:before="0" w:after="0"/>
              <w:rPr>
                <w:szCs w:val="20"/>
              </w:rPr>
            </w:pPr>
            <w:r w:rsidRPr="009076BB">
              <w:rPr>
                <w:rFonts w:ascii="Segoe UI" w:hAnsi="Segoe UI" w:cs="Segoe UI"/>
                <w:sz w:val="18"/>
                <w:szCs w:val="18"/>
              </w:rPr>
              <w:t xml:space="preserve">Sturm D, Witt H, </w:t>
            </w:r>
            <w:proofErr w:type="spellStart"/>
            <w:r w:rsidRPr="009076BB">
              <w:rPr>
                <w:rFonts w:ascii="Segoe UI" w:hAnsi="Segoe UI" w:cs="Segoe UI"/>
                <w:sz w:val="18"/>
                <w:szCs w:val="18"/>
              </w:rPr>
              <w:t>Hovestadt</w:t>
            </w:r>
            <w:proofErr w:type="spellEnd"/>
            <w:r w:rsidRPr="009076BB">
              <w:rPr>
                <w:rFonts w:ascii="Segoe UI" w:hAnsi="Segoe UI" w:cs="Segoe UI"/>
                <w:sz w:val="18"/>
                <w:szCs w:val="18"/>
              </w:rPr>
              <w:t xml:space="preserve"> V, et al. Hotspot mutations in H3F3A and IDH1 define distinct epigenetic and biological subgroups of glioblastoma. Cancer Cell. 2012</w:t>
            </w:r>
            <w:proofErr w:type="gramStart"/>
            <w:r w:rsidRPr="009076BB">
              <w:rPr>
                <w:rFonts w:ascii="Segoe UI" w:hAnsi="Segoe UI" w:cs="Segoe UI"/>
                <w:sz w:val="18"/>
                <w:szCs w:val="18"/>
              </w:rPr>
              <w:t>;22</w:t>
            </w:r>
            <w:proofErr w:type="gramEnd"/>
            <w:r w:rsidRPr="009076BB">
              <w:rPr>
                <w:rFonts w:ascii="Segoe UI" w:hAnsi="Segoe UI" w:cs="Segoe UI"/>
                <w:sz w:val="18"/>
                <w:szCs w:val="18"/>
              </w:rPr>
              <w:t>(4):425-37.</w:t>
            </w:r>
          </w:p>
        </w:tc>
        <w:tc>
          <w:tcPr>
            <w:tcW w:w="2126" w:type="dxa"/>
          </w:tcPr>
          <w:p w14:paraId="2E41F3A2" w14:textId="77777777" w:rsidR="009076BB" w:rsidRPr="009076BB" w:rsidRDefault="009076BB" w:rsidP="009076BB">
            <w:pPr>
              <w:spacing w:before="0" w:after="0"/>
              <w:rPr>
                <w:szCs w:val="20"/>
              </w:rPr>
            </w:pPr>
            <w:r w:rsidRPr="009076BB">
              <w:rPr>
                <w:szCs w:val="20"/>
              </w:rPr>
              <w:t>A study of 136 cases of glioblastoma (GBM) that identified H3F3A and IDH1 molecular subgroups.</w:t>
            </w:r>
          </w:p>
        </w:tc>
        <w:tc>
          <w:tcPr>
            <w:tcW w:w="1757" w:type="dxa"/>
          </w:tcPr>
          <w:p w14:paraId="332C624C" w14:textId="7CC2C885" w:rsidR="009076BB" w:rsidRPr="009076BB" w:rsidRDefault="00FF46CE" w:rsidP="009076BB">
            <w:pPr>
              <w:spacing w:before="0" w:after="0"/>
              <w:rPr>
                <w:szCs w:val="20"/>
              </w:rPr>
            </w:pPr>
            <w:hyperlink r:id="rId21" w:history="1">
              <w:r w:rsidR="00521D30">
                <w:rPr>
                  <w:rFonts w:ascii="Segoe UI" w:hAnsi="Segoe UI" w:cs="Segoe UI"/>
                  <w:color w:val="0000FF" w:themeColor="hyperlink"/>
                  <w:sz w:val="18"/>
                  <w:szCs w:val="18"/>
                  <w:u w:val="single"/>
                </w:rPr>
                <w:t>Hotspot Mutations in H3F3A and IDH1 Define Distinct Epigenetic and Biological Subgroups of Glioblastoma</w:t>
              </w:r>
            </w:hyperlink>
            <w:r w:rsidR="009076BB" w:rsidRPr="009076BB">
              <w:rPr>
                <w:rFonts w:ascii="Segoe UI" w:hAnsi="Segoe UI" w:cs="Segoe UI"/>
                <w:sz w:val="18"/>
                <w:szCs w:val="18"/>
              </w:rPr>
              <w:t xml:space="preserve"> </w:t>
            </w:r>
          </w:p>
        </w:tc>
        <w:tc>
          <w:tcPr>
            <w:tcW w:w="998" w:type="dxa"/>
          </w:tcPr>
          <w:p w14:paraId="48C3CC49" w14:textId="77777777" w:rsidR="009076BB" w:rsidRPr="009076BB" w:rsidRDefault="009076BB" w:rsidP="009076BB">
            <w:pPr>
              <w:spacing w:before="0" w:after="0"/>
              <w:rPr>
                <w:szCs w:val="20"/>
              </w:rPr>
            </w:pPr>
            <w:r w:rsidRPr="009076BB">
              <w:rPr>
                <w:szCs w:val="20"/>
              </w:rPr>
              <w:t>2012</w:t>
            </w:r>
          </w:p>
        </w:tc>
      </w:tr>
      <w:tr w:rsidR="009076BB" w:rsidRPr="009076BB" w14:paraId="14E78BE0" w14:textId="77777777" w:rsidTr="00F91393">
        <w:tc>
          <w:tcPr>
            <w:tcW w:w="567" w:type="dxa"/>
          </w:tcPr>
          <w:p w14:paraId="5C79FB75" w14:textId="77777777" w:rsidR="009076BB" w:rsidRPr="009076BB" w:rsidRDefault="009076BB" w:rsidP="009076BB">
            <w:pPr>
              <w:spacing w:before="0" w:after="0"/>
              <w:rPr>
                <w:szCs w:val="20"/>
              </w:rPr>
            </w:pPr>
            <w:r w:rsidRPr="009076BB">
              <w:rPr>
                <w:szCs w:val="20"/>
              </w:rPr>
              <w:t>4.</w:t>
            </w:r>
          </w:p>
        </w:tc>
        <w:tc>
          <w:tcPr>
            <w:tcW w:w="1417" w:type="dxa"/>
          </w:tcPr>
          <w:p w14:paraId="4EB09AA2" w14:textId="77777777" w:rsidR="009076BB" w:rsidRPr="009076BB" w:rsidRDefault="009076BB" w:rsidP="009076BB">
            <w:pPr>
              <w:spacing w:before="0" w:after="0"/>
              <w:rPr>
                <w:szCs w:val="20"/>
              </w:rPr>
            </w:pPr>
            <w:r w:rsidRPr="009076BB">
              <w:rPr>
                <w:szCs w:val="20"/>
              </w:rPr>
              <w:t>Study of diagnostic accuracy</w:t>
            </w:r>
          </w:p>
        </w:tc>
        <w:tc>
          <w:tcPr>
            <w:tcW w:w="1843" w:type="dxa"/>
          </w:tcPr>
          <w:p w14:paraId="68291E9A" w14:textId="77777777" w:rsidR="009076BB" w:rsidRPr="009076BB" w:rsidRDefault="009076BB" w:rsidP="009076BB">
            <w:pPr>
              <w:autoSpaceDE w:val="0"/>
              <w:autoSpaceDN w:val="0"/>
              <w:adjustRightInd w:val="0"/>
              <w:spacing w:before="0" w:after="0"/>
              <w:rPr>
                <w:szCs w:val="20"/>
              </w:rPr>
            </w:pPr>
            <w:r w:rsidRPr="009076BB">
              <w:rPr>
                <w:szCs w:val="20"/>
              </w:rPr>
              <w:t xml:space="preserve">Cahill DP, Louis DN, </w:t>
            </w:r>
            <w:proofErr w:type="spellStart"/>
            <w:proofErr w:type="gramStart"/>
            <w:r w:rsidRPr="009076BB">
              <w:rPr>
                <w:szCs w:val="20"/>
              </w:rPr>
              <w:t>Cairncross</w:t>
            </w:r>
            <w:proofErr w:type="spellEnd"/>
            <w:proofErr w:type="gramEnd"/>
            <w:r w:rsidRPr="009076BB">
              <w:rPr>
                <w:szCs w:val="20"/>
              </w:rPr>
              <w:t xml:space="preserve"> JG: Molecular background of </w:t>
            </w:r>
            <w:proofErr w:type="spellStart"/>
            <w:r w:rsidRPr="009076BB">
              <w:rPr>
                <w:szCs w:val="20"/>
              </w:rPr>
              <w:t>oligodendroglioma</w:t>
            </w:r>
            <w:proofErr w:type="spellEnd"/>
            <w:r w:rsidRPr="009076BB">
              <w:rPr>
                <w:szCs w:val="20"/>
              </w:rPr>
              <w:t xml:space="preserve">: 1p/19q, IDH, TERT, CIC and FUBP1. CNS </w:t>
            </w:r>
            <w:proofErr w:type="spellStart"/>
            <w:r w:rsidRPr="009076BB">
              <w:rPr>
                <w:szCs w:val="20"/>
              </w:rPr>
              <w:t>Oncol</w:t>
            </w:r>
            <w:proofErr w:type="spellEnd"/>
            <w:r w:rsidRPr="009076BB">
              <w:rPr>
                <w:szCs w:val="20"/>
              </w:rPr>
              <w:t xml:space="preserve"> 4:287-94, 2015</w:t>
            </w:r>
          </w:p>
        </w:tc>
        <w:tc>
          <w:tcPr>
            <w:tcW w:w="2126" w:type="dxa"/>
          </w:tcPr>
          <w:p w14:paraId="0C87ED6A" w14:textId="77777777" w:rsidR="009076BB" w:rsidRPr="009076BB" w:rsidRDefault="009076BB" w:rsidP="009076BB">
            <w:pPr>
              <w:spacing w:before="0" w:after="0"/>
              <w:rPr>
                <w:szCs w:val="20"/>
              </w:rPr>
            </w:pPr>
            <w:r w:rsidRPr="009076BB">
              <w:rPr>
                <w:szCs w:val="20"/>
              </w:rPr>
              <w:t xml:space="preserve">A study into molecular identification of </w:t>
            </w:r>
            <w:proofErr w:type="spellStart"/>
            <w:r w:rsidRPr="009076BB">
              <w:rPr>
                <w:szCs w:val="20"/>
              </w:rPr>
              <w:t>oligodendroglioma</w:t>
            </w:r>
            <w:proofErr w:type="spellEnd"/>
            <w:r w:rsidRPr="009076BB">
              <w:rPr>
                <w:szCs w:val="20"/>
              </w:rPr>
              <w:t xml:space="preserve"> as a subcategory of gliomas. The findings provided a foundation for the consistent diagnosis of the tumour type, for which there is a strong evidence base for effective treatment with radiation and chemotherapy.</w:t>
            </w:r>
          </w:p>
        </w:tc>
        <w:tc>
          <w:tcPr>
            <w:tcW w:w="1757" w:type="dxa"/>
          </w:tcPr>
          <w:p w14:paraId="55ABAB76" w14:textId="28FE8922" w:rsidR="009076BB" w:rsidRPr="009076BB" w:rsidRDefault="00FF46CE" w:rsidP="009076BB">
            <w:pPr>
              <w:spacing w:before="0" w:after="0"/>
              <w:rPr>
                <w:sz w:val="22"/>
              </w:rPr>
            </w:pPr>
            <w:hyperlink r:id="rId22" w:history="1">
              <w:r w:rsidR="00521D30">
                <w:rPr>
                  <w:color w:val="0000FF" w:themeColor="hyperlink"/>
                  <w:szCs w:val="20"/>
                  <w:u w:val="single"/>
                </w:rPr>
                <w:t xml:space="preserve">Molecular background of </w:t>
              </w:r>
              <w:proofErr w:type="spellStart"/>
              <w:r w:rsidR="00521D30">
                <w:rPr>
                  <w:color w:val="0000FF" w:themeColor="hyperlink"/>
                  <w:szCs w:val="20"/>
                  <w:u w:val="single"/>
                </w:rPr>
                <w:t>oligodendroglioma</w:t>
              </w:r>
              <w:proofErr w:type="spellEnd"/>
              <w:r w:rsidR="00521D30">
                <w:rPr>
                  <w:color w:val="0000FF" w:themeColor="hyperlink"/>
                  <w:szCs w:val="20"/>
                  <w:u w:val="single"/>
                </w:rPr>
                <w:t>: 1p/19q, IDH, TERT, CIC and FUBP1</w:t>
              </w:r>
            </w:hyperlink>
            <w:r w:rsidR="009076BB" w:rsidRPr="009076BB">
              <w:rPr>
                <w:szCs w:val="20"/>
              </w:rPr>
              <w:t xml:space="preserve"> </w:t>
            </w:r>
          </w:p>
        </w:tc>
        <w:tc>
          <w:tcPr>
            <w:tcW w:w="998" w:type="dxa"/>
          </w:tcPr>
          <w:p w14:paraId="35DDB14C" w14:textId="77777777" w:rsidR="009076BB" w:rsidRPr="009076BB" w:rsidRDefault="009076BB" w:rsidP="009076BB">
            <w:pPr>
              <w:spacing w:before="0" w:after="0"/>
              <w:rPr>
                <w:szCs w:val="20"/>
              </w:rPr>
            </w:pPr>
            <w:r w:rsidRPr="009076BB">
              <w:rPr>
                <w:szCs w:val="20"/>
              </w:rPr>
              <w:t>7 Nov 2015</w:t>
            </w:r>
          </w:p>
        </w:tc>
      </w:tr>
      <w:tr w:rsidR="009076BB" w:rsidRPr="009076BB" w14:paraId="3E9E2BA8" w14:textId="77777777" w:rsidTr="00F91393">
        <w:tc>
          <w:tcPr>
            <w:tcW w:w="567" w:type="dxa"/>
          </w:tcPr>
          <w:p w14:paraId="11EDCCFF" w14:textId="77777777" w:rsidR="009076BB" w:rsidRPr="009076BB" w:rsidRDefault="009076BB" w:rsidP="009076BB">
            <w:pPr>
              <w:spacing w:before="0" w:after="0"/>
              <w:rPr>
                <w:szCs w:val="20"/>
              </w:rPr>
            </w:pPr>
            <w:r w:rsidRPr="009076BB">
              <w:rPr>
                <w:szCs w:val="20"/>
              </w:rPr>
              <w:t>5.</w:t>
            </w:r>
          </w:p>
        </w:tc>
        <w:tc>
          <w:tcPr>
            <w:tcW w:w="1417" w:type="dxa"/>
          </w:tcPr>
          <w:p w14:paraId="6ADE0416" w14:textId="77777777" w:rsidR="009076BB" w:rsidRPr="009076BB" w:rsidRDefault="009076BB" w:rsidP="009076BB">
            <w:pPr>
              <w:spacing w:before="0" w:after="0"/>
              <w:rPr>
                <w:szCs w:val="20"/>
              </w:rPr>
            </w:pPr>
            <w:r w:rsidRPr="009076BB">
              <w:rPr>
                <w:szCs w:val="20"/>
              </w:rPr>
              <w:t>Observational study</w:t>
            </w:r>
          </w:p>
        </w:tc>
        <w:tc>
          <w:tcPr>
            <w:tcW w:w="1843" w:type="dxa"/>
          </w:tcPr>
          <w:p w14:paraId="624FBBB2" w14:textId="77777777" w:rsidR="009076BB" w:rsidRPr="009076BB" w:rsidRDefault="009076BB" w:rsidP="009076BB">
            <w:pPr>
              <w:autoSpaceDE w:val="0"/>
              <w:autoSpaceDN w:val="0"/>
              <w:adjustRightInd w:val="0"/>
              <w:spacing w:before="0" w:after="0"/>
              <w:rPr>
                <w:rFonts w:ascii="Segoe UI" w:hAnsi="Segoe UI" w:cs="Segoe UI"/>
                <w:sz w:val="18"/>
                <w:szCs w:val="18"/>
              </w:rPr>
            </w:pPr>
            <w:proofErr w:type="spellStart"/>
            <w:r w:rsidRPr="009076BB">
              <w:rPr>
                <w:rFonts w:ascii="Segoe UI" w:hAnsi="Segoe UI" w:cs="Segoe UI"/>
                <w:sz w:val="18"/>
                <w:szCs w:val="18"/>
              </w:rPr>
              <w:t>Staedtke</w:t>
            </w:r>
            <w:proofErr w:type="spellEnd"/>
            <w:r w:rsidRPr="009076BB">
              <w:rPr>
                <w:rFonts w:ascii="Segoe UI" w:hAnsi="Segoe UI" w:cs="Segoe UI"/>
                <w:sz w:val="18"/>
                <w:szCs w:val="18"/>
              </w:rPr>
              <w:t xml:space="preserve"> V, </w:t>
            </w:r>
            <w:proofErr w:type="spellStart"/>
            <w:r w:rsidRPr="009076BB">
              <w:rPr>
                <w:rFonts w:ascii="Segoe UI" w:hAnsi="Segoe UI" w:cs="Segoe UI"/>
                <w:sz w:val="18"/>
                <w:szCs w:val="18"/>
              </w:rPr>
              <w:t>Dzaye</w:t>
            </w:r>
            <w:proofErr w:type="spellEnd"/>
            <w:r w:rsidRPr="009076BB">
              <w:rPr>
                <w:rFonts w:ascii="Segoe UI" w:hAnsi="Segoe UI" w:cs="Segoe UI"/>
                <w:sz w:val="18"/>
                <w:szCs w:val="18"/>
              </w:rPr>
              <w:t xml:space="preserve"> ODA, </w:t>
            </w:r>
            <w:proofErr w:type="spellStart"/>
            <w:r w:rsidRPr="009076BB">
              <w:rPr>
                <w:rFonts w:ascii="Segoe UI" w:hAnsi="Segoe UI" w:cs="Segoe UI"/>
                <w:sz w:val="18"/>
                <w:szCs w:val="18"/>
              </w:rPr>
              <w:t>Holdhoff</w:t>
            </w:r>
            <w:proofErr w:type="spellEnd"/>
            <w:r w:rsidRPr="009076BB">
              <w:rPr>
                <w:rFonts w:ascii="Segoe UI" w:hAnsi="Segoe UI" w:cs="Segoe UI"/>
                <w:sz w:val="18"/>
                <w:szCs w:val="18"/>
              </w:rPr>
              <w:t xml:space="preserve"> M. Actionable Molecular Biomarkers in Primary Brain </w:t>
            </w:r>
            <w:proofErr w:type="spellStart"/>
            <w:r w:rsidRPr="009076BB">
              <w:rPr>
                <w:rFonts w:ascii="Segoe UI" w:hAnsi="Segoe UI" w:cs="Segoe UI"/>
                <w:sz w:val="18"/>
                <w:szCs w:val="18"/>
              </w:rPr>
              <w:t>Tumors</w:t>
            </w:r>
            <w:proofErr w:type="spellEnd"/>
            <w:r w:rsidRPr="009076BB">
              <w:rPr>
                <w:rFonts w:ascii="Segoe UI" w:hAnsi="Segoe UI" w:cs="Segoe UI"/>
                <w:sz w:val="18"/>
                <w:szCs w:val="18"/>
              </w:rPr>
              <w:t>. Trends Cancer. 2016</w:t>
            </w:r>
            <w:proofErr w:type="gramStart"/>
            <w:r w:rsidRPr="009076BB">
              <w:rPr>
                <w:rFonts w:ascii="Segoe UI" w:hAnsi="Segoe UI" w:cs="Segoe UI"/>
                <w:sz w:val="18"/>
                <w:szCs w:val="18"/>
              </w:rPr>
              <w:t>;2</w:t>
            </w:r>
            <w:proofErr w:type="gramEnd"/>
            <w:r w:rsidRPr="009076BB">
              <w:rPr>
                <w:rFonts w:ascii="Segoe UI" w:hAnsi="Segoe UI" w:cs="Segoe UI"/>
                <w:sz w:val="18"/>
                <w:szCs w:val="18"/>
              </w:rPr>
              <w:t xml:space="preserve">(7):338-49. </w:t>
            </w:r>
          </w:p>
        </w:tc>
        <w:tc>
          <w:tcPr>
            <w:tcW w:w="2126" w:type="dxa"/>
          </w:tcPr>
          <w:p w14:paraId="27E097AC" w14:textId="77777777" w:rsidR="009076BB" w:rsidRPr="009076BB" w:rsidRDefault="009076BB" w:rsidP="009076BB">
            <w:pPr>
              <w:spacing w:before="0" w:after="0"/>
              <w:rPr>
                <w:szCs w:val="20"/>
              </w:rPr>
            </w:pPr>
            <w:r w:rsidRPr="009076BB">
              <w:rPr>
                <w:szCs w:val="20"/>
              </w:rPr>
              <w:t>Study of actionable biomarkers available in the diagnosis of brain tumours. (</w:t>
            </w:r>
            <w:proofErr w:type="spellStart"/>
            <w:r w:rsidRPr="009076BB">
              <w:rPr>
                <w:szCs w:val="20"/>
              </w:rPr>
              <w:t>i</w:t>
            </w:r>
            <w:proofErr w:type="spellEnd"/>
            <w:r w:rsidRPr="009076BB">
              <w:rPr>
                <w:szCs w:val="20"/>
              </w:rPr>
              <w:t xml:space="preserve">) MGMT promoter methylation as a prognostic and predictive marker in glioblastoma; (ii) </w:t>
            </w:r>
            <w:proofErr w:type="spellStart"/>
            <w:r w:rsidRPr="009076BB">
              <w:rPr>
                <w:szCs w:val="20"/>
              </w:rPr>
              <w:t>codeletion</w:t>
            </w:r>
            <w:proofErr w:type="spellEnd"/>
            <w:r w:rsidRPr="009076BB">
              <w:rPr>
                <w:szCs w:val="20"/>
              </w:rPr>
              <w:t xml:space="preserve"> of 1p and 19q differentiating </w:t>
            </w:r>
            <w:proofErr w:type="spellStart"/>
            <w:r w:rsidRPr="009076BB">
              <w:rPr>
                <w:szCs w:val="20"/>
              </w:rPr>
              <w:t>oligodendrogliomas</w:t>
            </w:r>
            <w:proofErr w:type="spellEnd"/>
            <w:r w:rsidRPr="009076BB">
              <w:rPr>
                <w:szCs w:val="20"/>
              </w:rPr>
              <w:t xml:space="preserve"> from </w:t>
            </w:r>
            <w:proofErr w:type="spellStart"/>
            <w:r w:rsidRPr="009076BB">
              <w:rPr>
                <w:szCs w:val="20"/>
              </w:rPr>
              <w:t>astrocytomas</w:t>
            </w:r>
            <w:proofErr w:type="spellEnd"/>
            <w:r w:rsidRPr="009076BB">
              <w:rPr>
                <w:szCs w:val="20"/>
              </w:rPr>
              <w:t>; (iii) IDH1/2 mutations; and (iv) select pathway-associated mutations.</w:t>
            </w:r>
          </w:p>
        </w:tc>
        <w:tc>
          <w:tcPr>
            <w:tcW w:w="1757" w:type="dxa"/>
          </w:tcPr>
          <w:p w14:paraId="6E276C8F" w14:textId="4C43D36B" w:rsidR="009076BB" w:rsidRPr="009076BB" w:rsidRDefault="00FF46CE" w:rsidP="009076BB">
            <w:pPr>
              <w:autoSpaceDE w:val="0"/>
              <w:autoSpaceDN w:val="0"/>
              <w:adjustRightInd w:val="0"/>
              <w:spacing w:before="0" w:after="0"/>
              <w:rPr>
                <w:rFonts w:ascii="Segoe UI" w:hAnsi="Segoe UI" w:cs="Segoe UI"/>
                <w:sz w:val="18"/>
                <w:szCs w:val="18"/>
              </w:rPr>
            </w:pPr>
            <w:hyperlink r:id="rId23" w:history="1">
              <w:r w:rsidR="0088588F">
                <w:rPr>
                  <w:rFonts w:ascii="Segoe UI" w:hAnsi="Segoe UI" w:cs="Segoe UI"/>
                  <w:color w:val="0000FF" w:themeColor="hyperlink"/>
                  <w:sz w:val="18"/>
                  <w:szCs w:val="18"/>
                  <w:u w:val="single"/>
                </w:rPr>
                <w:t xml:space="preserve">Actionable Molecular Biomarkers in Primary Brain </w:t>
              </w:r>
              <w:proofErr w:type="spellStart"/>
              <w:r w:rsidR="0088588F">
                <w:rPr>
                  <w:rFonts w:ascii="Segoe UI" w:hAnsi="Segoe UI" w:cs="Segoe UI"/>
                  <w:color w:val="0000FF" w:themeColor="hyperlink"/>
                  <w:sz w:val="18"/>
                  <w:szCs w:val="18"/>
                  <w:u w:val="single"/>
                </w:rPr>
                <w:t>Tumors</w:t>
              </w:r>
              <w:proofErr w:type="spellEnd"/>
            </w:hyperlink>
          </w:p>
        </w:tc>
        <w:tc>
          <w:tcPr>
            <w:tcW w:w="998" w:type="dxa"/>
          </w:tcPr>
          <w:p w14:paraId="797CAA4C" w14:textId="77777777" w:rsidR="009076BB" w:rsidRPr="009076BB" w:rsidRDefault="009076BB" w:rsidP="009076BB">
            <w:pPr>
              <w:spacing w:before="0" w:after="0"/>
              <w:rPr>
                <w:szCs w:val="20"/>
              </w:rPr>
            </w:pPr>
            <w:r w:rsidRPr="009076BB">
              <w:rPr>
                <w:szCs w:val="20"/>
              </w:rPr>
              <w:t>2016</w:t>
            </w:r>
          </w:p>
        </w:tc>
      </w:tr>
      <w:tr w:rsidR="009076BB" w:rsidRPr="009076BB" w14:paraId="38FCBB68" w14:textId="77777777" w:rsidTr="00F91393">
        <w:tc>
          <w:tcPr>
            <w:tcW w:w="567" w:type="dxa"/>
          </w:tcPr>
          <w:p w14:paraId="54FDA439" w14:textId="77777777" w:rsidR="009076BB" w:rsidRPr="009076BB" w:rsidRDefault="009076BB" w:rsidP="009076BB">
            <w:pPr>
              <w:spacing w:before="0" w:after="0"/>
              <w:rPr>
                <w:szCs w:val="20"/>
              </w:rPr>
            </w:pPr>
            <w:r w:rsidRPr="009076BB">
              <w:rPr>
                <w:szCs w:val="20"/>
              </w:rPr>
              <w:t>6.</w:t>
            </w:r>
          </w:p>
        </w:tc>
        <w:tc>
          <w:tcPr>
            <w:tcW w:w="1417" w:type="dxa"/>
          </w:tcPr>
          <w:p w14:paraId="2191F088" w14:textId="77777777" w:rsidR="009076BB" w:rsidRPr="009076BB" w:rsidRDefault="009076BB" w:rsidP="009076BB">
            <w:pPr>
              <w:spacing w:before="0" w:after="0"/>
              <w:rPr>
                <w:szCs w:val="20"/>
              </w:rPr>
            </w:pPr>
            <w:r w:rsidRPr="009076BB">
              <w:rPr>
                <w:szCs w:val="20"/>
              </w:rPr>
              <w:t>Observational study</w:t>
            </w:r>
          </w:p>
        </w:tc>
        <w:tc>
          <w:tcPr>
            <w:tcW w:w="1843" w:type="dxa"/>
          </w:tcPr>
          <w:p w14:paraId="76C5525E" w14:textId="77777777" w:rsidR="009076BB" w:rsidRPr="009076BB" w:rsidRDefault="009076BB" w:rsidP="009076BB">
            <w:pPr>
              <w:spacing w:before="0" w:after="0"/>
              <w:rPr>
                <w:szCs w:val="20"/>
              </w:rPr>
            </w:pPr>
            <w:r w:rsidRPr="009076BB">
              <w:rPr>
                <w:szCs w:val="20"/>
              </w:rPr>
              <w:t>Rare Cancers Australia: Just a Little More Time Rare Cancers Update Report. 2016</w:t>
            </w:r>
          </w:p>
        </w:tc>
        <w:tc>
          <w:tcPr>
            <w:tcW w:w="2126" w:type="dxa"/>
          </w:tcPr>
          <w:p w14:paraId="0AF5CC80" w14:textId="77777777" w:rsidR="009076BB" w:rsidRPr="009076BB" w:rsidRDefault="009076BB" w:rsidP="009076BB">
            <w:pPr>
              <w:spacing w:before="0" w:after="0"/>
              <w:rPr>
                <w:szCs w:val="20"/>
              </w:rPr>
            </w:pPr>
            <w:r w:rsidRPr="009076BB">
              <w:rPr>
                <w:szCs w:val="20"/>
              </w:rPr>
              <w:t xml:space="preserve">A review of available cancer data investigating the disparities existing for incidence, mortality and survival across the </w:t>
            </w:r>
            <w:r w:rsidRPr="009076BB">
              <w:rPr>
                <w:szCs w:val="20"/>
              </w:rPr>
              <w:lastRenderedPageBreak/>
              <w:t>cancer spectrum. The study provided a definition for rare cancers, and the burden of disease that rare and less common cancers pose across all ages in Australia</w:t>
            </w:r>
          </w:p>
        </w:tc>
        <w:tc>
          <w:tcPr>
            <w:tcW w:w="1757" w:type="dxa"/>
          </w:tcPr>
          <w:p w14:paraId="12B2F0CB" w14:textId="213A22E6" w:rsidR="009076BB" w:rsidRPr="009076BB" w:rsidRDefault="00FF46CE" w:rsidP="009076BB">
            <w:pPr>
              <w:spacing w:before="0" w:after="0"/>
              <w:rPr>
                <w:szCs w:val="20"/>
              </w:rPr>
            </w:pPr>
            <w:hyperlink r:id="rId24" w:history="1">
              <w:r w:rsidR="0088588F">
                <w:rPr>
                  <w:color w:val="0000FF" w:themeColor="hyperlink"/>
                  <w:szCs w:val="20"/>
                  <w:u w:val="single"/>
                </w:rPr>
                <w:t>Just a Little More Time Rare Cancers Update Report. 2016</w:t>
              </w:r>
            </w:hyperlink>
            <w:r w:rsidR="009076BB" w:rsidRPr="009076BB">
              <w:rPr>
                <w:szCs w:val="20"/>
              </w:rPr>
              <w:t xml:space="preserve"> </w:t>
            </w:r>
          </w:p>
        </w:tc>
        <w:tc>
          <w:tcPr>
            <w:tcW w:w="998" w:type="dxa"/>
          </w:tcPr>
          <w:p w14:paraId="75CC4840" w14:textId="77777777" w:rsidR="009076BB" w:rsidRPr="009076BB" w:rsidRDefault="009076BB" w:rsidP="009076BB">
            <w:pPr>
              <w:spacing w:before="0" w:after="0"/>
              <w:rPr>
                <w:szCs w:val="20"/>
              </w:rPr>
            </w:pPr>
            <w:r w:rsidRPr="009076BB">
              <w:rPr>
                <w:szCs w:val="20"/>
              </w:rPr>
              <w:t>2016</w:t>
            </w:r>
          </w:p>
        </w:tc>
      </w:tr>
      <w:tr w:rsidR="009076BB" w:rsidRPr="009076BB" w14:paraId="437CC4B8" w14:textId="77777777" w:rsidTr="00F91393">
        <w:tc>
          <w:tcPr>
            <w:tcW w:w="567" w:type="dxa"/>
          </w:tcPr>
          <w:p w14:paraId="52AE5DDF" w14:textId="77777777" w:rsidR="009076BB" w:rsidRPr="009076BB" w:rsidRDefault="009076BB" w:rsidP="009076BB">
            <w:pPr>
              <w:spacing w:before="0" w:after="0"/>
              <w:rPr>
                <w:szCs w:val="20"/>
              </w:rPr>
            </w:pPr>
            <w:r w:rsidRPr="009076BB">
              <w:rPr>
                <w:szCs w:val="20"/>
              </w:rPr>
              <w:lastRenderedPageBreak/>
              <w:t>7.</w:t>
            </w:r>
          </w:p>
        </w:tc>
        <w:tc>
          <w:tcPr>
            <w:tcW w:w="1417" w:type="dxa"/>
          </w:tcPr>
          <w:p w14:paraId="06540CBB" w14:textId="77777777" w:rsidR="009076BB" w:rsidRPr="009076BB" w:rsidRDefault="009076BB" w:rsidP="009076BB">
            <w:pPr>
              <w:spacing w:before="0" w:after="0"/>
              <w:rPr>
                <w:szCs w:val="20"/>
              </w:rPr>
            </w:pPr>
            <w:r w:rsidRPr="009076BB">
              <w:rPr>
                <w:szCs w:val="20"/>
              </w:rPr>
              <w:t>Health economics study</w:t>
            </w:r>
          </w:p>
        </w:tc>
        <w:tc>
          <w:tcPr>
            <w:tcW w:w="1843" w:type="dxa"/>
          </w:tcPr>
          <w:p w14:paraId="617917CE" w14:textId="77777777" w:rsidR="009076BB" w:rsidRPr="009076BB" w:rsidRDefault="009076BB" w:rsidP="009076BB">
            <w:pPr>
              <w:spacing w:before="0" w:after="0"/>
              <w:rPr>
                <w:szCs w:val="20"/>
              </w:rPr>
            </w:pPr>
            <w:r w:rsidRPr="009076BB">
              <w:rPr>
                <w:szCs w:val="20"/>
              </w:rPr>
              <w:t xml:space="preserve">Sabatini LM, Mathews C, </w:t>
            </w:r>
            <w:proofErr w:type="spellStart"/>
            <w:r w:rsidRPr="009076BB">
              <w:rPr>
                <w:szCs w:val="20"/>
              </w:rPr>
              <w:t>Ptak</w:t>
            </w:r>
            <w:proofErr w:type="spellEnd"/>
            <w:r w:rsidRPr="009076BB">
              <w:rPr>
                <w:szCs w:val="20"/>
              </w:rPr>
              <w:t xml:space="preserve"> D, et al: Genomic Sequencing Procedure </w:t>
            </w:r>
            <w:proofErr w:type="spellStart"/>
            <w:r w:rsidRPr="009076BB">
              <w:rPr>
                <w:szCs w:val="20"/>
              </w:rPr>
              <w:t>Microcosting</w:t>
            </w:r>
            <w:proofErr w:type="spellEnd"/>
            <w:r w:rsidRPr="009076BB">
              <w:rPr>
                <w:szCs w:val="20"/>
              </w:rPr>
              <w:t xml:space="preserve"> Analysis and Health Economic Cost-Impact Analysis: A Report of the Association for Molecular Pathology. J of </w:t>
            </w:r>
            <w:proofErr w:type="spellStart"/>
            <w:r w:rsidRPr="009076BB">
              <w:rPr>
                <w:szCs w:val="20"/>
              </w:rPr>
              <w:t>Mol</w:t>
            </w:r>
            <w:proofErr w:type="spellEnd"/>
            <w:r w:rsidRPr="009076BB">
              <w:rPr>
                <w:szCs w:val="20"/>
              </w:rPr>
              <w:t xml:space="preserve"> </w:t>
            </w:r>
            <w:proofErr w:type="spellStart"/>
            <w:r w:rsidRPr="009076BB">
              <w:rPr>
                <w:szCs w:val="20"/>
              </w:rPr>
              <w:t>Diagn</w:t>
            </w:r>
            <w:proofErr w:type="spellEnd"/>
            <w:r w:rsidRPr="009076BB">
              <w:rPr>
                <w:szCs w:val="20"/>
              </w:rPr>
              <w:t xml:space="preserve"> 2016;18:319-328, </w:t>
            </w:r>
          </w:p>
        </w:tc>
        <w:tc>
          <w:tcPr>
            <w:tcW w:w="2126" w:type="dxa"/>
          </w:tcPr>
          <w:p w14:paraId="7D932AAD" w14:textId="77777777" w:rsidR="009076BB" w:rsidRPr="009076BB" w:rsidRDefault="009076BB" w:rsidP="009076BB">
            <w:pPr>
              <w:spacing w:before="0" w:after="0"/>
              <w:rPr>
                <w:szCs w:val="20"/>
              </w:rPr>
            </w:pPr>
            <w:r w:rsidRPr="009076BB">
              <w:rPr>
                <w:szCs w:val="20"/>
              </w:rPr>
              <w:t xml:space="preserve">US Study by Association for Molecular Pathology on cost and value analysis of specific genomic sequencing procedures (GSPs) gathered from representative laboratories’ data. Cost-impact models for three clinical scenarios were generated -advanced non–small-cell lung cancer sensorineural hearing loss, and paediatric neurodevelopmental disorders of unknown genetic aetiology. </w:t>
            </w:r>
          </w:p>
        </w:tc>
        <w:tc>
          <w:tcPr>
            <w:tcW w:w="1757" w:type="dxa"/>
          </w:tcPr>
          <w:p w14:paraId="11D91DD2" w14:textId="7C60FF73" w:rsidR="009076BB" w:rsidRPr="009076BB" w:rsidRDefault="00FF46CE" w:rsidP="009076BB">
            <w:pPr>
              <w:spacing w:before="0" w:after="0"/>
              <w:rPr>
                <w:szCs w:val="20"/>
              </w:rPr>
            </w:pPr>
            <w:hyperlink r:id="rId25" w:history="1">
              <w:r w:rsidR="0088588F">
                <w:rPr>
                  <w:color w:val="0000FF" w:themeColor="hyperlink"/>
                  <w:szCs w:val="20"/>
                  <w:u w:val="single"/>
                </w:rPr>
                <w:t xml:space="preserve">Genomic Sequencing Procedure </w:t>
              </w:r>
              <w:proofErr w:type="spellStart"/>
              <w:r w:rsidR="0088588F">
                <w:rPr>
                  <w:color w:val="0000FF" w:themeColor="hyperlink"/>
                  <w:szCs w:val="20"/>
                  <w:u w:val="single"/>
                </w:rPr>
                <w:t>Microcosting</w:t>
              </w:r>
              <w:proofErr w:type="spellEnd"/>
              <w:r w:rsidR="0088588F">
                <w:rPr>
                  <w:color w:val="0000FF" w:themeColor="hyperlink"/>
                  <w:szCs w:val="20"/>
                  <w:u w:val="single"/>
                </w:rPr>
                <w:t xml:space="preserve"> Analysis and Health Economic Cost-Impact Analysis: A Report of the Association for Molecular Pathology</w:t>
              </w:r>
            </w:hyperlink>
            <w:r w:rsidR="009076BB" w:rsidRPr="009076BB">
              <w:rPr>
                <w:szCs w:val="20"/>
              </w:rPr>
              <w:t xml:space="preserve"> </w:t>
            </w:r>
          </w:p>
          <w:p w14:paraId="5159B537" w14:textId="77777777" w:rsidR="009076BB" w:rsidRPr="009076BB" w:rsidRDefault="009076BB" w:rsidP="009076BB">
            <w:pPr>
              <w:spacing w:before="0" w:after="0"/>
              <w:rPr>
                <w:szCs w:val="20"/>
              </w:rPr>
            </w:pPr>
          </w:p>
          <w:p w14:paraId="7989D419" w14:textId="77777777" w:rsidR="009076BB" w:rsidRPr="009076BB" w:rsidRDefault="009076BB" w:rsidP="009076BB">
            <w:pPr>
              <w:spacing w:before="0" w:after="0"/>
              <w:rPr>
                <w:szCs w:val="20"/>
              </w:rPr>
            </w:pPr>
          </w:p>
        </w:tc>
        <w:tc>
          <w:tcPr>
            <w:tcW w:w="998" w:type="dxa"/>
          </w:tcPr>
          <w:p w14:paraId="379AAA1C" w14:textId="77777777" w:rsidR="009076BB" w:rsidRPr="009076BB" w:rsidRDefault="009076BB" w:rsidP="009076BB">
            <w:pPr>
              <w:spacing w:before="0" w:after="0"/>
              <w:rPr>
                <w:szCs w:val="20"/>
              </w:rPr>
            </w:pPr>
            <w:r w:rsidRPr="009076BB">
              <w:rPr>
                <w:szCs w:val="20"/>
              </w:rPr>
              <w:t>2016</w:t>
            </w:r>
          </w:p>
        </w:tc>
      </w:tr>
    </w:tbl>
    <w:p w14:paraId="3BD55F2D" w14:textId="77777777" w:rsidR="001D0B8B" w:rsidRDefault="001D0B8B" w:rsidP="00861B31">
      <w:pPr>
        <w:rPr>
          <w:b/>
        </w:rPr>
      </w:pPr>
    </w:p>
    <w:p w14:paraId="6779FA4F" w14:textId="48A96EEB" w:rsidR="009076BB" w:rsidRDefault="001D0B8B" w:rsidP="00861B31">
      <w:pPr>
        <w:rPr>
          <w:b/>
        </w:rPr>
      </w:pPr>
      <w:r>
        <w:rPr>
          <w:b/>
        </w:rPr>
        <w:tab/>
      </w:r>
      <w:r w:rsidR="005D6D1B" w:rsidRPr="0071569B">
        <w:rPr>
          <w:b/>
        </w:rPr>
        <w:t>Soft Tissue and Bone Tumours</w:t>
      </w:r>
    </w:p>
    <w:p w14:paraId="4D84A89A" w14:textId="77777777" w:rsidR="0071569B" w:rsidRPr="0071569B" w:rsidRDefault="0071569B" w:rsidP="00861B31">
      <w:pPr>
        <w:rPr>
          <w:b/>
          <w:szCs w:val="20"/>
        </w:rPr>
      </w:pPr>
    </w:p>
    <w:tbl>
      <w:tblPr>
        <w:tblStyle w:val="TableGrid5"/>
        <w:tblW w:w="0" w:type="auto"/>
        <w:tblInd w:w="534" w:type="dxa"/>
        <w:tblLayout w:type="fixed"/>
        <w:tblLook w:val="04A0" w:firstRow="1" w:lastRow="0" w:firstColumn="1" w:lastColumn="0" w:noHBand="0" w:noVBand="1"/>
        <w:tblCaption w:val="Table outlining summary of evidence"/>
        <w:tblDescription w:val="."/>
      </w:tblPr>
      <w:tblGrid>
        <w:gridCol w:w="567"/>
        <w:gridCol w:w="1417"/>
        <w:gridCol w:w="1843"/>
        <w:gridCol w:w="2126"/>
        <w:gridCol w:w="1757"/>
        <w:gridCol w:w="998"/>
      </w:tblGrid>
      <w:tr w:rsidR="0071569B" w:rsidRPr="0071569B" w14:paraId="64662F20" w14:textId="77777777" w:rsidTr="00FF46CE">
        <w:trPr>
          <w:tblHeader/>
        </w:trPr>
        <w:tc>
          <w:tcPr>
            <w:tcW w:w="567" w:type="dxa"/>
          </w:tcPr>
          <w:p w14:paraId="7544F81B" w14:textId="77777777" w:rsidR="0071569B" w:rsidRPr="0071569B" w:rsidRDefault="0071569B" w:rsidP="0071569B">
            <w:pPr>
              <w:spacing w:before="0" w:after="0"/>
              <w:rPr>
                <w:b/>
                <w:szCs w:val="20"/>
              </w:rPr>
            </w:pPr>
          </w:p>
        </w:tc>
        <w:tc>
          <w:tcPr>
            <w:tcW w:w="1417" w:type="dxa"/>
          </w:tcPr>
          <w:p w14:paraId="71EF0DAE" w14:textId="77777777" w:rsidR="0071569B" w:rsidRPr="0071569B" w:rsidRDefault="0071569B" w:rsidP="0071569B">
            <w:pPr>
              <w:spacing w:before="0" w:after="0"/>
              <w:rPr>
                <w:b/>
                <w:szCs w:val="20"/>
              </w:rPr>
            </w:pPr>
            <w:r w:rsidRPr="0071569B">
              <w:rPr>
                <w:b/>
                <w:szCs w:val="20"/>
              </w:rPr>
              <w:t>Type of study design*</w:t>
            </w:r>
          </w:p>
        </w:tc>
        <w:tc>
          <w:tcPr>
            <w:tcW w:w="1843" w:type="dxa"/>
          </w:tcPr>
          <w:p w14:paraId="7AECBF5F" w14:textId="77777777" w:rsidR="0071569B" w:rsidRPr="0071569B" w:rsidRDefault="0071569B" w:rsidP="0071569B">
            <w:pPr>
              <w:spacing w:before="0" w:after="0"/>
              <w:rPr>
                <w:b/>
                <w:szCs w:val="20"/>
              </w:rPr>
            </w:pPr>
            <w:r w:rsidRPr="0071569B">
              <w:rPr>
                <w:b/>
                <w:szCs w:val="20"/>
              </w:rPr>
              <w:t>Title of journal article  or research project (including any trial identifier or study lead if relevant)</w:t>
            </w:r>
          </w:p>
        </w:tc>
        <w:tc>
          <w:tcPr>
            <w:tcW w:w="2126" w:type="dxa"/>
          </w:tcPr>
          <w:p w14:paraId="6776A6C1" w14:textId="77777777" w:rsidR="0071569B" w:rsidRPr="0071569B" w:rsidRDefault="0071569B" w:rsidP="0071569B">
            <w:pPr>
              <w:spacing w:before="0" w:after="0"/>
              <w:rPr>
                <w:b/>
                <w:szCs w:val="20"/>
              </w:rPr>
            </w:pPr>
            <w:r w:rsidRPr="0071569B">
              <w:rPr>
                <w:b/>
                <w:szCs w:val="20"/>
              </w:rPr>
              <w:t>Short description of research  (max 50 words)**</w:t>
            </w:r>
          </w:p>
        </w:tc>
        <w:tc>
          <w:tcPr>
            <w:tcW w:w="1757" w:type="dxa"/>
          </w:tcPr>
          <w:p w14:paraId="4DE83512" w14:textId="77777777" w:rsidR="0071569B" w:rsidRPr="0071569B" w:rsidRDefault="0071569B" w:rsidP="0071569B">
            <w:pPr>
              <w:spacing w:before="0" w:after="0"/>
              <w:rPr>
                <w:b/>
                <w:szCs w:val="20"/>
              </w:rPr>
            </w:pPr>
            <w:r w:rsidRPr="0071569B">
              <w:rPr>
                <w:b/>
                <w:szCs w:val="20"/>
              </w:rPr>
              <w:t>Website link to journal article or research (if available)</w:t>
            </w:r>
          </w:p>
        </w:tc>
        <w:tc>
          <w:tcPr>
            <w:tcW w:w="998" w:type="dxa"/>
          </w:tcPr>
          <w:p w14:paraId="6048D026" w14:textId="77777777" w:rsidR="0071569B" w:rsidRPr="0071569B" w:rsidRDefault="0071569B" w:rsidP="0071569B">
            <w:pPr>
              <w:spacing w:before="0" w:after="0"/>
              <w:rPr>
                <w:b/>
                <w:szCs w:val="20"/>
              </w:rPr>
            </w:pPr>
            <w:r w:rsidRPr="0071569B">
              <w:rPr>
                <w:b/>
                <w:szCs w:val="20"/>
              </w:rPr>
              <w:t>Date of publication***</w:t>
            </w:r>
          </w:p>
        </w:tc>
      </w:tr>
      <w:tr w:rsidR="0071569B" w:rsidRPr="0071569B" w14:paraId="028A66D8" w14:textId="77777777" w:rsidTr="00F91393">
        <w:tc>
          <w:tcPr>
            <w:tcW w:w="567" w:type="dxa"/>
          </w:tcPr>
          <w:p w14:paraId="3F2AB8FD" w14:textId="77777777" w:rsidR="0071569B" w:rsidRPr="0071569B" w:rsidRDefault="0071569B" w:rsidP="0071569B">
            <w:pPr>
              <w:spacing w:before="0" w:after="0"/>
              <w:rPr>
                <w:szCs w:val="20"/>
              </w:rPr>
            </w:pPr>
            <w:r w:rsidRPr="0071569B">
              <w:rPr>
                <w:szCs w:val="20"/>
              </w:rPr>
              <w:t>1.</w:t>
            </w:r>
          </w:p>
        </w:tc>
        <w:tc>
          <w:tcPr>
            <w:tcW w:w="1417" w:type="dxa"/>
          </w:tcPr>
          <w:p w14:paraId="65079DFF" w14:textId="77777777" w:rsidR="0071569B" w:rsidRPr="0071569B" w:rsidRDefault="0071569B" w:rsidP="0071569B">
            <w:pPr>
              <w:spacing w:before="0" w:after="0"/>
              <w:rPr>
                <w:szCs w:val="20"/>
              </w:rPr>
            </w:pPr>
            <w:r w:rsidRPr="0071569B">
              <w:rPr>
                <w:szCs w:val="20"/>
              </w:rPr>
              <w:t>Prospective, multicentre, observational study</w:t>
            </w:r>
          </w:p>
        </w:tc>
        <w:tc>
          <w:tcPr>
            <w:tcW w:w="1843" w:type="dxa"/>
          </w:tcPr>
          <w:p w14:paraId="7045228A" w14:textId="77777777" w:rsidR="0071569B" w:rsidRPr="0071569B" w:rsidRDefault="0071569B" w:rsidP="0071569B">
            <w:pPr>
              <w:spacing w:before="0" w:after="0"/>
              <w:rPr>
                <w:szCs w:val="20"/>
              </w:rPr>
            </w:pPr>
            <w:proofErr w:type="spellStart"/>
            <w:r w:rsidRPr="0071569B">
              <w:rPr>
                <w:szCs w:val="20"/>
              </w:rPr>
              <w:t>Italiano</w:t>
            </w:r>
            <w:proofErr w:type="spellEnd"/>
            <w:r w:rsidRPr="0071569B">
              <w:rPr>
                <w:szCs w:val="20"/>
              </w:rPr>
              <w:t xml:space="preserve"> A, Di Mauro I, Rapp J, et al: Clinical effect of molecular methods in sarcoma diagnosis (GENSARC): a prospective, multicentre, observational study. Lancet </w:t>
            </w:r>
            <w:proofErr w:type="spellStart"/>
            <w:r w:rsidRPr="0071569B">
              <w:rPr>
                <w:szCs w:val="20"/>
              </w:rPr>
              <w:t>Oncol</w:t>
            </w:r>
            <w:proofErr w:type="spellEnd"/>
            <w:r w:rsidRPr="0071569B">
              <w:rPr>
                <w:rFonts w:ascii="Segoe UI" w:hAnsi="Segoe UI" w:cs="Segoe UI"/>
                <w:sz w:val="18"/>
                <w:szCs w:val="18"/>
              </w:rPr>
              <w:t xml:space="preserve"> </w:t>
            </w:r>
            <w:r w:rsidRPr="0071569B">
              <w:rPr>
                <w:rFonts w:ascii="Segoe UI" w:hAnsi="Segoe UI" w:cs="Segoe UI"/>
                <w:sz w:val="18"/>
                <w:szCs w:val="18"/>
              </w:rPr>
              <w:lastRenderedPageBreak/>
              <w:t>2016;17(4):532-8</w:t>
            </w:r>
          </w:p>
        </w:tc>
        <w:tc>
          <w:tcPr>
            <w:tcW w:w="2126" w:type="dxa"/>
          </w:tcPr>
          <w:p w14:paraId="274AFF58" w14:textId="77777777" w:rsidR="0071569B" w:rsidRPr="0071569B" w:rsidRDefault="0071569B" w:rsidP="0071569B">
            <w:pPr>
              <w:spacing w:before="0" w:after="0"/>
              <w:rPr>
                <w:szCs w:val="20"/>
              </w:rPr>
            </w:pPr>
            <w:r w:rsidRPr="0071569B">
              <w:rPr>
                <w:szCs w:val="20"/>
              </w:rPr>
              <w:lastRenderedPageBreak/>
              <w:t xml:space="preserve">A study of 384 patients assessing the clinical effect of systematic implementation of molecular assays to improve sarcoma diagnosis, by the identification of type-specific aberrations. The study concluded that molecular genetic </w:t>
            </w:r>
            <w:r w:rsidRPr="0071569B">
              <w:rPr>
                <w:szCs w:val="20"/>
              </w:rPr>
              <w:lastRenderedPageBreak/>
              <w:t>testing should be mandatory for diagnostic accuracy and appropriate clinical management of sarcoma.</w:t>
            </w:r>
          </w:p>
        </w:tc>
        <w:tc>
          <w:tcPr>
            <w:tcW w:w="1757" w:type="dxa"/>
          </w:tcPr>
          <w:p w14:paraId="0332AC83" w14:textId="6FE1A04A" w:rsidR="0071569B" w:rsidRPr="0071569B" w:rsidRDefault="00FF46CE" w:rsidP="0071569B">
            <w:pPr>
              <w:spacing w:before="0" w:after="0"/>
              <w:rPr>
                <w:szCs w:val="20"/>
              </w:rPr>
            </w:pPr>
            <w:hyperlink r:id="rId26" w:history="1">
              <w:r w:rsidR="0088588F">
                <w:rPr>
                  <w:rFonts w:ascii="Segoe UI" w:hAnsi="Segoe UI" w:cs="Segoe UI"/>
                  <w:color w:val="0000FF" w:themeColor="hyperlink"/>
                  <w:sz w:val="18"/>
                  <w:szCs w:val="18"/>
                  <w:u w:val="single"/>
                </w:rPr>
                <w:t>Clinical effect of molecular methods in sarcoma diagnosis (GENSARC): a prospective, multicentre, observational study</w:t>
              </w:r>
            </w:hyperlink>
            <w:r w:rsidR="0071569B" w:rsidRPr="0071569B">
              <w:rPr>
                <w:rFonts w:ascii="Segoe UI" w:hAnsi="Segoe UI" w:cs="Segoe UI"/>
                <w:sz w:val="18"/>
                <w:szCs w:val="18"/>
              </w:rPr>
              <w:t xml:space="preserve"> </w:t>
            </w:r>
          </w:p>
        </w:tc>
        <w:tc>
          <w:tcPr>
            <w:tcW w:w="998" w:type="dxa"/>
          </w:tcPr>
          <w:p w14:paraId="4A10D363" w14:textId="77777777" w:rsidR="0071569B" w:rsidRPr="0071569B" w:rsidRDefault="0071569B" w:rsidP="0071569B">
            <w:pPr>
              <w:spacing w:before="0" w:after="0"/>
              <w:rPr>
                <w:szCs w:val="20"/>
              </w:rPr>
            </w:pPr>
            <w:r w:rsidRPr="0071569B">
              <w:rPr>
                <w:szCs w:val="20"/>
              </w:rPr>
              <w:t>9 Mar 2016</w:t>
            </w:r>
          </w:p>
        </w:tc>
      </w:tr>
      <w:tr w:rsidR="0071569B" w:rsidRPr="0071569B" w14:paraId="70F7E149" w14:textId="77777777" w:rsidTr="001D0B8B">
        <w:tc>
          <w:tcPr>
            <w:tcW w:w="567" w:type="dxa"/>
            <w:shd w:val="clear" w:color="auto" w:fill="FFFFFF" w:themeFill="background1"/>
          </w:tcPr>
          <w:p w14:paraId="129829D7" w14:textId="77777777" w:rsidR="0071569B" w:rsidRPr="001D0B8B" w:rsidRDefault="0071569B" w:rsidP="0071569B">
            <w:pPr>
              <w:spacing w:before="0" w:after="0"/>
              <w:rPr>
                <w:szCs w:val="20"/>
              </w:rPr>
            </w:pPr>
            <w:r w:rsidRPr="001D0B8B">
              <w:rPr>
                <w:szCs w:val="20"/>
              </w:rPr>
              <w:lastRenderedPageBreak/>
              <w:t>2.</w:t>
            </w:r>
          </w:p>
        </w:tc>
        <w:tc>
          <w:tcPr>
            <w:tcW w:w="1417" w:type="dxa"/>
            <w:shd w:val="clear" w:color="auto" w:fill="FFFFFF" w:themeFill="background1"/>
          </w:tcPr>
          <w:p w14:paraId="7289C784" w14:textId="77777777" w:rsidR="0071569B" w:rsidRPr="001D0B8B" w:rsidRDefault="0071569B" w:rsidP="0071569B">
            <w:pPr>
              <w:spacing w:before="0" w:after="0"/>
              <w:rPr>
                <w:szCs w:val="20"/>
              </w:rPr>
            </w:pPr>
            <w:r w:rsidRPr="001D0B8B">
              <w:rPr>
                <w:szCs w:val="20"/>
              </w:rPr>
              <w:t>Educational publication</w:t>
            </w:r>
          </w:p>
        </w:tc>
        <w:tc>
          <w:tcPr>
            <w:tcW w:w="1843" w:type="dxa"/>
            <w:shd w:val="clear" w:color="auto" w:fill="FFFFFF" w:themeFill="background1"/>
          </w:tcPr>
          <w:p w14:paraId="2AB7FC74" w14:textId="77777777" w:rsidR="0071569B" w:rsidRPr="001D0B8B" w:rsidRDefault="0071569B" w:rsidP="0071569B">
            <w:pPr>
              <w:spacing w:before="0" w:after="0"/>
              <w:rPr>
                <w:szCs w:val="20"/>
              </w:rPr>
            </w:pPr>
            <w:proofErr w:type="spellStart"/>
            <w:r w:rsidRPr="001D0B8B">
              <w:rPr>
                <w:szCs w:val="20"/>
              </w:rPr>
              <w:t>Agaimy</w:t>
            </w:r>
            <w:proofErr w:type="spellEnd"/>
            <w:r w:rsidRPr="001D0B8B">
              <w:rPr>
                <w:szCs w:val="20"/>
              </w:rPr>
              <w:t xml:space="preserve"> A, Haller F: CTNNB1 (beta-Catenin)-altered Neoplasia: A Review Focusing on Soft Tissue Neoplasms and Parenchymal Lesions of Uncertain </w:t>
            </w:r>
            <w:proofErr w:type="spellStart"/>
            <w:r w:rsidRPr="001D0B8B">
              <w:rPr>
                <w:szCs w:val="20"/>
              </w:rPr>
              <w:t>Histogenesis</w:t>
            </w:r>
            <w:proofErr w:type="spellEnd"/>
            <w:r w:rsidRPr="001D0B8B">
              <w:rPr>
                <w:szCs w:val="20"/>
              </w:rPr>
              <w:t xml:space="preserve">. </w:t>
            </w:r>
            <w:proofErr w:type="spellStart"/>
            <w:r w:rsidRPr="001D0B8B">
              <w:rPr>
                <w:szCs w:val="20"/>
              </w:rPr>
              <w:t>Adv</w:t>
            </w:r>
            <w:proofErr w:type="spellEnd"/>
            <w:r w:rsidRPr="001D0B8B">
              <w:rPr>
                <w:szCs w:val="20"/>
              </w:rPr>
              <w:t xml:space="preserve"> </w:t>
            </w:r>
            <w:proofErr w:type="spellStart"/>
            <w:r w:rsidRPr="001D0B8B">
              <w:rPr>
                <w:szCs w:val="20"/>
              </w:rPr>
              <w:t>Anat</w:t>
            </w:r>
            <w:proofErr w:type="spellEnd"/>
            <w:r w:rsidRPr="001D0B8B">
              <w:rPr>
                <w:szCs w:val="20"/>
              </w:rPr>
              <w:t xml:space="preserve"> </w:t>
            </w:r>
            <w:proofErr w:type="spellStart"/>
            <w:r w:rsidRPr="001D0B8B">
              <w:rPr>
                <w:szCs w:val="20"/>
              </w:rPr>
              <w:t>Pathol</w:t>
            </w:r>
            <w:proofErr w:type="spellEnd"/>
            <w:r w:rsidRPr="001D0B8B">
              <w:rPr>
                <w:szCs w:val="20"/>
              </w:rPr>
              <w:t xml:space="preserve"> 2016</w:t>
            </w:r>
            <w:proofErr w:type="gramStart"/>
            <w:r w:rsidRPr="001D0B8B">
              <w:rPr>
                <w:szCs w:val="20"/>
              </w:rPr>
              <w:t>;23:1</w:t>
            </w:r>
            <w:proofErr w:type="gramEnd"/>
            <w:r w:rsidRPr="001D0B8B">
              <w:rPr>
                <w:szCs w:val="20"/>
              </w:rPr>
              <w:t xml:space="preserve">-12. </w:t>
            </w:r>
          </w:p>
        </w:tc>
        <w:tc>
          <w:tcPr>
            <w:tcW w:w="2126" w:type="dxa"/>
            <w:shd w:val="clear" w:color="auto" w:fill="FFFFFF" w:themeFill="background1"/>
          </w:tcPr>
          <w:p w14:paraId="6F5CBE63" w14:textId="77777777" w:rsidR="0071569B" w:rsidRPr="001D0B8B" w:rsidRDefault="0071569B" w:rsidP="0071569B">
            <w:pPr>
              <w:spacing w:before="0" w:after="0"/>
              <w:rPr>
                <w:szCs w:val="20"/>
              </w:rPr>
            </w:pPr>
            <w:r w:rsidRPr="001D0B8B">
              <w:rPr>
                <w:szCs w:val="20"/>
              </w:rPr>
              <w:t>A review of pathobiology and differential diagnosis of rare beta-catenin-altered neoplasms, highlighting the diagnostic utility of detection of beta catenin mutations in the diagnosis of soft tissue neoplasms.</w:t>
            </w:r>
          </w:p>
        </w:tc>
        <w:tc>
          <w:tcPr>
            <w:tcW w:w="1757" w:type="dxa"/>
          </w:tcPr>
          <w:p w14:paraId="5400CA69" w14:textId="4D52CB68" w:rsidR="0071569B" w:rsidRPr="001D0B8B" w:rsidRDefault="00FF46CE" w:rsidP="0071569B">
            <w:pPr>
              <w:spacing w:before="0" w:after="0"/>
              <w:rPr>
                <w:szCs w:val="20"/>
              </w:rPr>
            </w:pPr>
            <w:hyperlink r:id="rId27" w:history="1">
              <w:r w:rsidR="001B344F">
                <w:rPr>
                  <w:color w:val="0000FF" w:themeColor="hyperlink"/>
                  <w:szCs w:val="20"/>
                  <w:u w:val="single"/>
                </w:rPr>
                <w:t xml:space="preserve">CTNNB1 (β-Catenin)-altered Neoplasia: A Review Focusing on Soft Tissue Neoplasms and Parenchymal Lesions of Uncertain </w:t>
              </w:r>
              <w:proofErr w:type="spellStart"/>
              <w:r w:rsidR="001B344F">
                <w:rPr>
                  <w:color w:val="0000FF" w:themeColor="hyperlink"/>
                  <w:szCs w:val="20"/>
                  <w:u w:val="single"/>
                </w:rPr>
                <w:t>Histogenesis</w:t>
              </w:r>
              <w:proofErr w:type="spellEnd"/>
            </w:hyperlink>
            <w:r w:rsidR="0071569B" w:rsidRPr="001D0B8B">
              <w:rPr>
                <w:szCs w:val="20"/>
              </w:rPr>
              <w:t xml:space="preserve"> </w:t>
            </w:r>
          </w:p>
        </w:tc>
        <w:tc>
          <w:tcPr>
            <w:tcW w:w="998" w:type="dxa"/>
          </w:tcPr>
          <w:p w14:paraId="3D61EE18" w14:textId="77777777" w:rsidR="0071569B" w:rsidRPr="001D0B8B" w:rsidRDefault="0071569B" w:rsidP="0071569B">
            <w:pPr>
              <w:spacing w:before="0" w:after="0"/>
              <w:rPr>
                <w:szCs w:val="20"/>
              </w:rPr>
            </w:pPr>
            <w:r w:rsidRPr="001D0B8B">
              <w:rPr>
                <w:szCs w:val="20"/>
              </w:rPr>
              <w:t>10 Dec 2016</w:t>
            </w:r>
          </w:p>
        </w:tc>
      </w:tr>
      <w:tr w:rsidR="0071569B" w:rsidRPr="0071569B" w14:paraId="7980BD76" w14:textId="77777777" w:rsidTr="001D0B8B">
        <w:tc>
          <w:tcPr>
            <w:tcW w:w="567" w:type="dxa"/>
            <w:shd w:val="clear" w:color="auto" w:fill="FFFFFF" w:themeFill="background1"/>
          </w:tcPr>
          <w:p w14:paraId="708AB42A" w14:textId="77777777" w:rsidR="0071569B" w:rsidRPr="001D0B8B" w:rsidRDefault="0071569B" w:rsidP="0071569B">
            <w:pPr>
              <w:spacing w:before="0" w:after="0"/>
              <w:rPr>
                <w:szCs w:val="20"/>
              </w:rPr>
            </w:pPr>
            <w:r w:rsidRPr="001D0B8B">
              <w:rPr>
                <w:szCs w:val="20"/>
              </w:rPr>
              <w:t>3.</w:t>
            </w:r>
          </w:p>
        </w:tc>
        <w:tc>
          <w:tcPr>
            <w:tcW w:w="1417" w:type="dxa"/>
            <w:shd w:val="clear" w:color="auto" w:fill="FFFFFF" w:themeFill="background1"/>
          </w:tcPr>
          <w:p w14:paraId="142E98D6" w14:textId="77777777" w:rsidR="0071569B" w:rsidRPr="001D0B8B" w:rsidRDefault="0071569B" w:rsidP="0071569B">
            <w:pPr>
              <w:spacing w:before="0" w:after="0"/>
              <w:rPr>
                <w:b/>
                <w:szCs w:val="20"/>
              </w:rPr>
            </w:pPr>
            <w:r w:rsidRPr="001D0B8B">
              <w:rPr>
                <w:szCs w:val="20"/>
              </w:rPr>
              <w:t>Study of diagnostic accuracy</w:t>
            </w:r>
          </w:p>
        </w:tc>
        <w:tc>
          <w:tcPr>
            <w:tcW w:w="1843" w:type="dxa"/>
            <w:shd w:val="clear" w:color="auto" w:fill="FFFFFF" w:themeFill="background1"/>
          </w:tcPr>
          <w:p w14:paraId="5AA9FAAB" w14:textId="77777777" w:rsidR="0071569B" w:rsidRPr="001D0B8B" w:rsidRDefault="0071569B" w:rsidP="0071569B">
            <w:pPr>
              <w:widowControl w:val="0"/>
              <w:autoSpaceDE w:val="0"/>
              <w:autoSpaceDN w:val="0"/>
              <w:adjustRightInd w:val="0"/>
              <w:spacing w:before="0" w:after="0"/>
              <w:rPr>
                <w:rFonts w:ascii="Calibri" w:hAnsi="Calibri" w:cs="Arial"/>
                <w:b/>
                <w:bCs/>
                <w:szCs w:val="20"/>
                <w:lang w:val="en-US"/>
              </w:rPr>
            </w:pPr>
            <w:r w:rsidRPr="001D0B8B">
              <w:rPr>
                <w:szCs w:val="20"/>
              </w:rPr>
              <w:t xml:space="preserve">Vargas AC, </w:t>
            </w:r>
            <w:proofErr w:type="spellStart"/>
            <w:r w:rsidRPr="001D0B8B">
              <w:rPr>
                <w:szCs w:val="20"/>
              </w:rPr>
              <w:t>Selinger</w:t>
            </w:r>
            <w:proofErr w:type="spellEnd"/>
            <w:r w:rsidRPr="001D0B8B">
              <w:rPr>
                <w:szCs w:val="20"/>
              </w:rPr>
              <w:t xml:space="preserve"> C, </w:t>
            </w:r>
            <w:proofErr w:type="spellStart"/>
            <w:r w:rsidRPr="001D0B8B">
              <w:rPr>
                <w:szCs w:val="20"/>
              </w:rPr>
              <w:t>Satgunaselan</w:t>
            </w:r>
            <w:proofErr w:type="spellEnd"/>
            <w:r w:rsidRPr="001D0B8B">
              <w:rPr>
                <w:szCs w:val="20"/>
              </w:rPr>
              <w:t xml:space="preserve"> L, et al: Atypical Ewing sarcoma breakpoint region 1 fluorescence in-situ hybridization signal patterns in bone and soft tissue tumours: diagnostic experience with 135 cases. Histopathology 2016;69(6):1000-1011</w:t>
            </w:r>
          </w:p>
        </w:tc>
        <w:tc>
          <w:tcPr>
            <w:tcW w:w="2126" w:type="dxa"/>
            <w:shd w:val="clear" w:color="auto" w:fill="FFFFFF" w:themeFill="background1"/>
          </w:tcPr>
          <w:p w14:paraId="4602636A" w14:textId="77777777" w:rsidR="0071569B" w:rsidRPr="001D0B8B" w:rsidRDefault="0071569B" w:rsidP="0071569B">
            <w:pPr>
              <w:spacing w:before="0" w:after="0"/>
              <w:rPr>
                <w:szCs w:val="20"/>
              </w:rPr>
            </w:pPr>
            <w:r w:rsidRPr="001D0B8B">
              <w:rPr>
                <w:szCs w:val="20"/>
              </w:rPr>
              <w:t xml:space="preserve">A study in NSW of fluorescence in situ hybridization (FISH) for the EWSR1 gene in the classification and differential diagnosis of bone and soft tissue tumours. </w:t>
            </w:r>
          </w:p>
          <w:p w14:paraId="64ACA58F" w14:textId="77777777" w:rsidR="0071569B" w:rsidRPr="001D0B8B" w:rsidRDefault="0071569B" w:rsidP="0071569B">
            <w:pPr>
              <w:spacing w:before="0" w:after="0"/>
              <w:rPr>
                <w:b/>
                <w:szCs w:val="20"/>
              </w:rPr>
            </w:pPr>
            <w:r w:rsidRPr="001D0B8B">
              <w:rPr>
                <w:szCs w:val="20"/>
              </w:rPr>
              <w:t>The study confirmed that FISH is a sensitive and specific tool in the diagnosis of EWSR1-associated tumours.</w:t>
            </w:r>
          </w:p>
        </w:tc>
        <w:tc>
          <w:tcPr>
            <w:tcW w:w="1757" w:type="dxa"/>
          </w:tcPr>
          <w:p w14:paraId="4E5846CD" w14:textId="5F259900" w:rsidR="0071569B" w:rsidRPr="001D0B8B" w:rsidRDefault="00FF46CE" w:rsidP="0071569B">
            <w:pPr>
              <w:spacing w:before="0" w:after="0"/>
              <w:rPr>
                <w:szCs w:val="20"/>
              </w:rPr>
            </w:pPr>
            <w:hyperlink r:id="rId28" w:history="1">
              <w:r w:rsidR="001B344F">
                <w:rPr>
                  <w:color w:val="0000FF" w:themeColor="hyperlink"/>
                  <w:szCs w:val="20"/>
                  <w:u w:val="single"/>
                </w:rPr>
                <w:t>Atypical Ewing sarcoma breakpoint region 1 fluorescence in-situ hybridization signal patterns in bone and soft tissue tumours: diagnostic experience with 135 cases</w:t>
              </w:r>
            </w:hyperlink>
            <w:r w:rsidR="0071569B" w:rsidRPr="001D0B8B">
              <w:rPr>
                <w:szCs w:val="20"/>
              </w:rPr>
              <w:t xml:space="preserve"> </w:t>
            </w:r>
          </w:p>
          <w:p w14:paraId="2BA0F6DF" w14:textId="77777777" w:rsidR="0071569B" w:rsidRPr="001D0B8B" w:rsidRDefault="0071569B" w:rsidP="0071569B">
            <w:pPr>
              <w:spacing w:before="0" w:after="0"/>
              <w:rPr>
                <w:sz w:val="22"/>
              </w:rPr>
            </w:pPr>
          </w:p>
        </w:tc>
        <w:tc>
          <w:tcPr>
            <w:tcW w:w="998" w:type="dxa"/>
          </w:tcPr>
          <w:p w14:paraId="592B9F07" w14:textId="77777777" w:rsidR="0071569B" w:rsidRPr="001D0B8B" w:rsidRDefault="0071569B" w:rsidP="0071569B">
            <w:pPr>
              <w:spacing w:before="0" w:after="0"/>
              <w:rPr>
                <w:b/>
                <w:szCs w:val="20"/>
              </w:rPr>
            </w:pPr>
            <w:r w:rsidRPr="001D0B8B">
              <w:rPr>
                <w:szCs w:val="20"/>
              </w:rPr>
              <w:t>2016</w:t>
            </w:r>
          </w:p>
        </w:tc>
      </w:tr>
      <w:tr w:rsidR="0071569B" w:rsidRPr="0071569B" w14:paraId="14973DCD" w14:textId="77777777" w:rsidTr="00F91393">
        <w:tc>
          <w:tcPr>
            <w:tcW w:w="567" w:type="dxa"/>
          </w:tcPr>
          <w:p w14:paraId="5AF1439D" w14:textId="77777777" w:rsidR="0071569B" w:rsidRPr="0071569B" w:rsidRDefault="0071569B" w:rsidP="0071569B">
            <w:pPr>
              <w:spacing w:before="0" w:after="0"/>
              <w:rPr>
                <w:szCs w:val="20"/>
              </w:rPr>
            </w:pPr>
            <w:r w:rsidRPr="0071569B">
              <w:rPr>
                <w:szCs w:val="20"/>
              </w:rPr>
              <w:t>4.</w:t>
            </w:r>
          </w:p>
        </w:tc>
        <w:tc>
          <w:tcPr>
            <w:tcW w:w="1417" w:type="dxa"/>
          </w:tcPr>
          <w:p w14:paraId="74BBBFAA" w14:textId="77777777" w:rsidR="0071569B" w:rsidRPr="0071569B" w:rsidRDefault="0071569B" w:rsidP="0071569B">
            <w:pPr>
              <w:spacing w:before="0" w:after="0"/>
              <w:rPr>
                <w:szCs w:val="20"/>
              </w:rPr>
            </w:pPr>
            <w:r w:rsidRPr="0071569B">
              <w:rPr>
                <w:szCs w:val="20"/>
              </w:rPr>
              <w:t>Observational study</w:t>
            </w:r>
          </w:p>
        </w:tc>
        <w:tc>
          <w:tcPr>
            <w:tcW w:w="1843" w:type="dxa"/>
          </w:tcPr>
          <w:p w14:paraId="61B4D098" w14:textId="77777777" w:rsidR="0071569B" w:rsidRPr="0071569B" w:rsidRDefault="0071569B" w:rsidP="0071569B">
            <w:pPr>
              <w:spacing w:before="0" w:after="0"/>
              <w:rPr>
                <w:szCs w:val="20"/>
              </w:rPr>
            </w:pPr>
            <w:r w:rsidRPr="0071569B">
              <w:rPr>
                <w:szCs w:val="20"/>
              </w:rPr>
              <w:t>Rare Cancers Australia: Just a Little More Time Rare Cancers Update Report. 2016</w:t>
            </w:r>
          </w:p>
        </w:tc>
        <w:tc>
          <w:tcPr>
            <w:tcW w:w="2126" w:type="dxa"/>
          </w:tcPr>
          <w:p w14:paraId="70B35086" w14:textId="77777777" w:rsidR="0071569B" w:rsidRPr="0071569B" w:rsidRDefault="0071569B" w:rsidP="0071569B">
            <w:pPr>
              <w:spacing w:before="0" w:after="0"/>
              <w:rPr>
                <w:szCs w:val="20"/>
              </w:rPr>
            </w:pPr>
            <w:r w:rsidRPr="0071569B">
              <w:rPr>
                <w:szCs w:val="20"/>
              </w:rPr>
              <w:t>A review of available cancer data investigating the disparities existing for incidence, mortality and survival across the cancer spectrum. The study provided a definition for rare cancers, and the burden of disease that rare and less common cancers pose across all ages in Australia</w:t>
            </w:r>
          </w:p>
        </w:tc>
        <w:tc>
          <w:tcPr>
            <w:tcW w:w="1757" w:type="dxa"/>
          </w:tcPr>
          <w:p w14:paraId="2A2527CE" w14:textId="79F72621" w:rsidR="0071569B" w:rsidRPr="0071569B" w:rsidRDefault="00FF46CE" w:rsidP="0071569B">
            <w:pPr>
              <w:spacing w:before="0" w:after="0"/>
              <w:rPr>
                <w:szCs w:val="20"/>
              </w:rPr>
            </w:pPr>
            <w:hyperlink r:id="rId29" w:history="1">
              <w:r w:rsidR="001B344F">
                <w:rPr>
                  <w:color w:val="0000FF" w:themeColor="hyperlink"/>
                  <w:szCs w:val="20"/>
                  <w:u w:val="single"/>
                </w:rPr>
                <w:t>: Just a Little More Time Rare Cancers Update Report. 2016</w:t>
              </w:r>
            </w:hyperlink>
            <w:r w:rsidR="0071569B" w:rsidRPr="0071569B">
              <w:rPr>
                <w:szCs w:val="20"/>
              </w:rPr>
              <w:t xml:space="preserve"> </w:t>
            </w:r>
          </w:p>
        </w:tc>
        <w:tc>
          <w:tcPr>
            <w:tcW w:w="998" w:type="dxa"/>
          </w:tcPr>
          <w:p w14:paraId="6E74DEE1" w14:textId="77777777" w:rsidR="0071569B" w:rsidRPr="0071569B" w:rsidRDefault="0071569B" w:rsidP="0071569B">
            <w:pPr>
              <w:spacing w:before="0" w:after="0"/>
              <w:rPr>
                <w:szCs w:val="20"/>
              </w:rPr>
            </w:pPr>
            <w:r w:rsidRPr="0071569B">
              <w:rPr>
                <w:szCs w:val="20"/>
              </w:rPr>
              <w:t>2016</w:t>
            </w:r>
          </w:p>
        </w:tc>
      </w:tr>
      <w:tr w:rsidR="0071569B" w:rsidRPr="0071569B" w14:paraId="5C4D6EFF" w14:textId="77777777" w:rsidTr="00F91393">
        <w:tc>
          <w:tcPr>
            <w:tcW w:w="567" w:type="dxa"/>
          </w:tcPr>
          <w:p w14:paraId="092A8FDB" w14:textId="77777777" w:rsidR="0071569B" w:rsidRPr="0071569B" w:rsidRDefault="0071569B" w:rsidP="0071569B">
            <w:pPr>
              <w:spacing w:before="0" w:after="0"/>
              <w:rPr>
                <w:szCs w:val="20"/>
              </w:rPr>
            </w:pPr>
            <w:r w:rsidRPr="0071569B">
              <w:rPr>
                <w:szCs w:val="20"/>
              </w:rPr>
              <w:t>5.</w:t>
            </w:r>
          </w:p>
        </w:tc>
        <w:tc>
          <w:tcPr>
            <w:tcW w:w="1417" w:type="dxa"/>
          </w:tcPr>
          <w:p w14:paraId="40DD88BE" w14:textId="77777777" w:rsidR="0071569B" w:rsidRPr="0071569B" w:rsidRDefault="0071569B" w:rsidP="0071569B">
            <w:pPr>
              <w:spacing w:before="0" w:after="0"/>
              <w:rPr>
                <w:szCs w:val="20"/>
              </w:rPr>
            </w:pPr>
            <w:r w:rsidRPr="0071569B">
              <w:rPr>
                <w:szCs w:val="20"/>
              </w:rPr>
              <w:t xml:space="preserve">Health economics </w:t>
            </w:r>
            <w:r w:rsidRPr="0071569B">
              <w:rPr>
                <w:szCs w:val="20"/>
              </w:rPr>
              <w:lastRenderedPageBreak/>
              <w:t>study</w:t>
            </w:r>
          </w:p>
        </w:tc>
        <w:tc>
          <w:tcPr>
            <w:tcW w:w="1843" w:type="dxa"/>
          </w:tcPr>
          <w:p w14:paraId="0DD3C61B" w14:textId="77777777" w:rsidR="0071569B" w:rsidRPr="0071569B" w:rsidRDefault="0071569B" w:rsidP="0071569B">
            <w:pPr>
              <w:spacing w:before="0" w:after="0"/>
              <w:rPr>
                <w:szCs w:val="20"/>
              </w:rPr>
            </w:pPr>
            <w:r w:rsidRPr="0071569B">
              <w:rPr>
                <w:szCs w:val="20"/>
              </w:rPr>
              <w:lastRenderedPageBreak/>
              <w:t xml:space="preserve">Sabatini LM, Mathews C, </w:t>
            </w:r>
            <w:proofErr w:type="spellStart"/>
            <w:r w:rsidRPr="0071569B">
              <w:rPr>
                <w:szCs w:val="20"/>
              </w:rPr>
              <w:t>Ptak</w:t>
            </w:r>
            <w:proofErr w:type="spellEnd"/>
            <w:r w:rsidRPr="0071569B">
              <w:rPr>
                <w:szCs w:val="20"/>
              </w:rPr>
              <w:t xml:space="preserve"> D, </w:t>
            </w:r>
            <w:r w:rsidRPr="0071569B">
              <w:rPr>
                <w:szCs w:val="20"/>
              </w:rPr>
              <w:lastRenderedPageBreak/>
              <w:t xml:space="preserve">et al: Genomic Sequencing Procedure </w:t>
            </w:r>
            <w:proofErr w:type="spellStart"/>
            <w:r w:rsidRPr="0071569B">
              <w:rPr>
                <w:szCs w:val="20"/>
              </w:rPr>
              <w:t>Microcosting</w:t>
            </w:r>
            <w:proofErr w:type="spellEnd"/>
            <w:r w:rsidRPr="0071569B">
              <w:rPr>
                <w:szCs w:val="20"/>
              </w:rPr>
              <w:t xml:space="preserve"> Analysis and Health Economic Cost-Impact Analysis: A Report of the Association for Molecular Pathology. J of </w:t>
            </w:r>
            <w:proofErr w:type="spellStart"/>
            <w:r w:rsidRPr="0071569B">
              <w:rPr>
                <w:szCs w:val="20"/>
              </w:rPr>
              <w:t>Mol</w:t>
            </w:r>
            <w:proofErr w:type="spellEnd"/>
            <w:r w:rsidRPr="0071569B">
              <w:rPr>
                <w:szCs w:val="20"/>
              </w:rPr>
              <w:t xml:space="preserve"> </w:t>
            </w:r>
            <w:proofErr w:type="spellStart"/>
            <w:r w:rsidRPr="0071569B">
              <w:rPr>
                <w:szCs w:val="20"/>
              </w:rPr>
              <w:t>Diagn</w:t>
            </w:r>
            <w:proofErr w:type="spellEnd"/>
            <w:r w:rsidRPr="0071569B">
              <w:rPr>
                <w:szCs w:val="20"/>
              </w:rPr>
              <w:t xml:space="preserve"> 2016;18:319-328, </w:t>
            </w:r>
          </w:p>
        </w:tc>
        <w:tc>
          <w:tcPr>
            <w:tcW w:w="2126" w:type="dxa"/>
          </w:tcPr>
          <w:p w14:paraId="1063AE90" w14:textId="77777777" w:rsidR="0071569B" w:rsidRPr="0071569B" w:rsidRDefault="0071569B" w:rsidP="0071569B">
            <w:pPr>
              <w:spacing w:before="0" w:after="0"/>
              <w:rPr>
                <w:szCs w:val="20"/>
              </w:rPr>
            </w:pPr>
            <w:r w:rsidRPr="0071569B">
              <w:rPr>
                <w:szCs w:val="20"/>
              </w:rPr>
              <w:lastRenderedPageBreak/>
              <w:t xml:space="preserve">US Study by Association for </w:t>
            </w:r>
            <w:r w:rsidRPr="0071569B">
              <w:rPr>
                <w:szCs w:val="20"/>
              </w:rPr>
              <w:lastRenderedPageBreak/>
              <w:t xml:space="preserve">Molecular Pathology on cost and value analysis of specific genomic sequencing procedures (GSPs) gathered from representative laboratories’ data. Cost-impact models for three clinical scenarios were generated -advanced non–small-cell lung cancer sensorineural hearing loss, and paediatric neurodevelopmental disorders of unknown genetic aetiology. </w:t>
            </w:r>
          </w:p>
        </w:tc>
        <w:tc>
          <w:tcPr>
            <w:tcW w:w="1757" w:type="dxa"/>
          </w:tcPr>
          <w:p w14:paraId="5B2C78FE" w14:textId="36DBCE34" w:rsidR="0071569B" w:rsidRPr="0071569B" w:rsidRDefault="00FF46CE" w:rsidP="0071569B">
            <w:pPr>
              <w:spacing w:before="0" w:after="0"/>
              <w:rPr>
                <w:szCs w:val="20"/>
              </w:rPr>
            </w:pPr>
            <w:hyperlink r:id="rId30" w:history="1">
              <w:r w:rsidR="001B344F">
                <w:rPr>
                  <w:color w:val="0000FF" w:themeColor="hyperlink"/>
                  <w:szCs w:val="20"/>
                  <w:u w:val="single"/>
                </w:rPr>
                <w:t xml:space="preserve">Genomic Sequencing </w:t>
              </w:r>
              <w:r w:rsidR="001B344F">
                <w:rPr>
                  <w:color w:val="0000FF" w:themeColor="hyperlink"/>
                  <w:szCs w:val="20"/>
                  <w:u w:val="single"/>
                </w:rPr>
                <w:lastRenderedPageBreak/>
                <w:t xml:space="preserve">Procedure </w:t>
              </w:r>
              <w:proofErr w:type="spellStart"/>
              <w:r w:rsidR="001B344F">
                <w:rPr>
                  <w:color w:val="0000FF" w:themeColor="hyperlink"/>
                  <w:szCs w:val="20"/>
                  <w:u w:val="single"/>
                </w:rPr>
                <w:t>Microcosting</w:t>
              </w:r>
              <w:proofErr w:type="spellEnd"/>
              <w:r w:rsidR="001B344F">
                <w:rPr>
                  <w:color w:val="0000FF" w:themeColor="hyperlink"/>
                  <w:szCs w:val="20"/>
                  <w:u w:val="single"/>
                </w:rPr>
                <w:t xml:space="preserve"> Analysis and Health Economic Cost-Impact Analysis: A Report of the Association for Molecular Pathology</w:t>
              </w:r>
            </w:hyperlink>
            <w:r w:rsidR="0071569B" w:rsidRPr="0071569B">
              <w:rPr>
                <w:szCs w:val="20"/>
              </w:rPr>
              <w:t xml:space="preserve"> </w:t>
            </w:r>
          </w:p>
          <w:p w14:paraId="542A8855" w14:textId="77777777" w:rsidR="0071569B" w:rsidRPr="0071569B" w:rsidRDefault="0071569B" w:rsidP="0071569B">
            <w:pPr>
              <w:spacing w:before="0" w:after="0"/>
              <w:rPr>
                <w:szCs w:val="20"/>
              </w:rPr>
            </w:pPr>
          </w:p>
          <w:p w14:paraId="7EBCF978" w14:textId="77777777" w:rsidR="0071569B" w:rsidRPr="0071569B" w:rsidRDefault="0071569B" w:rsidP="0071569B">
            <w:pPr>
              <w:spacing w:before="0" w:after="0"/>
              <w:rPr>
                <w:sz w:val="22"/>
              </w:rPr>
            </w:pPr>
          </w:p>
        </w:tc>
        <w:tc>
          <w:tcPr>
            <w:tcW w:w="998" w:type="dxa"/>
          </w:tcPr>
          <w:p w14:paraId="32BB7392" w14:textId="77777777" w:rsidR="0071569B" w:rsidRPr="0071569B" w:rsidRDefault="0071569B" w:rsidP="0071569B">
            <w:pPr>
              <w:spacing w:before="0" w:after="0"/>
              <w:rPr>
                <w:szCs w:val="20"/>
              </w:rPr>
            </w:pPr>
            <w:r w:rsidRPr="0071569B">
              <w:rPr>
                <w:szCs w:val="20"/>
              </w:rPr>
              <w:lastRenderedPageBreak/>
              <w:t>2014</w:t>
            </w:r>
          </w:p>
        </w:tc>
      </w:tr>
    </w:tbl>
    <w:p w14:paraId="40DE2D00" w14:textId="5418A253" w:rsidR="00DD308E" w:rsidRDefault="00DD308E">
      <w:pPr>
        <w:rPr>
          <w:b/>
          <w:sz w:val="32"/>
          <w:szCs w:val="32"/>
        </w:rPr>
        <w:sectPr w:rsidR="00DD308E" w:rsidSect="001D0B8B">
          <w:pgSz w:w="11906" w:h="16838"/>
          <w:pgMar w:top="1440" w:right="1440" w:bottom="1440" w:left="1440" w:header="709" w:footer="709" w:gutter="0"/>
          <w:cols w:space="708"/>
          <w:docGrid w:linePitch="360"/>
        </w:sectPr>
      </w:pPr>
    </w:p>
    <w:p w14:paraId="26713E9B"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617B7F79"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E65BA7D" w14:textId="1D57E995" w:rsidR="001D0B8B" w:rsidRPr="001D0B8B" w:rsidRDefault="001D0B8B" w:rsidP="001D0B8B">
      <w:pPr>
        <w:spacing w:before="0" w:after="0"/>
        <w:ind w:firstLine="426"/>
        <w:rPr>
          <w:szCs w:val="20"/>
        </w:rPr>
      </w:pPr>
      <w:r w:rsidRPr="001D0B8B">
        <w:rPr>
          <w:szCs w:val="20"/>
        </w:rPr>
        <w:t xml:space="preserve">The Royal College of Pathologists </w:t>
      </w:r>
      <w:r>
        <w:rPr>
          <w:szCs w:val="20"/>
        </w:rPr>
        <w:t xml:space="preserve">of </w:t>
      </w:r>
      <w:r w:rsidRPr="001D0B8B">
        <w:rPr>
          <w:szCs w:val="20"/>
        </w:rPr>
        <w:t>Australasia</w:t>
      </w:r>
    </w:p>
    <w:p w14:paraId="2FB03B68" w14:textId="77777777" w:rsidR="001D0B8B" w:rsidRPr="001D0B8B" w:rsidRDefault="001D0B8B" w:rsidP="001D0B8B">
      <w:pPr>
        <w:spacing w:before="0" w:after="0"/>
        <w:ind w:firstLine="426"/>
        <w:rPr>
          <w:szCs w:val="20"/>
        </w:rPr>
      </w:pPr>
      <w:r w:rsidRPr="001D0B8B">
        <w:rPr>
          <w:szCs w:val="20"/>
        </w:rPr>
        <w:t xml:space="preserve">The Royal Australasian College of Physicians </w:t>
      </w:r>
    </w:p>
    <w:p w14:paraId="525A5E01" w14:textId="16E3D123" w:rsidR="001D0B8B" w:rsidRDefault="001D0B8B" w:rsidP="001D0B8B">
      <w:pPr>
        <w:spacing w:before="0" w:after="0"/>
        <w:ind w:firstLine="426"/>
        <w:rPr>
          <w:szCs w:val="20"/>
        </w:rPr>
      </w:pPr>
      <w:r w:rsidRPr="001D0B8B">
        <w:rPr>
          <w:szCs w:val="20"/>
        </w:rPr>
        <w:t>The Royal Australasian College of Surgeons</w:t>
      </w:r>
    </w:p>
    <w:p w14:paraId="0D376629" w14:textId="5486CC59" w:rsidR="001116A9" w:rsidRPr="001116A9" w:rsidRDefault="001116A9" w:rsidP="001116A9">
      <w:pPr>
        <w:spacing w:before="0" w:after="0"/>
        <w:ind w:firstLine="426"/>
        <w:rPr>
          <w:szCs w:val="20"/>
        </w:rPr>
      </w:pPr>
      <w:r w:rsidRPr="001116A9">
        <w:rPr>
          <w:szCs w:val="20"/>
        </w:rPr>
        <w:t>Pathology Australia</w:t>
      </w:r>
    </w:p>
    <w:p w14:paraId="5306BEF8" w14:textId="027A47D2" w:rsidR="001116A9" w:rsidRPr="001116A9" w:rsidRDefault="001116A9" w:rsidP="001116A9">
      <w:pPr>
        <w:spacing w:before="0" w:after="0"/>
        <w:ind w:firstLine="426"/>
        <w:rPr>
          <w:szCs w:val="20"/>
        </w:rPr>
      </w:pPr>
      <w:r w:rsidRPr="001116A9">
        <w:rPr>
          <w:szCs w:val="20"/>
        </w:rPr>
        <w:t>Clinical Oncology Society of Australia (COSA)</w:t>
      </w:r>
    </w:p>
    <w:p w14:paraId="3A506F05" w14:textId="26ED44A0" w:rsidR="00A727B6" w:rsidRDefault="001116A9" w:rsidP="001116A9">
      <w:pPr>
        <w:spacing w:before="0" w:after="0"/>
        <w:ind w:left="426"/>
      </w:pPr>
      <w:r w:rsidRPr="001116A9">
        <w:t>Rare Cancer Group</w:t>
      </w:r>
    </w:p>
    <w:p w14:paraId="4DF734AF" w14:textId="77777777" w:rsidR="001D0B8B" w:rsidRPr="001D0B8B" w:rsidRDefault="001D0B8B" w:rsidP="001D0B8B">
      <w:pPr>
        <w:spacing w:before="0" w:after="0"/>
        <w:ind w:left="426"/>
      </w:pPr>
      <w:r w:rsidRPr="001D0B8B">
        <w:rPr>
          <w:szCs w:val="20"/>
        </w:rPr>
        <w:t>Human Genetics Society of Australia</w:t>
      </w:r>
    </w:p>
    <w:p w14:paraId="3ABFE5FD" w14:textId="77777777" w:rsidR="001116A9" w:rsidRDefault="001116A9" w:rsidP="001116A9">
      <w:pPr>
        <w:spacing w:before="0" w:after="0"/>
        <w:ind w:left="426"/>
      </w:pPr>
    </w:p>
    <w:p w14:paraId="6EE6E636" w14:textId="77777777" w:rsidR="00586FCD" w:rsidRPr="00586FCD" w:rsidRDefault="00586FCD" w:rsidP="00586FCD">
      <w:pPr>
        <w:numPr>
          <w:ilvl w:val="0"/>
          <w:numId w:val="1"/>
        </w:numPr>
        <w:contextualSpacing/>
        <w:outlineLvl w:val="1"/>
        <w:rPr>
          <w:b/>
          <w:szCs w:val="20"/>
        </w:rPr>
      </w:pPr>
      <w:r w:rsidRPr="00586FCD">
        <w:rPr>
          <w:b/>
          <w:szCs w:val="20"/>
        </w:rPr>
        <w:t>List any professional bodies / organisations that may be impacted by this medical service (i.e. those who provide the comparator service):</w:t>
      </w:r>
    </w:p>
    <w:p w14:paraId="2B1A9483" w14:textId="77777777" w:rsidR="00586FCD" w:rsidRDefault="00586FCD" w:rsidP="00586FCD">
      <w:pPr>
        <w:spacing w:before="0" w:after="0"/>
        <w:ind w:left="426"/>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35C038D6" w14:textId="77777777" w:rsidR="00586FCD" w:rsidRDefault="00586FCD" w:rsidP="00586FCD">
      <w:pPr>
        <w:spacing w:before="0" w:after="0"/>
        <w:ind w:left="426"/>
      </w:pPr>
    </w:p>
    <w:p w14:paraId="2A513C04"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09435109" w14:textId="77777777" w:rsidR="00F91393" w:rsidRPr="00586FCD" w:rsidRDefault="00F91393" w:rsidP="00F91393">
      <w:pPr>
        <w:spacing w:before="0" w:after="0"/>
        <w:ind w:firstLine="426"/>
        <w:rPr>
          <w:szCs w:val="20"/>
        </w:rPr>
      </w:pPr>
      <w:r w:rsidRPr="00586FCD">
        <w:rPr>
          <w:szCs w:val="20"/>
        </w:rPr>
        <w:t>Cancer Voices</w:t>
      </w:r>
    </w:p>
    <w:p w14:paraId="76887612" w14:textId="77777777" w:rsidR="00F91393" w:rsidRPr="00586FCD" w:rsidRDefault="00F91393" w:rsidP="00F91393">
      <w:pPr>
        <w:spacing w:before="0" w:after="0"/>
        <w:ind w:firstLine="426"/>
        <w:rPr>
          <w:szCs w:val="20"/>
        </w:rPr>
      </w:pPr>
      <w:r w:rsidRPr="00586FCD">
        <w:rPr>
          <w:szCs w:val="20"/>
        </w:rPr>
        <w:t>Rare Cancers Australia</w:t>
      </w:r>
    </w:p>
    <w:p w14:paraId="6C268C65" w14:textId="77777777" w:rsidR="00F91393" w:rsidRDefault="00F91393" w:rsidP="00F91393">
      <w:pPr>
        <w:spacing w:before="0" w:after="0"/>
        <w:ind w:left="426"/>
      </w:pPr>
      <w:r w:rsidRPr="00586FCD">
        <w:rPr>
          <w:szCs w:val="20"/>
        </w:rPr>
        <w:t>Cure Brain Cancer Foundation</w:t>
      </w:r>
    </w:p>
    <w:p w14:paraId="3263958D" w14:textId="77777777" w:rsidR="001D0B8B" w:rsidRDefault="001D0B8B" w:rsidP="001D0B8B">
      <w:pPr>
        <w:spacing w:before="0" w:after="0"/>
        <w:ind w:left="426"/>
      </w:pPr>
      <w:r>
        <w:t>Leukaemia Foundation</w:t>
      </w:r>
    </w:p>
    <w:p w14:paraId="5B5E52A8" w14:textId="77777777" w:rsidR="001D0B8B" w:rsidRDefault="001D0B8B" w:rsidP="001D0B8B">
      <w:pPr>
        <w:spacing w:before="0" w:after="0"/>
        <w:ind w:left="426"/>
      </w:pPr>
      <w:r>
        <w:t>Without a Ribbon</w:t>
      </w:r>
    </w:p>
    <w:p w14:paraId="4C95D584" w14:textId="77777777" w:rsidR="001D0B8B" w:rsidRDefault="001D0B8B" w:rsidP="001D0B8B">
      <w:pPr>
        <w:spacing w:before="0" w:after="0"/>
        <w:ind w:left="426"/>
      </w:pPr>
      <w:r>
        <w:t>Unicorn Foundation</w:t>
      </w:r>
    </w:p>
    <w:p w14:paraId="1DE4E246" w14:textId="77777777" w:rsidR="00F91393" w:rsidRDefault="00F91393" w:rsidP="00F91393">
      <w:pPr>
        <w:spacing w:before="0" w:after="0"/>
        <w:ind w:left="426"/>
      </w:pPr>
    </w:p>
    <w:p w14:paraId="14DEC8ED"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41CEE7F7" w14:textId="77777777" w:rsidR="00EE6450" w:rsidRDefault="00F91393" w:rsidP="00EE6450">
      <w:pPr>
        <w:ind w:left="426"/>
        <w:rPr>
          <w:szCs w:val="20"/>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39A5CD97" w14:textId="77777777" w:rsidR="00E82F54" w:rsidRDefault="00E82F54" w:rsidP="00530204">
      <w:pPr>
        <w:pStyle w:val="Heading2"/>
      </w:pPr>
      <w:r w:rsidRPr="00154B00">
        <w:t>Nominate two experts who could be approached about the proposed medical service and the current clinical management of the service(s):</w:t>
      </w:r>
    </w:p>
    <w:p w14:paraId="28CCF20C" w14:textId="77777777" w:rsidR="00A96329" w:rsidRPr="00A96329" w:rsidRDefault="00A96329" w:rsidP="00A96329"/>
    <w:p w14:paraId="596E882E" w14:textId="77777777" w:rsidR="00987ABE" w:rsidRPr="00987ABE" w:rsidRDefault="00987ABE" w:rsidP="00987ABE">
      <w:pPr>
        <w:ind w:left="426"/>
        <w:rPr>
          <w:szCs w:val="20"/>
        </w:rPr>
      </w:pPr>
      <w:r>
        <w:rPr>
          <w:szCs w:val="20"/>
        </w:rPr>
        <w:t xml:space="preserve">Name of expert 1: </w:t>
      </w:r>
      <w:r w:rsidR="00F91393">
        <w:fldChar w:fldCharType="begin">
          <w:ffData>
            <w:name w:val=""/>
            <w:enabled/>
            <w:calcOnExit w:val="0"/>
            <w:textInput>
              <w:default w:val="Redacted"/>
            </w:textInput>
          </w:ffData>
        </w:fldChar>
      </w:r>
      <w:r w:rsidR="00F91393">
        <w:instrText xml:space="preserve"> FORMTEXT </w:instrText>
      </w:r>
      <w:r w:rsidR="00F91393">
        <w:fldChar w:fldCharType="separate"/>
      </w:r>
      <w:r w:rsidR="00F91393">
        <w:rPr>
          <w:noProof/>
        </w:rPr>
        <w:t>Redacted</w:t>
      </w:r>
      <w:r w:rsidR="00F91393">
        <w:fldChar w:fldCharType="end"/>
      </w:r>
    </w:p>
    <w:p w14:paraId="006B340B" w14:textId="77777777" w:rsidR="00987ABE" w:rsidRPr="00987ABE" w:rsidRDefault="00987ABE" w:rsidP="00987ABE">
      <w:pPr>
        <w:ind w:left="426"/>
        <w:rPr>
          <w:szCs w:val="20"/>
        </w:rPr>
      </w:pPr>
      <w:r>
        <w:rPr>
          <w:szCs w:val="20"/>
        </w:rPr>
        <w:t xml:space="preserve">Telephone number(s): </w:t>
      </w:r>
      <w:r w:rsidR="00F91393">
        <w:fldChar w:fldCharType="begin">
          <w:ffData>
            <w:name w:val=""/>
            <w:enabled/>
            <w:calcOnExit w:val="0"/>
            <w:textInput>
              <w:default w:val="Redacted"/>
            </w:textInput>
          </w:ffData>
        </w:fldChar>
      </w:r>
      <w:r w:rsidR="00F91393">
        <w:instrText xml:space="preserve"> FORMTEXT </w:instrText>
      </w:r>
      <w:r w:rsidR="00F91393">
        <w:fldChar w:fldCharType="separate"/>
      </w:r>
      <w:r w:rsidR="00F91393">
        <w:rPr>
          <w:noProof/>
        </w:rPr>
        <w:t>Redacted</w:t>
      </w:r>
      <w:r w:rsidR="00F91393">
        <w:fldChar w:fldCharType="end"/>
      </w:r>
    </w:p>
    <w:p w14:paraId="2BB8299E" w14:textId="77777777" w:rsidR="00987ABE" w:rsidRPr="00987ABE" w:rsidRDefault="00987ABE" w:rsidP="00987ABE">
      <w:pPr>
        <w:ind w:left="426"/>
        <w:rPr>
          <w:szCs w:val="20"/>
        </w:rPr>
      </w:pPr>
      <w:r>
        <w:rPr>
          <w:szCs w:val="20"/>
        </w:rPr>
        <w:t xml:space="preserve">Email address: </w:t>
      </w:r>
      <w:r w:rsidR="00F91393">
        <w:fldChar w:fldCharType="begin">
          <w:ffData>
            <w:name w:val=""/>
            <w:enabled/>
            <w:calcOnExit w:val="0"/>
            <w:textInput>
              <w:default w:val="Redacted"/>
            </w:textInput>
          </w:ffData>
        </w:fldChar>
      </w:r>
      <w:r w:rsidR="00F91393">
        <w:instrText xml:space="preserve"> FORMTEXT </w:instrText>
      </w:r>
      <w:r w:rsidR="00F91393">
        <w:fldChar w:fldCharType="separate"/>
      </w:r>
      <w:r w:rsidR="00F91393">
        <w:rPr>
          <w:noProof/>
        </w:rPr>
        <w:t>Redacted</w:t>
      </w:r>
      <w:r w:rsidR="00F91393">
        <w:fldChar w:fldCharType="end"/>
      </w:r>
    </w:p>
    <w:p w14:paraId="53215EE7" w14:textId="77777777" w:rsidR="00987ABE" w:rsidRPr="00987ABE" w:rsidRDefault="00987ABE" w:rsidP="00987ABE">
      <w:pPr>
        <w:ind w:left="426"/>
        <w:rPr>
          <w:szCs w:val="20"/>
        </w:rPr>
      </w:pPr>
      <w:r>
        <w:rPr>
          <w:szCs w:val="20"/>
        </w:rPr>
        <w:t xml:space="preserve">Justification of expertise: </w:t>
      </w:r>
      <w:r w:rsidR="00F91393">
        <w:fldChar w:fldCharType="begin">
          <w:ffData>
            <w:name w:val=""/>
            <w:enabled/>
            <w:calcOnExit w:val="0"/>
            <w:textInput>
              <w:default w:val="Redacted"/>
            </w:textInput>
          </w:ffData>
        </w:fldChar>
      </w:r>
      <w:r w:rsidR="00F91393">
        <w:instrText xml:space="preserve"> FORMTEXT </w:instrText>
      </w:r>
      <w:r w:rsidR="00F91393">
        <w:fldChar w:fldCharType="separate"/>
      </w:r>
      <w:r w:rsidR="00F91393">
        <w:rPr>
          <w:noProof/>
        </w:rPr>
        <w:t>Redacted</w:t>
      </w:r>
      <w:r w:rsidR="00F91393">
        <w:fldChar w:fldCharType="end"/>
      </w:r>
    </w:p>
    <w:p w14:paraId="4242945B" w14:textId="77777777" w:rsidR="00987ABE" w:rsidRPr="00987ABE" w:rsidRDefault="00987ABE" w:rsidP="00987ABE">
      <w:pPr>
        <w:ind w:left="426"/>
        <w:rPr>
          <w:szCs w:val="20"/>
        </w:rPr>
      </w:pPr>
    </w:p>
    <w:p w14:paraId="0F422D58" w14:textId="77777777" w:rsidR="00987ABE" w:rsidRPr="00987ABE" w:rsidRDefault="00987ABE" w:rsidP="00987ABE">
      <w:pPr>
        <w:ind w:left="426"/>
        <w:rPr>
          <w:szCs w:val="20"/>
        </w:rPr>
      </w:pPr>
      <w:r>
        <w:rPr>
          <w:szCs w:val="20"/>
        </w:rPr>
        <w:t xml:space="preserve">Name of expert 2: </w:t>
      </w:r>
      <w:r w:rsidR="00F91393">
        <w:fldChar w:fldCharType="begin">
          <w:ffData>
            <w:name w:val=""/>
            <w:enabled/>
            <w:calcOnExit w:val="0"/>
            <w:textInput>
              <w:default w:val="Redacted"/>
            </w:textInput>
          </w:ffData>
        </w:fldChar>
      </w:r>
      <w:r w:rsidR="00F91393">
        <w:instrText xml:space="preserve"> FORMTEXT </w:instrText>
      </w:r>
      <w:r w:rsidR="00F91393">
        <w:fldChar w:fldCharType="separate"/>
      </w:r>
      <w:r w:rsidR="00F91393">
        <w:rPr>
          <w:noProof/>
        </w:rPr>
        <w:t>Redacted</w:t>
      </w:r>
      <w:r w:rsidR="00F91393">
        <w:fldChar w:fldCharType="end"/>
      </w:r>
    </w:p>
    <w:p w14:paraId="78D24AFA" w14:textId="77777777" w:rsidR="00987ABE" w:rsidRPr="00987ABE" w:rsidRDefault="00987ABE" w:rsidP="00987ABE">
      <w:pPr>
        <w:ind w:left="426"/>
        <w:rPr>
          <w:szCs w:val="20"/>
        </w:rPr>
      </w:pPr>
      <w:r>
        <w:rPr>
          <w:szCs w:val="20"/>
        </w:rPr>
        <w:t xml:space="preserve">Telephone number(s): </w:t>
      </w:r>
      <w:r w:rsidR="00F91393">
        <w:fldChar w:fldCharType="begin">
          <w:ffData>
            <w:name w:val=""/>
            <w:enabled/>
            <w:calcOnExit w:val="0"/>
            <w:textInput>
              <w:default w:val="Redacted"/>
            </w:textInput>
          </w:ffData>
        </w:fldChar>
      </w:r>
      <w:r w:rsidR="00F91393">
        <w:instrText xml:space="preserve"> FORMTEXT </w:instrText>
      </w:r>
      <w:r w:rsidR="00F91393">
        <w:fldChar w:fldCharType="separate"/>
      </w:r>
      <w:r w:rsidR="00F91393">
        <w:rPr>
          <w:noProof/>
        </w:rPr>
        <w:t>Redacted</w:t>
      </w:r>
      <w:r w:rsidR="00F91393">
        <w:fldChar w:fldCharType="end"/>
      </w:r>
    </w:p>
    <w:p w14:paraId="369359FF" w14:textId="77777777" w:rsidR="00987ABE" w:rsidRPr="00987ABE" w:rsidRDefault="00987ABE" w:rsidP="00987ABE">
      <w:pPr>
        <w:ind w:left="426"/>
        <w:rPr>
          <w:szCs w:val="20"/>
        </w:rPr>
      </w:pPr>
      <w:r>
        <w:rPr>
          <w:szCs w:val="20"/>
        </w:rPr>
        <w:t xml:space="preserve">Email address: </w:t>
      </w:r>
      <w:r w:rsidR="00F91393">
        <w:fldChar w:fldCharType="begin">
          <w:ffData>
            <w:name w:val=""/>
            <w:enabled/>
            <w:calcOnExit w:val="0"/>
            <w:textInput>
              <w:default w:val="Redacted"/>
            </w:textInput>
          </w:ffData>
        </w:fldChar>
      </w:r>
      <w:r w:rsidR="00F91393">
        <w:instrText xml:space="preserve"> FORMTEXT </w:instrText>
      </w:r>
      <w:r w:rsidR="00F91393">
        <w:fldChar w:fldCharType="separate"/>
      </w:r>
      <w:r w:rsidR="00F91393">
        <w:rPr>
          <w:noProof/>
        </w:rPr>
        <w:t>Redacted</w:t>
      </w:r>
      <w:r w:rsidR="00F91393">
        <w:fldChar w:fldCharType="end"/>
      </w:r>
    </w:p>
    <w:p w14:paraId="4DF06B2B" w14:textId="77777777" w:rsidR="00E82F54" w:rsidRPr="00154B00" w:rsidRDefault="00987ABE" w:rsidP="00987ABE">
      <w:pPr>
        <w:ind w:left="426"/>
        <w:rPr>
          <w:szCs w:val="20"/>
        </w:rPr>
      </w:pPr>
      <w:r>
        <w:rPr>
          <w:szCs w:val="20"/>
        </w:rPr>
        <w:t xml:space="preserve">Justification of expertise: </w:t>
      </w:r>
      <w:r w:rsidR="00F91393">
        <w:fldChar w:fldCharType="begin">
          <w:ffData>
            <w:name w:val=""/>
            <w:enabled/>
            <w:calcOnExit w:val="0"/>
            <w:textInput>
              <w:default w:val="Redacted"/>
            </w:textInput>
          </w:ffData>
        </w:fldChar>
      </w:r>
      <w:r w:rsidR="00F91393">
        <w:instrText xml:space="preserve"> FORMTEXT </w:instrText>
      </w:r>
      <w:r w:rsidR="00F91393">
        <w:fldChar w:fldCharType="separate"/>
      </w:r>
      <w:r w:rsidR="00F91393">
        <w:rPr>
          <w:noProof/>
        </w:rPr>
        <w:t>Redacted</w:t>
      </w:r>
      <w:r w:rsidR="00F91393">
        <w:fldChar w:fldCharType="end"/>
      </w:r>
    </w:p>
    <w:p w14:paraId="1B4C412A" w14:textId="77777777" w:rsidR="00987ABE" w:rsidRDefault="00987ABE" w:rsidP="00E82F54">
      <w:pPr>
        <w:ind w:left="426"/>
        <w:rPr>
          <w:i/>
          <w:szCs w:val="20"/>
        </w:rPr>
      </w:pPr>
    </w:p>
    <w:p w14:paraId="576CBB5A"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4E6B2D58"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00B75BD8" w14:textId="77777777" w:rsidR="0021185D" w:rsidRPr="005C3AE7" w:rsidRDefault="005C3AE7" w:rsidP="005C3AE7">
      <w:pPr>
        <w:pStyle w:val="Subtitle"/>
      </w:pPr>
      <w:r w:rsidRPr="005C3AE7">
        <w:t xml:space="preserve">PART 6a – </w:t>
      </w:r>
      <w:r w:rsidR="0021185D" w:rsidRPr="005C3AE7">
        <w:t>INFORMATION ABOUT THE PROPOSED POPULATION</w:t>
      </w:r>
    </w:p>
    <w:p w14:paraId="154B285E"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BE8D222" w14:textId="77777777" w:rsidR="00A469D2" w:rsidRPr="00B55F59" w:rsidRDefault="00A469D2" w:rsidP="001D0B8B">
      <w:pPr>
        <w:spacing w:before="0" w:after="0"/>
        <w:rPr>
          <w:szCs w:val="20"/>
        </w:rPr>
      </w:pPr>
      <w:r w:rsidRPr="00B55F59">
        <w:rPr>
          <w:szCs w:val="20"/>
        </w:rPr>
        <w:t xml:space="preserve">Specific gene rearrangements, mutations and/or copy number changes are seen in a range of neoplasms and detection of these changes has become best practice to determine diagnosis, prognosis and for the appropriate selection of treatment for CNS tumours. </w:t>
      </w:r>
    </w:p>
    <w:p w14:paraId="1463B3C8" w14:textId="77777777" w:rsidR="001D0B8B" w:rsidRDefault="001D0B8B" w:rsidP="001D0B8B">
      <w:pPr>
        <w:spacing w:before="0" w:after="0"/>
        <w:rPr>
          <w:szCs w:val="20"/>
        </w:rPr>
      </w:pPr>
    </w:p>
    <w:p w14:paraId="7DD212D4" w14:textId="6944EDCD" w:rsidR="00A469D2" w:rsidRPr="00B55F59" w:rsidRDefault="00A469D2" w:rsidP="001D0B8B">
      <w:pPr>
        <w:spacing w:before="0" w:after="0"/>
        <w:rPr>
          <w:szCs w:val="20"/>
        </w:rPr>
      </w:pPr>
      <w:r w:rsidRPr="00B55F59">
        <w:rPr>
          <w:szCs w:val="20"/>
        </w:rPr>
        <w:t>Effective and affordable health care depends on the availability of accurate, reliable and clinically valid tests. The absence of suitable tests can lead to misdiagnosis with patients potentially receiving unnecessary treatment, experiencing delays in treatment or no treatment when treatment is needed.</w:t>
      </w:r>
    </w:p>
    <w:p w14:paraId="73C0478D" w14:textId="77777777" w:rsidR="001D0B8B" w:rsidRDefault="001D0B8B" w:rsidP="001D0B8B">
      <w:pPr>
        <w:spacing w:before="0" w:after="0"/>
        <w:rPr>
          <w:szCs w:val="20"/>
        </w:rPr>
      </w:pPr>
    </w:p>
    <w:p w14:paraId="7F293CDB" w14:textId="4BBB83E8" w:rsidR="00A469D2" w:rsidRPr="00B55F59" w:rsidRDefault="00A469D2" w:rsidP="001D0B8B">
      <w:pPr>
        <w:spacing w:before="0" w:after="0"/>
        <w:rPr>
          <w:szCs w:val="20"/>
        </w:rPr>
      </w:pPr>
      <w:r w:rsidRPr="00B55F59">
        <w:rPr>
          <w:szCs w:val="20"/>
        </w:rPr>
        <w:t xml:space="preserve">These molecular aberrations are particularly characteristic of ‘rare’ and less common cancers, such as CNS tumours, which have disproportionately higher mortality rates compared to common cancers. </w:t>
      </w:r>
    </w:p>
    <w:p w14:paraId="53729502" w14:textId="77777777" w:rsidR="001D0B8B" w:rsidRDefault="001D0B8B" w:rsidP="001D0B8B">
      <w:pPr>
        <w:spacing w:before="0" w:after="0"/>
        <w:rPr>
          <w:szCs w:val="20"/>
        </w:rPr>
      </w:pPr>
    </w:p>
    <w:p w14:paraId="0EDB2490" w14:textId="4795A89E" w:rsidR="00A469D2" w:rsidRDefault="00A469D2" w:rsidP="001D0B8B">
      <w:pPr>
        <w:spacing w:before="0" w:after="0"/>
        <w:rPr>
          <w:szCs w:val="20"/>
        </w:rPr>
      </w:pPr>
      <w:r w:rsidRPr="00B55F59">
        <w:rPr>
          <w:szCs w:val="20"/>
        </w:rPr>
        <w:t>In CNS cancer, the Haarlem guidelines highlight that integration of specific molecular aberrations results in a more precise diagnosis and have formed the basis of the WHO 2016 update on classification of CNS tumours. Patient management, including chemotherapy and radiotherapy choices, are based on the WHO classification, and hence molecular information will be essential in providing accurate diagnoses. This is particularly important in young patients, where timing and dosage of treatment (based on tumour type) impacts on the significant cognitive morbidity associated with treating the brain.</w:t>
      </w:r>
    </w:p>
    <w:p w14:paraId="333189A6" w14:textId="6F558E46" w:rsidR="00A469D2" w:rsidRDefault="00A469D2" w:rsidP="001D0B8B">
      <w:pPr>
        <w:spacing w:before="0" w:after="0"/>
        <w:rPr>
          <w:szCs w:val="20"/>
        </w:rPr>
      </w:pPr>
      <w:r>
        <w:rPr>
          <w:szCs w:val="20"/>
        </w:rPr>
        <w:t>Specific details as follows:</w:t>
      </w:r>
    </w:p>
    <w:p w14:paraId="403FFB35" w14:textId="77777777" w:rsidR="001D0B8B" w:rsidRDefault="001D0B8B" w:rsidP="001D0B8B">
      <w:pPr>
        <w:spacing w:before="0" w:after="0"/>
        <w:rPr>
          <w:szCs w:val="20"/>
        </w:rPr>
      </w:pPr>
    </w:p>
    <w:p w14:paraId="3B086AF0" w14:textId="2B726807" w:rsidR="00A469D2" w:rsidRDefault="00A469D2" w:rsidP="001D0B8B">
      <w:pPr>
        <w:spacing w:before="0" w:after="0"/>
        <w:rPr>
          <w:b/>
          <w:szCs w:val="20"/>
        </w:rPr>
      </w:pPr>
      <w:proofErr w:type="spellStart"/>
      <w:r w:rsidRPr="00A469D2">
        <w:rPr>
          <w:b/>
          <w:szCs w:val="20"/>
        </w:rPr>
        <w:t>Gilomas</w:t>
      </w:r>
      <w:proofErr w:type="spellEnd"/>
    </w:p>
    <w:p w14:paraId="5838D54E" w14:textId="77777777" w:rsidR="00A469D2" w:rsidRPr="00B55F59" w:rsidRDefault="00A469D2" w:rsidP="001D0B8B">
      <w:pPr>
        <w:spacing w:before="0" w:after="0"/>
        <w:rPr>
          <w:szCs w:val="20"/>
        </w:rPr>
      </w:pPr>
      <w:r w:rsidRPr="00B55F59">
        <w:rPr>
          <w:szCs w:val="20"/>
        </w:rPr>
        <w:t xml:space="preserve">Although a number of different molecular tests may be employed in the accurate diagnosis of glial tumour, this application specifically relates to the detection of co-deletion of 1p/19q chromosome regions as a baseline discriminator between </w:t>
      </w:r>
      <w:proofErr w:type="spellStart"/>
      <w:r w:rsidRPr="00B55F59">
        <w:rPr>
          <w:szCs w:val="20"/>
        </w:rPr>
        <w:t>oligodendroglial</w:t>
      </w:r>
      <w:proofErr w:type="spellEnd"/>
      <w:r w:rsidRPr="00B55F59">
        <w:rPr>
          <w:szCs w:val="20"/>
        </w:rPr>
        <w:t xml:space="preserve"> tumours and other glioma types.</w:t>
      </w:r>
    </w:p>
    <w:p w14:paraId="4B471371" w14:textId="77777777" w:rsidR="001D0B8B" w:rsidRDefault="001D0B8B" w:rsidP="001D0B8B">
      <w:pPr>
        <w:spacing w:before="0" w:after="0"/>
        <w:rPr>
          <w:szCs w:val="20"/>
        </w:rPr>
      </w:pPr>
    </w:p>
    <w:p w14:paraId="175BE6D5" w14:textId="3617D4AF" w:rsidR="00A469D2" w:rsidRPr="00B55F59" w:rsidRDefault="00A469D2" w:rsidP="001D0B8B">
      <w:pPr>
        <w:spacing w:before="0" w:after="0"/>
        <w:rPr>
          <w:szCs w:val="20"/>
        </w:rPr>
      </w:pPr>
      <w:r w:rsidRPr="00B55F59">
        <w:rPr>
          <w:szCs w:val="20"/>
        </w:rPr>
        <w:t>Currently patients are required to self-fund this testing, leading to inequity of access on financial grounds.</w:t>
      </w:r>
    </w:p>
    <w:p w14:paraId="3BB33685" w14:textId="77777777" w:rsidR="00A469D2" w:rsidRPr="00B55F59" w:rsidRDefault="00A469D2" w:rsidP="001D0B8B">
      <w:pPr>
        <w:spacing w:before="0" w:after="0"/>
        <w:rPr>
          <w:szCs w:val="20"/>
        </w:rPr>
      </w:pPr>
      <w:r w:rsidRPr="00B55F59">
        <w:rPr>
          <w:szCs w:val="20"/>
        </w:rPr>
        <w:t xml:space="preserve">The presence of chromosome 1p/19q-co-deletion has predictive value for response to chemotherapy in anaplastic </w:t>
      </w:r>
      <w:proofErr w:type="spellStart"/>
      <w:r w:rsidRPr="00B55F59">
        <w:rPr>
          <w:szCs w:val="20"/>
        </w:rPr>
        <w:t>oligodendrogliomas</w:t>
      </w:r>
      <w:proofErr w:type="spellEnd"/>
      <w:r w:rsidRPr="00B55F59">
        <w:rPr>
          <w:szCs w:val="20"/>
        </w:rPr>
        <w:t xml:space="preserve">. Randomised clinical trials have demonstrated survival advantages for patients treated with combined </w:t>
      </w:r>
      <w:proofErr w:type="spellStart"/>
      <w:r w:rsidRPr="00B55F59">
        <w:rPr>
          <w:szCs w:val="20"/>
        </w:rPr>
        <w:t>procarbazine</w:t>
      </w:r>
      <w:proofErr w:type="spellEnd"/>
      <w:r w:rsidRPr="00B55F59">
        <w:rPr>
          <w:szCs w:val="20"/>
        </w:rPr>
        <w:t>/</w:t>
      </w:r>
      <w:proofErr w:type="spellStart"/>
      <w:r w:rsidRPr="00B55F59">
        <w:rPr>
          <w:szCs w:val="20"/>
        </w:rPr>
        <w:t>lomustine</w:t>
      </w:r>
      <w:proofErr w:type="spellEnd"/>
      <w:r w:rsidRPr="00B55F59">
        <w:rPr>
          <w:szCs w:val="20"/>
        </w:rPr>
        <w:t>/vincristine (PCV) chemotherapy and radiotherapy compared with radiotherapy alone (</w:t>
      </w:r>
      <w:proofErr w:type="spellStart"/>
      <w:r w:rsidRPr="00B55F59">
        <w:rPr>
          <w:szCs w:val="20"/>
        </w:rPr>
        <w:t>Touat</w:t>
      </w:r>
      <w:proofErr w:type="spellEnd"/>
      <w:r w:rsidRPr="00B55F59">
        <w:rPr>
          <w:szCs w:val="20"/>
        </w:rPr>
        <w:t>, 2017).</w:t>
      </w:r>
    </w:p>
    <w:p w14:paraId="4DB945EE" w14:textId="77777777" w:rsidR="001D0B8B" w:rsidRDefault="001D0B8B" w:rsidP="001D0B8B">
      <w:pPr>
        <w:autoSpaceDE w:val="0"/>
        <w:autoSpaceDN w:val="0"/>
        <w:adjustRightInd w:val="0"/>
        <w:spacing w:before="0" w:after="0"/>
        <w:rPr>
          <w:rFonts w:ascii="Segoe UI" w:hAnsi="Segoe UI" w:cs="Segoe UI"/>
          <w:sz w:val="18"/>
          <w:szCs w:val="18"/>
        </w:rPr>
      </w:pPr>
    </w:p>
    <w:p w14:paraId="653F6E8C" w14:textId="2CAE9B62" w:rsidR="00A469D2" w:rsidRPr="00B55F59" w:rsidRDefault="00A469D2" w:rsidP="001D0B8B">
      <w:pPr>
        <w:autoSpaceDE w:val="0"/>
        <w:autoSpaceDN w:val="0"/>
        <w:adjustRightInd w:val="0"/>
        <w:spacing w:before="0" w:after="0"/>
        <w:rPr>
          <w:rFonts w:ascii="Segoe UI" w:hAnsi="Segoe UI" w:cs="Segoe UI"/>
          <w:sz w:val="18"/>
          <w:szCs w:val="18"/>
        </w:rPr>
      </w:pPr>
      <w:proofErr w:type="spellStart"/>
      <w:r w:rsidRPr="00B55F59">
        <w:rPr>
          <w:rFonts w:ascii="Segoe UI" w:hAnsi="Segoe UI" w:cs="Segoe UI"/>
          <w:sz w:val="18"/>
          <w:szCs w:val="18"/>
        </w:rPr>
        <w:t>Touat</w:t>
      </w:r>
      <w:proofErr w:type="spellEnd"/>
      <w:r w:rsidRPr="00B55F59">
        <w:rPr>
          <w:rFonts w:ascii="Segoe UI" w:hAnsi="Segoe UI" w:cs="Segoe UI"/>
          <w:sz w:val="18"/>
          <w:szCs w:val="18"/>
        </w:rPr>
        <w:t xml:space="preserve"> M, </w:t>
      </w:r>
      <w:proofErr w:type="spellStart"/>
      <w:r w:rsidRPr="00B55F59">
        <w:rPr>
          <w:rFonts w:ascii="Segoe UI" w:hAnsi="Segoe UI" w:cs="Segoe UI"/>
          <w:sz w:val="18"/>
          <w:szCs w:val="18"/>
        </w:rPr>
        <w:t>Idbaih</w:t>
      </w:r>
      <w:proofErr w:type="spellEnd"/>
      <w:r w:rsidRPr="00B55F59">
        <w:rPr>
          <w:rFonts w:ascii="Segoe UI" w:hAnsi="Segoe UI" w:cs="Segoe UI"/>
          <w:sz w:val="18"/>
          <w:szCs w:val="18"/>
        </w:rPr>
        <w:t xml:space="preserve"> A. 1p/19q Co-deletion in Glioma: ESMO Biomarker Factsheet.  Lugano, Switzerland: European Society for Medical Oncology; 2017 </w:t>
      </w:r>
      <w:hyperlink r:id="rId31" w:history="1">
        <w:r w:rsidR="003C3707">
          <w:rPr>
            <w:rFonts w:ascii="Segoe UI" w:hAnsi="Segoe UI" w:cs="Segoe UI"/>
            <w:color w:val="0000FF" w:themeColor="hyperlink"/>
            <w:sz w:val="18"/>
            <w:szCs w:val="18"/>
            <w:u w:val="single"/>
          </w:rPr>
          <w:t>1p/19q Co-deletion in Glioma: ESMO Biomarker Factsheet</w:t>
        </w:r>
      </w:hyperlink>
      <w:r w:rsidRPr="00B55F59">
        <w:rPr>
          <w:rFonts w:ascii="Segoe UI" w:hAnsi="Segoe UI" w:cs="Segoe UI"/>
          <w:sz w:val="18"/>
          <w:szCs w:val="18"/>
        </w:rPr>
        <w:t xml:space="preserve">. </w:t>
      </w:r>
    </w:p>
    <w:p w14:paraId="4D80CFB8" w14:textId="77777777" w:rsidR="00A469D2" w:rsidRPr="00B55F59" w:rsidRDefault="00A469D2" w:rsidP="001D0B8B">
      <w:pPr>
        <w:autoSpaceDE w:val="0"/>
        <w:autoSpaceDN w:val="0"/>
        <w:adjustRightInd w:val="0"/>
        <w:spacing w:before="0" w:after="0"/>
        <w:rPr>
          <w:rFonts w:ascii="Segoe UI" w:hAnsi="Segoe UI" w:cs="Segoe UI"/>
          <w:sz w:val="18"/>
          <w:szCs w:val="18"/>
        </w:rPr>
      </w:pPr>
    </w:p>
    <w:p w14:paraId="61AD9E08" w14:textId="3E16AC39" w:rsidR="00A469D2" w:rsidRPr="00B55F59" w:rsidRDefault="00A469D2" w:rsidP="001D0B8B">
      <w:pPr>
        <w:autoSpaceDE w:val="0"/>
        <w:autoSpaceDN w:val="0"/>
        <w:adjustRightInd w:val="0"/>
        <w:spacing w:before="0" w:after="0"/>
        <w:rPr>
          <w:rFonts w:ascii="Segoe UI" w:hAnsi="Segoe UI" w:cs="Segoe UI"/>
          <w:sz w:val="18"/>
          <w:szCs w:val="18"/>
        </w:rPr>
      </w:pPr>
      <w:proofErr w:type="spellStart"/>
      <w:r w:rsidRPr="00B55F59">
        <w:rPr>
          <w:rFonts w:ascii="Segoe UI" w:hAnsi="Segoe UI" w:cs="Segoe UI"/>
          <w:sz w:val="18"/>
          <w:szCs w:val="18"/>
        </w:rPr>
        <w:t>Stupp</w:t>
      </w:r>
      <w:proofErr w:type="spellEnd"/>
      <w:r w:rsidRPr="00B55F59">
        <w:rPr>
          <w:rFonts w:ascii="Segoe UI" w:hAnsi="Segoe UI" w:cs="Segoe UI"/>
          <w:sz w:val="18"/>
          <w:szCs w:val="18"/>
        </w:rPr>
        <w:t xml:space="preserve"> R, </w:t>
      </w:r>
      <w:proofErr w:type="spellStart"/>
      <w:r w:rsidRPr="00B55F59">
        <w:rPr>
          <w:rFonts w:ascii="Segoe UI" w:hAnsi="Segoe UI" w:cs="Segoe UI"/>
          <w:sz w:val="18"/>
          <w:szCs w:val="18"/>
        </w:rPr>
        <w:t>Brada</w:t>
      </w:r>
      <w:proofErr w:type="spellEnd"/>
      <w:r w:rsidRPr="00B55F59">
        <w:rPr>
          <w:rFonts w:ascii="Segoe UI" w:hAnsi="Segoe UI" w:cs="Segoe UI"/>
          <w:sz w:val="18"/>
          <w:szCs w:val="18"/>
        </w:rPr>
        <w:t xml:space="preserve"> M, van den Bent MJ, et al. High-grade glioma: ESMO Clinical Practice Guidelines for diagnosis, treatment and follow-up. Ann </w:t>
      </w:r>
      <w:proofErr w:type="spellStart"/>
      <w:r w:rsidRPr="00B55F59">
        <w:rPr>
          <w:rFonts w:ascii="Segoe UI" w:hAnsi="Segoe UI" w:cs="Segoe UI"/>
          <w:sz w:val="18"/>
          <w:szCs w:val="18"/>
        </w:rPr>
        <w:t>Oncol</w:t>
      </w:r>
      <w:proofErr w:type="spellEnd"/>
      <w:r w:rsidRPr="00B55F59">
        <w:rPr>
          <w:rFonts w:ascii="Segoe UI" w:hAnsi="Segoe UI" w:cs="Segoe UI"/>
          <w:sz w:val="18"/>
          <w:szCs w:val="18"/>
        </w:rPr>
        <w:t>. 2014</w:t>
      </w:r>
      <w:proofErr w:type="gramStart"/>
      <w:r w:rsidRPr="00B55F59">
        <w:rPr>
          <w:rFonts w:ascii="Segoe UI" w:hAnsi="Segoe UI" w:cs="Segoe UI"/>
          <w:sz w:val="18"/>
          <w:szCs w:val="18"/>
        </w:rPr>
        <w:t>;25</w:t>
      </w:r>
      <w:proofErr w:type="gramEnd"/>
      <w:r w:rsidRPr="00B55F59">
        <w:rPr>
          <w:rFonts w:ascii="Segoe UI" w:hAnsi="Segoe UI" w:cs="Segoe UI"/>
          <w:sz w:val="18"/>
          <w:szCs w:val="18"/>
        </w:rPr>
        <w:t xml:space="preserve"> </w:t>
      </w:r>
      <w:proofErr w:type="spellStart"/>
      <w:r w:rsidRPr="00B55F59">
        <w:rPr>
          <w:rFonts w:ascii="Segoe UI" w:hAnsi="Segoe UI" w:cs="Segoe UI"/>
          <w:sz w:val="18"/>
          <w:szCs w:val="18"/>
        </w:rPr>
        <w:t>Suppl</w:t>
      </w:r>
      <w:proofErr w:type="spellEnd"/>
      <w:r w:rsidRPr="00B55F59">
        <w:rPr>
          <w:rFonts w:ascii="Segoe UI" w:hAnsi="Segoe UI" w:cs="Segoe UI"/>
          <w:sz w:val="18"/>
          <w:szCs w:val="18"/>
        </w:rPr>
        <w:t xml:space="preserve"> 3:iii93-101. </w:t>
      </w:r>
      <w:hyperlink r:id="rId32" w:history="1">
        <w:r w:rsidR="003C3707">
          <w:rPr>
            <w:rFonts w:ascii="Segoe UI" w:hAnsi="Segoe UI" w:cs="Segoe UI"/>
            <w:color w:val="0000FF" w:themeColor="hyperlink"/>
            <w:sz w:val="18"/>
            <w:szCs w:val="18"/>
            <w:u w:val="single"/>
          </w:rPr>
          <w:t>High-grade glioma: ESMO Clinical Practice Guidelines for diagnosis, treatment and follow-up</w:t>
        </w:r>
      </w:hyperlink>
      <w:r w:rsidRPr="00B55F59">
        <w:rPr>
          <w:rFonts w:ascii="Segoe UI" w:hAnsi="Segoe UI" w:cs="Segoe UI"/>
          <w:sz w:val="18"/>
          <w:szCs w:val="18"/>
        </w:rPr>
        <w:t>.</w:t>
      </w:r>
    </w:p>
    <w:p w14:paraId="09133E69" w14:textId="77777777" w:rsidR="001D0B8B" w:rsidRDefault="001D0B8B" w:rsidP="001D0B8B">
      <w:pPr>
        <w:spacing w:before="0" w:after="0"/>
        <w:rPr>
          <w:b/>
          <w:szCs w:val="20"/>
        </w:rPr>
      </w:pPr>
    </w:p>
    <w:p w14:paraId="7E5F4D78" w14:textId="27EB4DC5" w:rsidR="00A469D2" w:rsidRPr="00A469D2" w:rsidRDefault="00A469D2" w:rsidP="001D0B8B">
      <w:pPr>
        <w:spacing w:before="0" w:after="0"/>
        <w:rPr>
          <w:b/>
          <w:szCs w:val="20"/>
        </w:rPr>
      </w:pPr>
      <w:r w:rsidRPr="00A469D2">
        <w:rPr>
          <w:b/>
          <w:szCs w:val="20"/>
        </w:rPr>
        <w:t>Glioblastomas</w:t>
      </w:r>
    </w:p>
    <w:p w14:paraId="09A2A776" w14:textId="77777777" w:rsidR="00A469D2" w:rsidRPr="00340E57" w:rsidRDefault="00A469D2" w:rsidP="001D0B8B">
      <w:pPr>
        <w:spacing w:before="0" w:after="0"/>
        <w:rPr>
          <w:szCs w:val="20"/>
        </w:rPr>
      </w:pPr>
      <w:r w:rsidRPr="00340E57">
        <w:rPr>
          <w:szCs w:val="20"/>
        </w:rPr>
        <w:t>Although a number of different molecular tests may be employed in the accurate diagnosis of glial tumour, this application relates to IDH1/2 mutation and MGMT promoter methylation. IDH-mutated tumours are associated with a more favourable prognosis than for non-mutated grade III astrocytoma indicating important prognostic value of this test. In retrospective analyses, MGMT methylation has been correlated with improved outcomes with alkylating agent chemotherapy. In lower grade IDH-mutated tumours, MGMT methylation indicates a better prognosis overall (</w:t>
      </w:r>
      <w:proofErr w:type="spellStart"/>
      <w:r w:rsidRPr="00340E57">
        <w:rPr>
          <w:szCs w:val="20"/>
        </w:rPr>
        <w:t>Stupp</w:t>
      </w:r>
      <w:proofErr w:type="spellEnd"/>
      <w:r w:rsidRPr="00340E57">
        <w:rPr>
          <w:szCs w:val="20"/>
        </w:rPr>
        <w:t xml:space="preserve">, 2014). </w:t>
      </w:r>
    </w:p>
    <w:p w14:paraId="7C2C082F" w14:textId="77777777" w:rsidR="001D0B8B" w:rsidRDefault="001D0B8B" w:rsidP="001D0B8B">
      <w:pPr>
        <w:spacing w:before="0" w:after="0"/>
        <w:rPr>
          <w:szCs w:val="20"/>
        </w:rPr>
      </w:pPr>
    </w:p>
    <w:p w14:paraId="3FFF1A75" w14:textId="154110BE" w:rsidR="00A469D2" w:rsidRPr="00340E57" w:rsidRDefault="00A469D2" w:rsidP="001D0B8B">
      <w:pPr>
        <w:spacing w:before="0" w:after="0"/>
        <w:rPr>
          <w:szCs w:val="20"/>
        </w:rPr>
      </w:pPr>
      <w:r w:rsidRPr="00340E57">
        <w:rPr>
          <w:szCs w:val="20"/>
        </w:rPr>
        <w:t>Currently patients are required to self-fund this testing, leading to inequity of access on financial grounds.</w:t>
      </w:r>
    </w:p>
    <w:p w14:paraId="38A6C402" w14:textId="287B8C04" w:rsidR="00A469D2" w:rsidRPr="00340E57" w:rsidRDefault="00A469D2" w:rsidP="001D0B8B">
      <w:pPr>
        <w:autoSpaceDE w:val="0"/>
        <w:autoSpaceDN w:val="0"/>
        <w:adjustRightInd w:val="0"/>
        <w:spacing w:before="0" w:after="0"/>
        <w:rPr>
          <w:rFonts w:ascii="Segoe UI" w:hAnsi="Segoe UI" w:cs="Segoe UI"/>
          <w:sz w:val="18"/>
          <w:szCs w:val="18"/>
        </w:rPr>
      </w:pPr>
      <w:proofErr w:type="spellStart"/>
      <w:r w:rsidRPr="00340E57">
        <w:rPr>
          <w:rFonts w:ascii="Segoe UI" w:hAnsi="Segoe UI" w:cs="Segoe UI"/>
          <w:sz w:val="18"/>
          <w:szCs w:val="18"/>
        </w:rPr>
        <w:lastRenderedPageBreak/>
        <w:t>Stupp</w:t>
      </w:r>
      <w:proofErr w:type="spellEnd"/>
      <w:r w:rsidRPr="00340E57">
        <w:rPr>
          <w:rFonts w:ascii="Segoe UI" w:hAnsi="Segoe UI" w:cs="Segoe UI"/>
          <w:sz w:val="18"/>
          <w:szCs w:val="18"/>
        </w:rPr>
        <w:t xml:space="preserve"> R, </w:t>
      </w:r>
      <w:proofErr w:type="spellStart"/>
      <w:r w:rsidRPr="00340E57">
        <w:rPr>
          <w:rFonts w:ascii="Segoe UI" w:hAnsi="Segoe UI" w:cs="Segoe UI"/>
          <w:sz w:val="18"/>
          <w:szCs w:val="18"/>
        </w:rPr>
        <w:t>Brada</w:t>
      </w:r>
      <w:proofErr w:type="spellEnd"/>
      <w:r w:rsidRPr="00340E57">
        <w:rPr>
          <w:rFonts w:ascii="Segoe UI" w:hAnsi="Segoe UI" w:cs="Segoe UI"/>
          <w:sz w:val="18"/>
          <w:szCs w:val="18"/>
        </w:rPr>
        <w:t xml:space="preserve"> M, van den Bent MJ, et al. High-grade glioma: ESMO Clinical Practice Guidelines for diagnosis, treatment and follow-up. Ann </w:t>
      </w:r>
      <w:proofErr w:type="spellStart"/>
      <w:r w:rsidRPr="00340E57">
        <w:rPr>
          <w:rFonts w:ascii="Segoe UI" w:hAnsi="Segoe UI" w:cs="Segoe UI"/>
          <w:sz w:val="18"/>
          <w:szCs w:val="18"/>
        </w:rPr>
        <w:t>Oncol</w:t>
      </w:r>
      <w:proofErr w:type="spellEnd"/>
      <w:r w:rsidRPr="00340E57">
        <w:rPr>
          <w:rFonts w:ascii="Segoe UI" w:hAnsi="Segoe UI" w:cs="Segoe UI"/>
          <w:sz w:val="18"/>
          <w:szCs w:val="18"/>
        </w:rPr>
        <w:t>. 2014</w:t>
      </w:r>
      <w:proofErr w:type="gramStart"/>
      <w:r w:rsidRPr="00340E57">
        <w:rPr>
          <w:rFonts w:ascii="Segoe UI" w:hAnsi="Segoe UI" w:cs="Segoe UI"/>
          <w:sz w:val="18"/>
          <w:szCs w:val="18"/>
        </w:rPr>
        <w:t>;25</w:t>
      </w:r>
      <w:proofErr w:type="gramEnd"/>
      <w:r w:rsidRPr="00340E57">
        <w:rPr>
          <w:rFonts w:ascii="Segoe UI" w:hAnsi="Segoe UI" w:cs="Segoe UI"/>
          <w:sz w:val="18"/>
          <w:szCs w:val="18"/>
        </w:rPr>
        <w:t xml:space="preserve"> </w:t>
      </w:r>
      <w:proofErr w:type="spellStart"/>
      <w:r w:rsidRPr="00340E57">
        <w:rPr>
          <w:rFonts w:ascii="Segoe UI" w:hAnsi="Segoe UI" w:cs="Segoe UI"/>
          <w:sz w:val="18"/>
          <w:szCs w:val="18"/>
        </w:rPr>
        <w:t>Suppl</w:t>
      </w:r>
      <w:proofErr w:type="spellEnd"/>
      <w:r w:rsidRPr="00340E57">
        <w:rPr>
          <w:rFonts w:ascii="Segoe UI" w:hAnsi="Segoe UI" w:cs="Segoe UI"/>
          <w:sz w:val="18"/>
          <w:szCs w:val="18"/>
        </w:rPr>
        <w:t xml:space="preserve"> 3:iii93-101. </w:t>
      </w:r>
      <w:hyperlink r:id="rId33" w:history="1">
        <w:r w:rsidR="003C3707">
          <w:rPr>
            <w:rStyle w:val="Hyperlink"/>
            <w:rFonts w:ascii="Segoe UI" w:hAnsi="Segoe UI" w:cs="Segoe UI"/>
            <w:sz w:val="18"/>
            <w:szCs w:val="18"/>
          </w:rPr>
          <w:t>High-grade glioma: ESMO Clinical Practice Guidelines for diagnosis, treatment and follow-up</w:t>
        </w:r>
      </w:hyperlink>
      <w:r w:rsidRPr="00340E57">
        <w:rPr>
          <w:rFonts w:ascii="Segoe UI" w:hAnsi="Segoe UI" w:cs="Segoe UI"/>
          <w:sz w:val="18"/>
          <w:szCs w:val="18"/>
        </w:rPr>
        <w:t>.</w:t>
      </w:r>
    </w:p>
    <w:p w14:paraId="3AD944B7" w14:textId="77777777" w:rsidR="001D0B8B" w:rsidRDefault="001D0B8B" w:rsidP="001D0B8B">
      <w:pPr>
        <w:spacing w:before="0" w:after="0"/>
        <w:rPr>
          <w:b/>
          <w:szCs w:val="20"/>
        </w:rPr>
      </w:pPr>
    </w:p>
    <w:p w14:paraId="7BA55B8C" w14:textId="639F5583" w:rsidR="00A469D2" w:rsidRPr="00A469D2" w:rsidRDefault="00A469D2" w:rsidP="001D0B8B">
      <w:pPr>
        <w:spacing w:before="0" w:after="0"/>
        <w:rPr>
          <w:b/>
          <w:szCs w:val="20"/>
        </w:rPr>
      </w:pPr>
      <w:r w:rsidRPr="00A469D2">
        <w:rPr>
          <w:b/>
          <w:szCs w:val="20"/>
        </w:rPr>
        <w:t>Soft Tissue and Bone Tumours</w:t>
      </w:r>
    </w:p>
    <w:p w14:paraId="0BD60F70" w14:textId="77777777" w:rsidR="001D0B8B" w:rsidRDefault="001D0B8B" w:rsidP="001D0B8B">
      <w:pPr>
        <w:spacing w:before="0" w:after="0"/>
        <w:rPr>
          <w:szCs w:val="20"/>
        </w:rPr>
      </w:pPr>
    </w:p>
    <w:p w14:paraId="0CD0CDB2" w14:textId="5C1E2749" w:rsidR="00A469D2" w:rsidRPr="00A469D2" w:rsidRDefault="00A469D2" w:rsidP="001D0B8B">
      <w:pPr>
        <w:spacing w:before="0" w:after="0"/>
        <w:rPr>
          <w:szCs w:val="20"/>
        </w:rPr>
      </w:pPr>
      <w:r w:rsidRPr="00A469D2">
        <w:rPr>
          <w:szCs w:val="20"/>
        </w:rPr>
        <w:t>Identification of pathognomonic gene changes is of particular use when diagnosing tumours on limited biopsy material and can impart greater diagnostic certainty without the need for more invasive biopsy and attendant increased costs and risks to the patient. The use of such assays can also decrease the risk of misdiagnosis.</w:t>
      </w:r>
    </w:p>
    <w:p w14:paraId="0849EC3B" w14:textId="77777777" w:rsidR="001D0B8B" w:rsidRDefault="001D0B8B" w:rsidP="001D0B8B">
      <w:pPr>
        <w:spacing w:before="0" w:after="0"/>
        <w:rPr>
          <w:szCs w:val="20"/>
        </w:rPr>
      </w:pPr>
    </w:p>
    <w:p w14:paraId="416FE7FA" w14:textId="2F311045" w:rsidR="00A469D2" w:rsidRPr="00A469D2" w:rsidRDefault="00A469D2" w:rsidP="001D0B8B">
      <w:pPr>
        <w:spacing w:before="0" w:after="0"/>
        <w:rPr>
          <w:szCs w:val="20"/>
        </w:rPr>
      </w:pPr>
      <w:r w:rsidRPr="00A469D2">
        <w:rPr>
          <w:szCs w:val="20"/>
        </w:rPr>
        <w:t xml:space="preserve">These molecular aberrations are particularly characteristic of “rare” and less common cancers, such as sarcoma, which have disproportionately higher mortality rates compared to common cancers. Rare and less common cancers are the leading cause of death in children under 15 years of age, constitute the fourth most common cause of death in the 20-39 age group and as a group are the leading cause of death in 40-59 year olds accounting for 52% of all cancer deaths, more than double the impact of coronary heart disease alone.  In the 60-69 age </w:t>
      </w:r>
      <w:proofErr w:type="gramStart"/>
      <w:r w:rsidRPr="00A469D2">
        <w:rPr>
          <w:szCs w:val="20"/>
        </w:rPr>
        <w:t>group</w:t>
      </w:r>
      <w:proofErr w:type="gramEnd"/>
      <w:r w:rsidRPr="00A469D2">
        <w:rPr>
          <w:szCs w:val="20"/>
        </w:rPr>
        <w:t>, rare and less common cancers as a group are the leading cause of cancer death. As the Australian population continues to age, these numbers are set to increase.</w:t>
      </w:r>
    </w:p>
    <w:p w14:paraId="628B2E30" w14:textId="77777777" w:rsidR="001D0B8B" w:rsidRDefault="001D0B8B" w:rsidP="001D0B8B">
      <w:pPr>
        <w:spacing w:before="0" w:after="0"/>
        <w:rPr>
          <w:szCs w:val="20"/>
        </w:rPr>
      </w:pPr>
    </w:p>
    <w:p w14:paraId="7D233224" w14:textId="1C181285" w:rsidR="00A469D2" w:rsidRPr="00A469D2" w:rsidRDefault="00A469D2" w:rsidP="001D0B8B">
      <w:pPr>
        <w:spacing w:before="0" w:after="0"/>
        <w:rPr>
          <w:szCs w:val="20"/>
        </w:rPr>
      </w:pPr>
      <w:r w:rsidRPr="00A469D2">
        <w:rPr>
          <w:szCs w:val="20"/>
        </w:rPr>
        <w:t xml:space="preserve">Research using molecular and genomic techniques has and continues to identify somatic changes in genes that are associated with specific types of tumours resulting in more accurate classification and diagnosis, with for example over 53 different translocations now described for specific soft tissue and bone tumours. With increasing numbers of tumour diagnoses made on small tissue and fine needle aspirate biopsies, the detection of a pathognomonic genetic aberration can provide critical information to make the correct diagnosis, without the need for repeat biopsy, more invasive surgical biopsy (and resultant increased risk of complication or morbidity) and ultimately ensure optimal management and the best outcome for patients. For example well-differentiated </w:t>
      </w:r>
      <w:proofErr w:type="spellStart"/>
      <w:r w:rsidRPr="00A469D2">
        <w:rPr>
          <w:szCs w:val="20"/>
        </w:rPr>
        <w:t>liposarcoma</w:t>
      </w:r>
      <w:proofErr w:type="spellEnd"/>
      <w:r w:rsidRPr="00A469D2">
        <w:rPr>
          <w:szCs w:val="20"/>
        </w:rPr>
        <w:t xml:space="preserve">/atypical </w:t>
      </w:r>
      <w:proofErr w:type="spellStart"/>
      <w:r w:rsidRPr="00A469D2">
        <w:rPr>
          <w:szCs w:val="20"/>
        </w:rPr>
        <w:t>lipomatous</w:t>
      </w:r>
      <w:proofErr w:type="spellEnd"/>
      <w:r w:rsidRPr="00A469D2">
        <w:rPr>
          <w:szCs w:val="20"/>
        </w:rPr>
        <w:t xml:space="preserve"> tumours are frequently located in the retroperitoneum a difficult and risky site to biopsy. It can be problematic to differentiate these sarcomas from benign </w:t>
      </w:r>
      <w:proofErr w:type="spellStart"/>
      <w:r w:rsidRPr="00A469D2">
        <w:rPr>
          <w:szCs w:val="20"/>
        </w:rPr>
        <w:t>lipomatous</w:t>
      </w:r>
      <w:proofErr w:type="spellEnd"/>
      <w:r w:rsidRPr="00A469D2">
        <w:rPr>
          <w:szCs w:val="20"/>
        </w:rPr>
        <w:t xml:space="preserve"> tumours, especially on limited biopsy material. </w:t>
      </w:r>
    </w:p>
    <w:p w14:paraId="317EC465" w14:textId="77777777" w:rsidR="001D0B8B" w:rsidRDefault="001D0B8B" w:rsidP="001D0B8B">
      <w:pPr>
        <w:widowControl w:val="0"/>
        <w:autoSpaceDE w:val="0"/>
        <w:autoSpaceDN w:val="0"/>
        <w:adjustRightInd w:val="0"/>
        <w:spacing w:before="0" w:after="0"/>
        <w:rPr>
          <w:szCs w:val="20"/>
        </w:rPr>
      </w:pPr>
    </w:p>
    <w:p w14:paraId="4A47847E" w14:textId="303D0F40" w:rsidR="00A469D2" w:rsidRPr="00A469D2" w:rsidRDefault="00A469D2" w:rsidP="001D0B8B">
      <w:pPr>
        <w:widowControl w:val="0"/>
        <w:autoSpaceDE w:val="0"/>
        <w:autoSpaceDN w:val="0"/>
        <w:adjustRightInd w:val="0"/>
        <w:spacing w:before="0" w:after="0"/>
        <w:rPr>
          <w:szCs w:val="20"/>
        </w:rPr>
      </w:pPr>
      <w:r w:rsidRPr="00A469D2">
        <w:rPr>
          <w:szCs w:val="20"/>
        </w:rPr>
        <w:t xml:space="preserve">Immunohistochemistry results are non-specific in several sarcomas types (e.g. Ewing sarcoma and synovial sarcoma) and a confident diagnosis relies on demonstrating the characteristic molecular abnormality. Some rare sarcomas have a broad differential diagnosis (e.g. mesenchymal chondrosarcoma) and while the underlying molecular abnormality is known a FISH probe is not always commercially available.  In these cases, a </w:t>
      </w:r>
      <w:proofErr w:type="spellStart"/>
      <w:r w:rsidRPr="00A469D2">
        <w:rPr>
          <w:szCs w:val="20"/>
        </w:rPr>
        <w:t>multipanel</w:t>
      </w:r>
      <w:proofErr w:type="spellEnd"/>
      <w:r w:rsidRPr="00A469D2">
        <w:rPr>
          <w:szCs w:val="20"/>
        </w:rPr>
        <w:t xml:space="preserve"> or NGS approach with the ability to look for multiple possible fusions in a single test would result in a more timely diagnosis and utilise less tissue (decreasing the likelihood of a second biopsy).</w:t>
      </w:r>
    </w:p>
    <w:p w14:paraId="3DE6D41F" w14:textId="77777777" w:rsidR="001D0B8B" w:rsidRDefault="001D0B8B" w:rsidP="001D0B8B">
      <w:pPr>
        <w:spacing w:before="0" w:after="0"/>
        <w:rPr>
          <w:szCs w:val="20"/>
        </w:rPr>
      </w:pPr>
    </w:p>
    <w:p w14:paraId="34B2A187" w14:textId="58F4AEE8" w:rsidR="00A469D2" w:rsidRPr="00A469D2" w:rsidRDefault="00A469D2" w:rsidP="001D0B8B">
      <w:pPr>
        <w:spacing w:before="0" w:after="0"/>
        <w:rPr>
          <w:szCs w:val="20"/>
        </w:rPr>
      </w:pPr>
      <w:r w:rsidRPr="00A469D2">
        <w:rPr>
          <w:szCs w:val="20"/>
        </w:rPr>
        <w:t>MDM2 amplification detected by FISH has been shown to be 100% sensitive and specific on core needle biopsy in comparison to immunohistochemistry which was 65% sensitive and 89% specific, with a false positive rate of 11%.</w:t>
      </w:r>
    </w:p>
    <w:p w14:paraId="43EB8405" w14:textId="77777777" w:rsidR="00A469D2" w:rsidRPr="00A469D2" w:rsidRDefault="00A469D2" w:rsidP="001D0B8B">
      <w:pPr>
        <w:widowControl w:val="0"/>
        <w:autoSpaceDE w:val="0"/>
        <w:autoSpaceDN w:val="0"/>
        <w:adjustRightInd w:val="0"/>
        <w:spacing w:before="0" w:after="0"/>
        <w:rPr>
          <w:szCs w:val="20"/>
        </w:rPr>
      </w:pPr>
    </w:p>
    <w:p w14:paraId="3D3494B3" w14:textId="77777777" w:rsidR="00A469D2" w:rsidRPr="00A469D2" w:rsidRDefault="00A469D2" w:rsidP="001D0B8B">
      <w:pPr>
        <w:widowControl w:val="0"/>
        <w:autoSpaceDE w:val="0"/>
        <w:autoSpaceDN w:val="0"/>
        <w:adjustRightInd w:val="0"/>
        <w:spacing w:before="0" w:after="0"/>
        <w:rPr>
          <w:szCs w:val="20"/>
        </w:rPr>
      </w:pPr>
      <w:r w:rsidRPr="00A469D2">
        <w:rPr>
          <w:szCs w:val="20"/>
        </w:rPr>
        <w:t xml:space="preserve">A recent study on sarcoma diagnosis (GENSARC study Lancet Oncology 2016) 34 showed that the prospective use of molecular analysis for specific gene copy number changes or gene rearrangements resulted in a change in diagnosis in 23% of cases compared to a morphology diagnosis by sarcoma pathology experts. This resulted in a significant change in proposed management in 12% of cases.  These authors concluded that molecular testing should be mandatory for diagnostic accuracy of sarcoma and appropriate clinical management. </w:t>
      </w:r>
    </w:p>
    <w:p w14:paraId="25396B8C" w14:textId="77777777" w:rsidR="00A469D2" w:rsidRPr="00A469D2" w:rsidRDefault="00A469D2" w:rsidP="001D0B8B">
      <w:pPr>
        <w:widowControl w:val="0"/>
        <w:autoSpaceDE w:val="0"/>
        <w:autoSpaceDN w:val="0"/>
        <w:adjustRightInd w:val="0"/>
        <w:spacing w:before="0" w:after="0"/>
        <w:rPr>
          <w:szCs w:val="20"/>
        </w:rPr>
      </w:pPr>
    </w:p>
    <w:p w14:paraId="26DFAF81" w14:textId="77777777" w:rsidR="00A469D2" w:rsidRPr="00A469D2" w:rsidRDefault="00A469D2" w:rsidP="001D0B8B">
      <w:pPr>
        <w:widowControl w:val="0"/>
        <w:autoSpaceDE w:val="0"/>
        <w:autoSpaceDN w:val="0"/>
        <w:adjustRightInd w:val="0"/>
        <w:spacing w:before="0" w:after="0"/>
        <w:rPr>
          <w:szCs w:val="20"/>
        </w:rPr>
      </w:pPr>
      <w:r w:rsidRPr="00A469D2">
        <w:rPr>
          <w:szCs w:val="20"/>
        </w:rPr>
        <w:t>Somatic tumour gene testing for soft tissue and bone tumours should include:</w:t>
      </w:r>
    </w:p>
    <w:p w14:paraId="6E5CB2F0" w14:textId="77777777" w:rsidR="00A469D2" w:rsidRPr="00A469D2" w:rsidRDefault="00A469D2" w:rsidP="001D0B8B">
      <w:pPr>
        <w:widowControl w:val="0"/>
        <w:autoSpaceDE w:val="0"/>
        <w:autoSpaceDN w:val="0"/>
        <w:adjustRightInd w:val="0"/>
        <w:spacing w:before="0" w:after="0"/>
        <w:rPr>
          <w:szCs w:val="20"/>
        </w:rPr>
      </w:pPr>
    </w:p>
    <w:tbl>
      <w:tblPr>
        <w:tblW w:w="7252" w:type="dxa"/>
        <w:tblLook w:val="04A0" w:firstRow="1" w:lastRow="0" w:firstColumn="1" w:lastColumn="0" w:noHBand="0" w:noVBand="1"/>
      </w:tblPr>
      <w:tblGrid>
        <w:gridCol w:w="5125"/>
        <w:gridCol w:w="2127"/>
      </w:tblGrid>
      <w:tr w:rsidR="00A469D2" w:rsidRPr="00A469D2" w14:paraId="02F6CC1F" w14:textId="77777777" w:rsidTr="00A469D2">
        <w:trPr>
          <w:trHeight w:val="227"/>
        </w:trPr>
        <w:tc>
          <w:tcPr>
            <w:tcW w:w="5125" w:type="dxa"/>
            <w:tcBorders>
              <w:top w:val="single" w:sz="4" w:space="0" w:color="auto"/>
              <w:left w:val="single" w:sz="4" w:space="0" w:color="auto"/>
              <w:bottom w:val="single" w:sz="4" w:space="0" w:color="auto"/>
              <w:right w:val="single" w:sz="4" w:space="0" w:color="auto"/>
            </w:tcBorders>
            <w:shd w:val="clear" w:color="auto" w:fill="auto"/>
            <w:hideMark/>
          </w:tcPr>
          <w:p w14:paraId="7549A189" w14:textId="67445804" w:rsidR="00A469D2" w:rsidRPr="00A469D2" w:rsidRDefault="00A469D2" w:rsidP="001D0B8B">
            <w:pPr>
              <w:spacing w:before="0" w:after="0"/>
              <w:rPr>
                <w:rFonts w:ascii="Calibri" w:eastAsia="Times New Roman" w:hAnsi="Calibri" w:cs="Times New Roman"/>
                <w:color w:val="000000"/>
                <w:szCs w:val="20"/>
                <w:lang w:eastAsia="en-AU"/>
              </w:rPr>
            </w:pPr>
            <w:r w:rsidRPr="00A469D2">
              <w:rPr>
                <w:rFonts w:ascii="Calibri" w:eastAsia="Times New Roman" w:hAnsi="Calibri" w:cs="Times New Roman"/>
                <w:color w:val="000000"/>
                <w:szCs w:val="20"/>
                <w:lang w:eastAsia="en-AU"/>
              </w:rPr>
              <w:t>A</w:t>
            </w:r>
            <w:r w:rsidRPr="00A469D2">
              <w:rPr>
                <w:rFonts w:ascii="Calibri" w:eastAsia="Times New Roman" w:hAnsi="Calibri" w:cs="Times New Roman"/>
                <w:iCs/>
                <w:color w:val="000000"/>
                <w:szCs w:val="20"/>
                <w:lang w:eastAsia="en-AU"/>
              </w:rPr>
              <w:t xml:space="preserve">typical </w:t>
            </w:r>
            <w:proofErr w:type="spellStart"/>
            <w:r w:rsidRPr="00A469D2">
              <w:rPr>
                <w:rFonts w:ascii="Calibri" w:eastAsia="Times New Roman" w:hAnsi="Calibri" w:cs="Times New Roman"/>
                <w:iCs/>
                <w:color w:val="000000"/>
                <w:szCs w:val="20"/>
                <w:lang w:eastAsia="en-AU"/>
              </w:rPr>
              <w:t>lipomatous</w:t>
            </w:r>
            <w:proofErr w:type="spellEnd"/>
            <w:r w:rsidRPr="00A469D2">
              <w:rPr>
                <w:rFonts w:ascii="Calibri" w:eastAsia="Times New Roman" w:hAnsi="Calibri" w:cs="Times New Roman"/>
                <w:iCs/>
                <w:color w:val="000000"/>
                <w:szCs w:val="20"/>
                <w:lang w:eastAsia="en-AU"/>
              </w:rPr>
              <w:t xml:space="preserve"> tumour/dedifferentiated </w:t>
            </w:r>
            <w:proofErr w:type="spellStart"/>
            <w:r w:rsidRPr="00A469D2">
              <w:rPr>
                <w:rFonts w:ascii="Calibri" w:eastAsia="Times New Roman" w:hAnsi="Calibri" w:cs="Times New Roman"/>
                <w:iCs/>
                <w:color w:val="000000"/>
                <w:szCs w:val="20"/>
                <w:lang w:eastAsia="en-AU"/>
              </w:rPr>
              <w:t>lipo</w:t>
            </w:r>
            <w:r w:rsidR="004A6963">
              <w:rPr>
                <w:rFonts w:ascii="Calibri" w:eastAsia="Times New Roman" w:hAnsi="Calibri" w:cs="Times New Roman"/>
                <w:iCs/>
                <w:color w:val="000000"/>
                <w:szCs w:val="20"/>
                <w:lang w:eastAsia="en-AU"/>
              </w:rPr>
              <w:t>s</w:t>
            </w:r>
            <w:r w:rsidRPr="00A469D2">
              <w:rPr>
                <w:rFonts w:ascii="Calibri" w:eastAsia="Times New Roman" w:hAnsi="Calibri" w:cs="Times New Roman"/>
                <w:iCs/>
                <w:color w:val="000000"/>
                <w:szCs w:val="20"/>
                <w:lang w:eastAsia="en-AU"/>
              </w:rPr>
              <w:t>arcoma</w:t>
            </w:r>
            <w:proofErr w:type="spellEnd"/>
          </w:p>
        </w:tc>
        <w:tc>
          <w:tcPr>
            <w:tcW w:w="2127" w:type="dxa"/>
            <w:tcBorders>
              <w:top w:val="single" w:sz="4" w:space="0" w:color="auto"/>
              <w:left w:val="nil"/>
              <w:bottom w:val="single" w:sz="4" w:space="0" w:color="auto"/>
              <w:right w:val="single" w:sz="4" w:space="0" w:color="auto"/>
            </w:tcBorders>
            <w:shd w:val="clear" w:color="auto" w:fill="auto"/>
            <w:hideMark/>
          </w:tcPr>
          <w:p w14:paraId="24C70AD1" w14:textId="77777777" w:rsidR="00A469D2" w:rsidRPr="00A469D2" w:rsidRDefault="00A469D2" w:rsidP="001D0B8B">
            <w:pPr>
              <w:spacing w:before="0" w:after="0"/>
              <w:rPr>
                <w:rFonts w:ascii="Calibri" w:eastAsia="Times New Roman" w:hAnsi="Calibri" w:cs="Times New Roman"/>
                <w:color w:val="000000"/>
                <w:szCs w:val="20"/>
                <w:lang w:eastAsia="en-AU"/>
              </w:rPr>
            </w:pPr>
            <w:r w:rsidRPr="00A469D2">
              <w:rPr>
                <w:rFonts w:ascii="Calibri" w:eastAsia="Times New Roman" w:hAnsi="Calibri" w:cs="Times New Roman"/>
                <w:color w:val="000000"/>
                <w:szCs w:val="20"/>
                <w:lang w:eastAsia="en-AU"/>
              </w:rPr>
              <w:t>MDM2</w:t>
            </w:r>
          </w:p>
        </w:tc>
      </w:tr>
      <w:tr w:rsidR="00A469D2" w:rsidRPr="00A469D2" w14:paraId="35BD92F9" w14:textId="77777777" w:rsidTr="00A469D2">
        <w:trPr>
          <w:trHeight w:val="227"/>
        </w:trPr>
        <w:tc>
          <w:tcPr>
            <w:tcW w:w="5125" w:type="dxa"/>
            <w:tcBorders>
              <w:top w:val="nil"/>
              <w:left w:val="single" w:sz="4" w:space="0" w:color="auto"/>
              <w:bottom w:val="single" w:sz="4" w:space="0" w:color="auto"/>
              <w:right w:val="single" w:sz="4" w:space="0" w:color="auto"/>
            </w:tcBorders>
            <w:shd w:val="clear" w:color="auto" w:fill="auto"/>
            <w:hideMark/>
          </w:tcPr>
          <w:p w14:paraId="51016CB8" w14:textId="77777777" w:rsidR="00A469D2" w:rsidRPr="00A469D2" w:rsidRDefault="00A469D2" w:rsidP="001D0B8B">
            <w:pPr>
              <w:spacing w:before="0" w:after="0"/>
              <w:rPr>
                <w:rFonts w:ascii="Calibri" w:eastAsia="Times New Roman" w:hAnsi="Calibri" w:cs="Times New Roman"/>
                <w:color w:val="000000"/>
                <w:szCs w:val="20"/>
                <w:lang w:eastAsia="en-AU"/>
              </w:rPr>
            </w:pPr>
            <w:proofErr w:type="spellStart"/>
            <w:r w:rsidRPr="00A469D2">
              <w:rPr>
                <w:rFonts w:ascii="Calibri" w:eastAsia="Times New Roman" w:hAnsi="Calibri" w:cs="Times New Roman"/>
                <w:color w:val="000000"/>
                <w:szCs w:val="20"/>
                <w:lang w:eastAsia="en-AU"/>
              </w:rPr>
              <w:t>Myxoid</w:t>
            </w:r>
            <w:proofErr w:type="spellEnd"/>
            <w:r w:rsidRPr="00A469D2">
              <w:rPr>
                <w:rFonts w:ascii="Calibri" w:eastAsia="Times New Roman" w:hAnsi="Calibri" w:cs="Times New Roman"/>
                <w:color w:val="000000"/>
                <w:szCs w:val="20"/>
                <w:lang w:eastAsia="en-AU"/>
              </w:rPr>
              <w:t xml:space="preserve">/round cell </w:t>
            </w:r>
            <w:proofErr w:type="spellStart"/>
            <w:r w:rsidRPr="00A469D2">
              <w:rPr>
                <w:rFonts w:ascii="Calibri" w:eastAsia="Times New Roman" w:hAnsi="Calibri" w:cs="Times New Roman"/>
                <w:color w:val="000000"/>
                <w:szCs w:val="20"/>
                <w:lang w:eastAsia="en-AU"/>
              </w:rPr>
              <w:t>liposarcoma</w:t>
            </w:r>
            <w:proofErr w:type="spellEnd"/>
            <w:r w:rsidRPr="00A469D2">
              <w:rPr>
                <w:rFonts w:ascii="Calibri" w:eastAsia="Times New Roman" w:hAnsi="Calibri" w:cs="Times New Roman"/>
                <w:color w:val="000000"/>
                <w:szCs w:val="20"/>
                <w:lang w:eastAsia="en-AU"/>
              </w:rPr>
              <w:t xml:space="preserve"> </w:t>
            </w:r>
          </w:p>
        </w:tc>
        <w:tc>
          <w:tcPr>
            <w:tcW w:w="2127" w:type="dxa"/>
            <w:tcBorders>
              <w:top w:val="nil"/>
              <w:left w:val="nil"/>
              <w:bottom w:val="single" w:sz="4" w:space="0" w:color="auto"/>
              <w:right w:val="single" w:sz="4" w:space="0" w:color="auto"/>
            </w:tcBorders>
            <w:shd w:val="clear" w:color="auto" w:fill="auto"/>
            <w:hideMark/>
          </w:tcPr>
          <w:p w14:paraId="3EB4B62C" w14:textId="77777777" w:rsidR="00A469D2" w:rsidRPr="00A469D2" w:rsidRDefault="00A469D2" w:rsidP="001D0B8B">
            <w:pPr>
              <w:spacing w:before="0" w:after="0"/>
              <w:rPr>
                <w:rFonts w:ascii="Calibri" w:eastAsia="Times New Roman" w:hAnsi="Calibri" w:cs="Times New Roman"/>
                <w:color w:val="000000"/>
                <w:szCs w:val="20"/>
                <w:lang w:eastAsia="en-AU"/>
              </w:rPr>
            </w:pPr>
            <w:r w:rsidRPr="00A469D2">
              <w:rPr>
                <w:rFonts w:ascii="Calibri" w:eastAsia="Times New Roman" w:hAnsi="Calibri" w:cs="Times New Roman"/>
                <w:color w:val="000000"/>
                <w:szCs w:val="20"/>
                <w:lang w:eastAsia="en-AU"/>
              </w:rPr>
              <w:t>FUS, DDIT3, EWSR1</w:t>
            </w:r>
          </w:p>
        </w:tc>
      </w:tr>
      <w:tr w:rsidR="00A469D2" w:rsidRPr="00A469D2" w14:paraId="74AC0B3C" w14:textId="77777777" w:rsidTr="00A469D2">
        <w:trPr>
          <w:trHeight w:val="227"/>
        </w:trPr>
        <w:tc>
          <w:tcPr>
            <w:tcW w:w="5125" w:type="dxa"/>
            <w:tcBorders>
              <w:top w:val="nil"/>
              <w:left w:val="single" w:sz="4" w:space="0" w:color="auto"/>
              <w:bottom w:val="single" w:sz="4" w:space="0" w:color="auto"/>
              <w:right w:val="single" w:sz="4" w:space="0" w:color="auto"/>
            </w:tcBorders>
            <w:shd w:val="clear" w:color="auto" w:fill="auto"/>
            <w:hideMark/>
          </w:tcPr>
          <w:p w14:paraId="44BC1DE4" w14:textId="77777777" w:rsidR="00A469D2" w:rsidRPr="00A469D2" w:rsidRDefault="00A469D2" w:rsidP="001D0B8B">
            <w:pPr>
              <w:spacing w:before="0" w:after="0"/>
              <w:rPr>
                <w:rFonts w:ascii="Calibri" w:eastAsia="Times New Roman" w:hAnsi="Calibri" w:cs="Times New Roman"/>
                <w:color w:val="000000"/>
                <w:szCs w:val="20"/>
                <w:lang w:eastAsia="en-AU"/>
              </w:rPr>
            </w:pPr>
            <w:r w:rsidRPr="00A469D2">
              <w:rPr>
                <w:rFonts w:ascii="Calibri" w:eastAsia="Times New Roman" w:hAnsi="Calibri" w:cs="Times New Roman"/>
                <w:color w:val="000000"/>
                <w:szCs w:val="20"/>
                <w:lang w:eastAsia="en-AU"/>
              </w:rPr>
              <w:t xml:space="preserve">Infantile </w:t>
            </w:r>
            <w:proofErr w:type="spellStart"/>
            <w:r w:rsidRPr="00A469D2">
              <w:rPr>
                <w:rFonts w:ascii="Calibri" w:eastAsia="Times New Roman" w:hAnsi="Calibri" w:cs="Times New Roman"/>
                <w:color w:val="000000"/>
                <w:szCs w:val="20"/>
                <w:lang w:eastAsia="en-AU"/>
              </w:rPr>
              <w:t>fibrosarcoma</w:t>
            </w:r>
            <w:proofErr w:type="spellEnd"/>
          </w:p>
        </w:tc>
        <w:tc>
          <w:tcPr>
            <w:tcW w:w="2127" w:type="dxa"/>
            <w:tcBorders>
              <w:top w:val="nil"/>
              <w:left w:val="nil"/>
              <w:bottom w:val="single" w:sz="4" w:space="0" w:color="auto"/>
              <w:right w:val="single" w:sz="4" w:space="0" w:color="auto"/>
            </w:tcBorders>
            <w:shd w:val="clear" w:color="auto" w:fill="auto"/>
            <w:hideMark/>
          </w:tcPr>
          <w:p w14:paraId="7FD39FF2" w14:textId="77777777" w:rsidR="00A469D2" w:rsidRPr="00A469D2" w:rsidRDefault="00A469D2" w:rsidP="001D0B8B">
            <w:pPr>
              <w:spacing w:before="0" w:after="0"/>
              <w:rPr>
                <w:rFonts w:ascii="Calibri" w:eastAsia="Times New Roman" w:hAnsi="Calibri" w:cs="Times New Roman"/>
                <w:color w:val="000000"/>
                <w:szCs w:val="20"/>
                <w:lang w:eastAsia="en-AU"/>
              </w:rPr>
            </w:pPr>
            <w:r w:rsidRPr="00A469D2">
              <w:rPr>
                <w:rFonts w:ascii="Calibri" w:eastAsia="Times New Roman" w:hAnsi="Calibri" w:cs="Times New Roman"/>
                <w:color w:val="000000"/>
                <w:szCs w:val="20"/>
                <w:lang w:eastAsia="en-AU"/>
              </w:rPr>
              <w:t>ETV6, NTRK2</w:t>
            </w:r>
          </w:p>
        </w:tc>
      </w:tr>
      <w:tr w:rsidR="00A469D2" w:rsidRPr="00A469D2" w14:paraId="5AC7BDFD" w14:textId="77777777" w:rsidTr="00A469D2">
        <w:trPr>
          <w:trHeight w:val="227"/>
        </w:trPr>
        <w:tc>
          <w:tcPr>
            <w:tcW w:w="5125" w:type="dxa"/>
            <w:tcBorders>
              <w:top w:val="single" w:sz="4" w:space="0" w:color="auto"/>
              <w:left w:val="single" w:sz="4" w:space="0" w:color="auto"/>
              <w:bottom w:val="single" w:sz="4" w:space="0" w:color="auto"/>
              <w:right w:val="single" w:sz="4" w:space="0" w:color="auto"/>
            </w:tcBorders>
            <w:shd w:val="clear" w:color="auto" w:fill="auto"/>
            <w:hideMark/>
          </w:tcPr>
          <w:p w14:paraId="0737F49C" w14:textId="77777777" w:rsidR="00A469D2" w:rsidRPr="00A469D2" w:rsidRDefault="00A469D2" w:rsidP="001D0B8B">
            <w:pPr>
              <w:spacing w:before="0" w:after="0"/>
              <w:rPr>
                <w:rFonts w:ascii="Calibri" w:eastAsia="Times New Roman" w:hAnsi="Calibri" w:cs="Times New Roman"/>
                <w:color w:val="000000"/>
                <w:szCs w:val="20"/>
                <w:lang w:eastAsia="en-AU"/>
              </w:rPr>
            </w:pPr>
            <w:r w:rsidRPr="00A469D2">
              <w:rPr>
                <w:rFonts w:ascii="Calibri" w:eastAsia="Times New Roman" w:hAnsi="Calibri" w:cs="Times New Roman"/>
                <w:color w:val="000000"/>
                <w:szCs w:val="20"/>
                <w:lang w:eastAsia="en-AU"/>
              </w:rPr>
              <w:t>Dermatofibrosarcoma protuberans</w:t>
            </w:r>
          </w:p>
        </w:tc>
        <w:tc>
          <w:tcPr>
            <w:tcW w:w="2127" w:type="dxa"/>
            <w:tcBorders>
              <w:top w:val="single" w:sz="4" w:space="0" w:color="auto"/>
              <w:left w:val="nil"/>
              <w:bottom w:val="single" w:sz="4" w:space="0" w:color="auto"/>
              <w:right w:val="single" w:sz="4" w:space="0" w:color="auto"/>
            </w:tcBorders>
            <w:shd w:val="clear" w:color="auto" w:fill="auto"/>
            <w:hideMark/>
          </w:tcPr>
          <w:p w14:paraId="08AFC93C" w14:textId="07605141" w:rsidR="00A469D2" w:rsidRPr="00A469D2" w:rsidRDefault="00A469D2" w:rsidP="001D0B8B">
            <w:pPr>
              <w:spacing w:before="0" w:after="0"/>
              <w:rPr>
                <w:rFonts w:ascii="Calibri" w:eastAsia="Times New Roman" w:hAnsi="Calibri" w:cs="Times New Roman"/>
                <w:color w:val="000000"/>
                <w:szCs w:val="20"/>
                <w:lang w:eastAsia="en-AU"/>
              </w:rPr>
            </w:pPr>
            <w:r w:rsidRPr="00A469D2">
              <w:rPr>
                <w:rFonts w:ascii="Calibri" w:eastAsia="Times New Roman" w:hAnsi="Calibri" w:cs="Times New Roman"/>
                <w:color w:val="000000"/>
                <w:szCs w:val="20"/>
                <w:lang w:eastAsia="en-AU"/>
              </w:rPr>
              <w:t>COL1A1, PDGF</w:t>
            </w:r>
            <w:r w:rsidR="003B5729">
              <w:rPr>
                <w:rFonts w:ascii="Calibri" w:eastAsia="Times New Roman" w:hAnsi="Calibri" w:cs="Times New Roman"/>
                <w:color w:val="000000"/>
                <w:szCs w:val="20"/>
                <w:lang w:eastAsia="en-AU"/>
              </w:rPr>
              <w:t>B</w:t>
            </w:r>
          </w:p>
        </w:tc>
      </w:tr>
      <w:tr w:rsidR="004D657E" w:rsidRPr="00A469D2" w14:paraId="5A1BA399" w14:textId="77777777" w:rsidTr="00A469D2">
        <w:trPr>
          <w:trHeight w:val="227"/>
        </w:trPr>
        <w:tc>
          <w:tcPr>
            <w:tcW w:w="5125" w:type="dxa"/>
            <w:tcBorders>
              <w:top w:val="single" w:sz="4" w:space="0" w:color="auto"/>
              <w:left w:val="single" w:sz="4" w:space="0" w:color="auto"/>
              <w:bottom w:val="single" w:sz="4" w:space="0" w:color="auto"/>
              <w:right w:val="single" w:sz="4" w:space="0" w:color="auto"/>
            </w:tcBorders>
            <w:shd w:val="clear" w:color="auto" w:fill="auto"/>
          </w:tcPr>
          <w:p w14:paraId="3C1C0E34" w14:textId="2D69BE68" w:rsidR="004D657E" w:rsidRPr="00A469D2" w:rsidRDefault="004D657E" w:rsidP="001D0B8B">
            <w:pPr>
              <w:spacing w:before="0" w:after="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Ewing sarcoma</w:t>
            </w:r>
          </w:p>
        </w:tc>
        <w:tc>
          <w:tcPr>
            <w:tcW w:w="2127" w:type="dxa"/>
            <w:tcBorders>
              <w:top w:val="single" w:sz="4" w:space="0" w:color="auto"/>
              <w:left w:val="nil"/>
              <w:bottom w:val="single" w:sz="4" w:space="0" w:color="auto"/>
              <w:right w:val="single" w:sz="4" w:space="0" w:color="auto"/>
            </w:tcBorders>
            <w:shd w:val="clear" w:color="auto" w:fill="auto"/>
          </w:tcPr>
          <w:p w14:paraId="1B59ABAC" w14:textId="4CBA6609" w:rsidR="004D657E" w:rsidRPr="00A469D2" w:rsidRDefault="004D657E" w:rsidP="001D0B8B">
            <w:pPr>
              <w:spacing w:before="0" w:after="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EWSR1, FLI1, ERG</w:t>
            </w:r>
          </w:p>
        </w:tc>
      </w:tr>
      <w:tr w:rsidR="004D657E" w:rsidRPr="00A469D2" w14:paraId="1170BF5B" w14:textId="77777777" w:rsidTr="00A469D2">
        <w:trPr>
          <w:trHeight w:val="227"/>
        </w:trPr>
        <w:tc>
          <w:tcPr>
            <w:tcW w:w="5125" w:type="dxa"/>
            <w:tcBorders>
              <w:top w:val="single" w:sz="4" w:space="0" w:color="auto"/>
              <w:left w:val="single" w:sz="4" w:space="0" w:color="auto"/>
              <w:bottom w:val="single" w:sz="4" w:space="0" w:color="auto"/>
              <w:right w:val="single" w:sz="4" w:space="0" w:color="auto"/>
            </w:tcBorders>
            <w:shd w:val="clear" w:color="auto" w:fill="auto"/>
          </w:tcPr>
          <w:p w14:paraId="174DE547" w14:textId="25E94156" w:rsidR="004D657E" w:rsidRPr="00A469D2" w:rsidRDefault="004D657E" w:rsidP="001D0B8B">
            <w:pPr>
              <w:spacing w:before="0" w:after="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Synovial sarcoma</w:t>
            </w:r>
          </w:p>
        </w:tc>
        <w:tc>
          <w:tcPr>
            <w:tcW w:w="2127" w:type="dxa"/>
            <w:tcBorders>
              <w:top w:val="single" w:sz="4" w:space="0" w:color="auto"/>
              <w:left w:val="nil"/>
              <w:bottom w:val="single" w:sz="4" w:space="0" w:color="auto"/>
              <w:right w:val="single" w:sz="4" w:space="0" w:color="auto"/>
            </w:tcBorders>
            <w:shd w:val="clear" w:color="auto" w:fill="auto"/>
          </w:tcPr>
          <w:p w14:paraId="22617FCE" w14:textId="007C4076" w:rsidR="004D657E" w:rsidRPr="00A469D2" w:rsidRDefault="004D657E" w:rsidP="001D0B8B">
            <w:pPr>
              <w:spacing w:before="0" w:after="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SS18</w:t>
            </w:r>
          </w:p>
        </w:tc>
      </w:tr>
      <w:tr w:rsidR="004D657E" w:rsidRPr="00A469D2" w14:paraId="6160ADB7" w14:textId="77777777" w:rsidTr="00A469D2">
        <w:trPr>
          <w:trHeight w:val="227"/>
        </w:trPr>
        <w:tc>
          <w:tcPr>
            <w:tcW w:w="5125" w:type="dxa"/>
            <w:tcBorders>
              <w:top w:val="single" w:sz="4" w:space="0" w:color="auto"/>
              <w:left w:val="single" w:sz="4" w:space="0" w:color="auto"/>
              <w:bottom w:val="single" w:sz="4" w:space="0" w:color="auto"/>
              <w:right w:val="single" w:sz="4" w:space="0" w:color="auto"/>
            </w:tcBorders>
            <w:shd w:val="clear" w:color="auto" w:fill="auto"/>
          </w:tcPr>
          <w:p w14:paraId="52574C21" w14:textId="54F51E92" w:rsidR="004D657E" w:rsidRDefault="004D657E" w:rsidP="001D0B8B">
            <w:pPr>
              <w:spacing w:before="0" w:after="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Alveolar </w:t>
            </w:r>
            <w:proofErr w:type="spellStart"/>
            <w:r>
              <w:rPr>
                <w:rFonts w:ascii="Calibri" w:eastAsia="Times New Roman" w:hAnsi="Calibri" w:cs="Times New Roman"/>
                <w:color w:val="000000"/>
                <w:szCs w:val="20"/>
                <w:lang w:eastAsia="en-AU"/>
              </w:rPr>
              <w:t>rhadomyosarcoma</w:t>
            </w:r>
            <w:proofErr w:type="spellEnd"/>
          </w:p>
        </w:tc>
        <w:tc>
          <w:tcPr>
            <w:tcW w:w="2127" w:type="dxa"/>
            <w:tcBorders>
              <w:top w:val="single" w:sz="4" w:space="0" w:color="auto"/>
              <w:left w:val="nil"/>
              <w:bottom w:val="single" w:sz="4" w:space="0" w:color="auto"/>
              <w:right w:val="single" w:sz="4" w:space="0" w:color="auto"/>
            </w:tcBorders>
            <w:shd w:val="clear" w:color="auto" w:fill="auto"/>
          </w:tcPr>
          <w:p w14:paraId="7A1060DB" w14:textId="3CD0C2F8" w:rsidR="004D657E" w:rsidRDefault="004A6963" w:rsidP="001D0B8B">
            <w:pPr>
              <w:spacing w:before="0" w:after="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FOXO1, PAX3, PAX7</w:t>
            </w:r>
          </w:p>
        </w:tc>
      </w:tr>
    </w:tbl>
    <w:p w14:paraId="3BD07FC8" w14:textId="77777777" w:rsidR="00A469D2" w:rsidRPr="00A469D2" w:rsidRDefault="00A469D2" w:rsidP="001D0B8B">
      <w:pPr>
        <w:tabs>
          <w:tab w:val="left" w:pos="5238"/>
        </w:tabs>
        <w:spacing w:before="0" w:after="0"/>
        <w:ind w:left="113"/>
        <w:rPr>
          <w:rFonts w:ascii="Calibri" w:eastAsia="Times New Roman" w:hAnsi="Calibri" w:cs="Times New Roman"/>
          <w:color w:val="000000"/>
          <w:szCs w:val="20"/>
          <w:lang w:eastAsia="en-AU"/>
        </w:rPr>
      </w:pPr>
      <w:r w:rsidRPr="00A469D2">
        <w:rPr>
          <w:rFonts w:ascii="Calibri" w:eastAsia="Times New Roman" w:hAnsi="Calibri" w:cs="Times New Roman"/>
          <w:color w:val="000000"/>
          <w:szCs w:val="20"/>
          <w:lang w:eastAsia="en-AU"/>
        </w:rPr>
        <w:tab/>
      </w:r>
    </w:p>
    <w:p w14:paraId="51441A89" w14:textId="58D670AB" w:rsidR="00A469D2" w:rsidRDefault="00A469D2" w:rsidP="00A469D2">
      <w:pPr>
        <w:spacing w:before="100" w:beforeAutospacing="1" w:after="100" w:afterAutospacing="1"/>
        <w:rPr>
          <w:szCs w:val="20"/>
        </w:rPr>
      </w:pPr>
    </w:p>
    <w:p w14:paraId="62CFD731" w14:textId="65701E64" w:rsidR="00AA5FDA"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F583DC4" w14:textId="5099DA2E" w:rsidR="001D0473" w:rsidRPr="000E1848" w:rsidRDefault="001D0473" w:rsidP="00C57AEC">
      <w:pPr>
        <w:spacing w:before="0" w:after="0"/>
        <w:ind w:left="360"/>
      </w:pPr>
      <w:r w:rsidRPr="000E1848">
        <w:t xml:space="preserve">Patients diagnosed with </w:t>
      </w:r>
      <w:r w:rsidR="000E1848" w:rsidRPr="000E1848">
        <w:t xml:space="preserve">either CNS glioma or soft and bone cancers </w:t>
      </w:r>
      <w:r w:rsidRPr="000E1848">
        <w:t>at the time of histopathological or morphological review of tumour material would be eligible for this service.</w:t>
      </w:r>
    </w:p>
    <w:p w14:paraId="6107FD1C" w14:textId="36641FA4"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ED7E034" w14:textId="77777777" w:rsidR="007F4262" w:rsidRPr="000E1848" w:rsidRDefault="007F4262" w:rsidP="000E1848">
      <w:pPr>
        <w:spacing w:before="0" w:after="0"/>
        <w:ind w:firstLine="360"/>
        <w:rPr>
          <w:szCs w:val="20"/>
        </w:rPr>
      </w:pPr>
      <w:r w:rsidRPr="000E1848">
        <w:rPr>
          <w:szCs w:val="20"/>
        </w:rPr>
        <w:t>The clinical management pathway would be identical to current cancer investigation and treatment:</w:t>
      </w:r>
    </w:p>
    <w:p w14:paraId="4AC105DA" w14:textId="6E5806A3" w:rsidR="007F4262" w:rsidRPr="000E1848" w:rsidRDefault="000E1848" w:rsidP="000E1848">
      <w:pPr>
        <w:spacing w:before="0" w:after="0"/>
        <w:ind w:firstLine="360"/>
        <w:rPr>
          <w:szCs w:val="20"/>
        </w:rPr>
      </w:pPr>
      <w:r w:rsidRPr="000E1848">
        <w:rPr>
          <w:szCs w:val="20"/>
        </w:rPr>
        <w:tab/>
      </w:r>
      <w:proofErr w:type="gramStart"/>
      <w:r w:rsidR="007F4262" w:rsidRPr="000E1848">
        <w:rPr>
          <w:szCs w:val="20"/>
        </w:rPr>
        <w:t>Patient presentation to general or medical practitioner with evidence of a CNS tumour.</w:t>
      </w:r>
      <w:proofErr w:type="gramEnd"/>
    </w:p>
    <w:p w14:paraId="6A0A69AA" w14:textId="5C057A69" w:rsidR="007F4262" w:rsidRPr="000E1848" w:rsidRDefault="000E1848" w:rsidP="000E1848">
      <w:pPr>
        <w:spacing w:before="0" w:after="0"/>
        <w:ind w:firstLine="360"/>
        <w:rPr>
          <w:szCs w:val="20"/>
        </w:rPr>
      </w:pPr>
      <w:r w:rsidRPr="000E1848">
        <w:rPr>
          <w:szCs w:val="20"/>
        </w:rPr>
        <w:tab/>
      </w:r>
      <w:r w:rsidR="007F4262" w:rsidRPr="000E1848">
        <w:rPr>
          <w:szCs w:val="20"/>
        </w:rPr>
        <w:t xml:space="preserve">Patient is referred for investigation including radiology and pathology. </w:t>
      </w:r>
    </w:p>
    <w:p w14:paraId="2C84870F" w14:textId="09C6481E" w:rsidR="007F4262" w:rsidRPr="000E1848" w:rsidRDefault="000E1848" w:rsidP="000E1848">
      <w:pPr>
        <w:spacing w:before="0" w:after="0"/>
        <w:ind w:left="360"/>
        <w:rPr>
          <w:szCs w:val="20"/>
        </w:rPr>
      </w:pPr>
      <w:r w:rsidRPr="000E1848">
        <w:rPr>
          <w:szCs w:val="20"/>
        </w:rPr>
        <w:tab/>
      </w:r>
      <w:proofErr w:type="gramStart"/>
      <w:r w:rsidR="007F4262" w:rsidRPr="000E1848">
        <w:rPr>
          <w:szCs w:val="20"/>
        </w:rPr>
        <w:t xml:space="preserve">Pathology investigation (biopsy, tumour resection etc.) and tentative diagnosis without specific </w:t>
      </w:r>
      <w:r w:rsidRPr="000E1848">
        <w:rPr>
          <w:szCs w:val="20"/>
        </w:rPr>
        <w:tab/>
      </w:r>
      <w:r w:rsidR="007F4262" w:rsidRPr="000E1848">
        <w:rPr>
          <w:szCs w:val="20"/>
        </w:rPr>
        <w:t>molecular testing.</w:t>
      </w:r>
      <w:proofErr w:type="gramEnd"/>
    </w:p>
    <w:p w14:paraId="64D40643" w14:textId="492D5E5B" w:rsidR="000E1848" w:rsidRPr="000E1848" w:rsidRDefault="000E1848" w:rsidP="000E1848">
      <w:pPr>
        <w:spacing w:before="0" w:after="0"/>
        <w:ind w:left="426"/>
        <w:rPr>
          <w:szCs w:val="20"/>
        </w:rPr>
      </w:pPr>
      <w:r w:rsidRPr="000E1848">
        <w:rPr>
          <w:szCs w:val="20"/>
        </w:rPr>
        <w:tab/>
      </w:r>
      <w:r w:rsidR="007F4262" w:rsidRPr="000E1848">
        <w:rPr>
          <w:szCs w:val="20"/>
        </w:rPr>
        <w:t>Treatment based on clinical judgement</w:t>
      </w:r>
      <w:r w:rsidRPr="000E1848">
        <w:rPr>
          <w:szCs w:val="20"/>
        </w:rPr>
        <w:t xml:space="preserve"> (</w:t>
      </w:r>
      <w:proofErr w:type="gramStart"/>
      <w:r w:rsidRPr="000E1848">
        <w:rPr>
          <w:szCs w:val="20"/>
        </w:rPr>
        <w:t xml:space="preserve">for </w:t>
      </w:r>
      <w:r w:rsidR="007F4262" w:rsidRPr="000E1848">
        <w:rPr>
          <w:szCs w:val="20"/>
        </w:rPr>
        <w:t xml:space="preserve"> </w:t>
      </w:r>
      <w:proofErr w:type="spellStart"/>
      <w:r w:rsidRPr="000E1848">
        <w:rPr>
          <w:szCs w:val="20"/>
        </w:rPr>
        <w:t>Gilomas</w:t>
      </w:r>
      <w:proofErr w:type="spellEnd"/>
      <w:proofErr w:type="gramEnd"/>
      <w:r w:rsidRPr="000E1848">
        <w:rPr>
          <w:szCs w:val="20"/>
        </w:rPr>
        <w:t xml:space="preserve"> and Glioblastomas).</w:t>
      </w:r>
    </w:p>
    <w:p w14:paraId="787418FC" w14:textId="77777777" w:rsidR="000E1848" w:rsidRPr="000E1848" w:rsidRDefault="000E1848" w:rsidP="000E1848">
      <w:pPr>
        <w:spacing w:before="0" w:after="0"/>
        <w:ind w:firstLine="360"/>
        <w:rPr>
          <w:szCs w:val="20"/>
        </w:rPr>
      </w:pPr>
      <w:r w:rsidRPr="000E1848">
        <w:rPr>
          <w:szCs w:val="20"/>
        </w:rPr>
        <w:tab/>
      </w:r>
    </w:p>
    <w:p w14:paraId="0A860A25" w14:textId="5646E2B5" w:rsidR="00BC424B" w:rsidRPr="000E1848" w:rsidRDefault="007F4262" w:rsidP="000E1848">
      <w:pPr>
        <w:spacing w:before="0" w:after="0"/>
        <w:ind w:firstLine="360"/>
      </w:pPr>
      <w:r w:rsidRPr="000E1848">
        <w:rPr>
          <w:szCs w:val="20"/>
        </w:rPr>
        <w:t xml:space="preserve">See Appendix </w:t>
      </w:r>
      <w:proofErr w:type="gramStart"/>
      <w:r w:rsidRPr="000E1848">
        <w:rPr>
          <w:szCs w:val="20"/>
        </w:rPr>
        <w:t>A</w:t>
      </w:r>
      <w:proofErr w:type="gramEnd"/>
      <w:r w:rsidRPr="000E1848">
        <w:rPr>
          <w:szCs w:val="20"/>
        </w:rPr>
        <w:t xml:space="preserve"> Flowcharts</w:t>
      </w:r>
    </w:p>
    <w:p w14:paraId="54B09BA1" w14:textId="77777777" w:rsidR="00D129D8" w:rsidRPr="00D129D8" w:rsidRDefault="00D129D8" w:rsidP="000E1848">
      <w:pPr>
        <w:spacing w:before="0" w:after="0"/>
        <w:ind w:firstLine="360"/>
        <w:rPr>
          <w:color w:val="FF0000"/>
        </w:rPr>
      </w:pPr>
    </w:p>
    <w:p w14:paraId="533FE14A" w14:textId="77777777" w:rsidR="002A50FD" w:rsidRPr="00881F93" w:rsidRDefault="005C3AE7" w:rsidP="005C3AE7">
      <w:pPr>
        <w:pStyle w:val="Subtitle"/>
      </w:pPr>
      <w:r>
        <w:t xml:space="preserve">PART 6b – </w:t>
      </w:r>
      <w:r w:rsidR="002A50FD" w:rsidRPr="00881F93">
        <w:t>INFORMATION ABOUT THE INTERVENTION</w:t>
      </w:r>
    </w:p>
    <w:p w14:paraId="54B2C865"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2056382" w14:textId="77777777" w:rsidR="00D129D8" w:rsidRDefault="00D129D8" w:rsidP="00E357B9">
      <w:pPr>
        <w:ind w:left="426"/>
        <w:rPr>
          <w:szCs w:val="20"/>
        </w:rPr>
      </w:pPr>
      <w:proofErr w:type="spellStart"/>
      <w:r>
        <w:rPr>
          <w:szCs w:val="20"/>
        </w:rPr>
        <w:t>Gilomas</w:t>
      </w:r>
      <w:proofErr w:type="spellEnd"/>
    </w:p>
    <w:p w14:paraId="71B30DD4" w14:textId="4D86F522" w:rsidR="00D129D8" w:rsidRDefault="00D129D8" w:rsidP="00E357B9">
      <w:pPr>
        <w:ind w:left="426"/>
      </w:pPr>
      <w:r w:rsidRPr="00486AAC">
        <w:rPr>
          <w:szCs w:val="20"/>
        </w:rPr>
        <w:t>A test of tumour tissue from a patient diagnosed with a CNS glioma to determine the presence of chromosome 1p/19 co-deletion is present. Testing methods include in situ hybridization (ISH), comparative genomic hybridization (CGH) and next generation sequencing (NGS) methodologies among others.</w:t>
      </w:r>
    </w:p>
    <w:p w14:paraId="1470FA37" w14:textId="77777777" w:rsidR="00D129D8" w:rsidRDefault="00D129D8" w:rsidP="00D129D8">
      <w:pPr>
        <w:ind w:left="426"/>
        <w:rPr>
          <w:szCs w:val="20"/>
        </w:rPr>
      </w:pPr>
      <w:r w:rsidRPr="00D129D8">
        <w:rPr>
          <w:szCs w:val="20"/>
        </w:rPr>
        <w:t>Glioblastomas</w:t>
      </w:r>
    </w:p>
    <w:p w14:paraId="713CD15F" w14:textId="7B2E6CA7" w:rsidR="00D129D8" w:rsidRDefault="00D129D8" w:rsidP="00E357B9">
      <w:pPr>
        <w:ind w:left="426"/>
      </w:pPr>
      <w:r w:rsidRPr="00340E57">
        <w:rPr>
          <w:szCs w:val="20"/>
        </w:rPr>
        <w:t>A test of tumour tissue from a patient diagnosed with a CNS glioblastoma to determine IDH1/2 mutation and MGMT promoter methylation status. Testing methods include in situ hybridization (ISH), comparative genomic hybridization (CGH) and next generation sequencing (NGS) methodologies among others.</w:t>
      </w:r>
    </w:p>
    <w:p w14:paraId="0DBF7A89" w14:textId="77777777" w:rsidR="00D129D8" w:rsidRPr="00D129D8" w:rsidRDefault="00D129D8" w:rsidP="00D129D8">
      <w:pPr>
        <w:spacing w:before="0" w:after="0"/>
        <w:ind w:left="426"/>
        <w:rPr>
          <w:b/>
        </w:rPr>
      </w:pPr>
      <w:r w:rsidRPr="00D129D8">
        <w:rPr>
          <w:b/>
        </w:rPr>
        <w:t>Soft Tissue and Bone Tumours</w:t>
      </w:r>
    </w:p>
    <w:p w14:paraId="63FA791A" w14:textId="2F94F2AD" w:rsidR="00D129D8" w:rsidRDefault="00D129D8" w:rsidP="00E357B9">
      <w:pPr>
        <w:ind w:left="426"/>
      </w:pPr>
      <w:r w:rsidRPr="00413F41">
        <w:rPr>
          <w:szCs w:val="20"/>
        </w:rPr>
        <w:t>A test of tumour tissue from a</w:t>
      </w:r>
      <w:r>
        <w:rPr>
          <w:szCs w:val="20"/>
        </w:rPr>
        <w:t xml:space="preserve"> patient diagnosed with soft tissue or bone cancer </w:t>
      </w:r>
      <w:r w:rsidRPr="00413F41">
        <w:rPr>
          <w:szCs w:val="20"/>
        </w:rPr>
        <w:t xml:space="preserve">to detect </w:t>
      </w:r>
      <w:r>
        <w:rPr>
          <w:szCs w:val="20"/>
        </w:rPr>
        <w:t xml:space="preserve">mutations, </w:t>
      </w:r>
      <w:r w:rsidRPr="00413F41">
        <w:rPr>
          <w:szCs w:val="20"/>
        </w:rPr>
        <w:t>changes in gene copy number or structural gene rearrangements in tumour tissue</w:t>
      </w:r>
      <w:r>
        <w:rPr>
          <w:szCs w:val="20"/>
        </w:rPr>
        <w:t xml:space="preserve"> for </w:t>
      </w:r>
      <w:r w:rsidRPr="003D75DA">
        <w:rPr>
          <w:szCs w:val="20"/>
        </w:rPr>
        <w:t>MDM2</w:t>
      </w:r>
      <w:r>
        <w:rPr>
          <w:szCs w:val="20"/>
        </w:rPr>
        <w:t xml:space="preserve">, </w:t>
      </w:r>
      <w:r w:rsidRPr="003D75DA">
        <w:rPr>
          <w:szCs w:val="20"/>
        </w:rPr>
        <w:t>FUS, DDIT3, EWSR1</w:t>
      </w:r>
      <w:r w:rsidR="004A6963">
        <w:rPr>
          <w:szCs w:val="20"/>
        </w:rPr>
        <w:t>,</w:t>
      </w:r>
      <w:r>
        <w:rPr>
          <w:szCs w:val="20"/>
        </w:rPr>
        <w:t xml:space="preserve"> </w:t>
      </w:r>
      <w:r w:rsidR="004A6963">
        <w:rPr>
          <w:szCs w:val="20"/>
        </w:rPr>
        <w:t xml:space="preserve">FLI1, ERG, SS18, FOXO1, PAX3, PAX7, </w:t>
      </w:r>
      <w:r w:rsidRPr="003D75DA">
        <w:rPr>
          <w:szCs w:val="20"/>
        </w:rPr>
        <w:t>ETV6, NTRK</w:t>
      </w:r>
      <w:r w:rsidR="00EC2B83" w:rsidRPr="003D75DA">
        <w:rPr>
          <w:szCs w:val="20"/>
        </w:rPr>
        <w:t>2</w:t>
      </w:r>
      <w:r w:rsidR="00EC2B83">
        <w:rPr>
          <w:szCs w:val="20"/>
        </w:rPr>
        <w:t>, COL</w:t>
      </w:r>
      <w:r>
        <w:rPr>
          <w:szCs w:val="20"/>
        </w:rPr>
        <w:t>1A1 and</w:t>
      </w:r>
      <w:r w:rsidRPr="003D75DA">
        <w:rPr>
          <w:szCs w:val="20"/>
        </w:rPr>
        <w:t xml:space="preserve"> PDGF</w:t>
      </w:r>
      <w:r w:rsidR="003B5729">
        <w:rPr>
          <w:szCs w:val="20"/>
        </w:rPr>
        <w:t>B</w:t>
      </w:r>
      <w:r w:rsidRPr="00413F41">
        <w:rPr>
          <w:szCs w:val="20"/>
        </w:rPr>
        <w:t>. Testing methods include In situ hybridization (ISH), polymerase chain reaction (PCR) and next generation sequencing (NGS) methodologies</w:t>
      </w:r>
      <w:r>
        <w:rPr>
          <w:szCs w:val="20"/>
        </w:rPr>
        <w:t xml:space="preserve"> among others</w:t>
      </w:r>
      <w:r w:rsidRPr="00413F41">
        <w:rPr>
          <w:szCs w:val="20"/>
        </w:rPr>
        <w:t>.</w:t>
      </w:r>
    </w:p>
    <w:p w14:paraId="5452C934"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06FDB067" w14:textId="2044EA43" w:rsidR="002A6753" w:rsidRPr="00154B00" w:rsidRDefault="00E84DF1" w:rsidP="00E357B9">
      <w:pPr>
        <w:ind w:left="426"/>
        <w:rPr>
          <w:szCs w:val="20"/>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4D651118"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94DAFF8" w14:textId="347E32F9" w:rsidR="00DF0C51" w:rsidRDefault="00E84DF1" w:rsidP="00E357B9">
      <w:pPr>
        <w:ind w:left="426"/>
        <w:rPr>
          <w:b/>
          <w:szCs w:val="20"/>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7464864C"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84DB0F3" w14:textId="77777777" w:rsidR="00E84DF1" w:rsidRPr="00C70B7D" w:rsidRDefault="00E84DF1" w:rsidP="000F2F32">
      <w:pPr>
        <w:spacing w:before="0" w:after="0"/>
        <w:ind w:left="425"/>
        <w:rPr>
          <w:b/>
        </w:rPr>
      </w:pPr>
      <w:proofErr w:type="spellStart"/>
      <w:r w:rsidRPr="00C70B7D">
        <w:rPr>
          <w:b/>
        </w:rPr>
        <w:t>Gilomas</w:t>
      </w:r>
      <w:proofErr w:type="spellEnd"/>
    </w:p>
    <w:p w14:paraId="238B1137" w14:textId="1E01328F" w:rsidR="00E84DF1" w:rsidRPr="00C70B7D" w:rsidRDefault="00E84DF1" w:rsidP="000F2F32">
      <w:pPr>
        <w:spacing w:before="0" w:after="0"/>
        <w:ind w:left="425"/>
        <w:rPr>
          <w:b/>
        </w:rPr>
      </w:pPr>
      <w:r w:rsidRPr="00C70B7D">
        <w:rPr>
          <w:b/>
        </w:rPr>
        <w:lastRenderedPageBreak/>
        <w:t>Glioblastomas</w:t>
      </w:r>
    </w:p>
    <w:p w14:paraId="4FA85F38" w14:textId="21F7600F" w:rsidR="000F2F32" w:rsidRPr="000F2F32" w:rsidRDefault="000F2F32" w:rsidP="000F2F32">
      <w:pPr>
        <w:spacing w:before="0" w:after="0"/>
        <w:ind w:left="425"/>
      </w:pPr>
      <w:r w:rsidRPr="000F2F32">
        <w:t xml:space="preserve">Testing should be pathologist determinable (able to be requested after a diagnosis of </w:t>
      </w:r>
      <w:r>
        <w:t xml:space="preserve">either </w:t>
      </w:r>
      <w:r w:rsidRPr="000F2F32">
        <w:t>CNS glioma</w:t>
      </w:r>
      <w:r>
        <w:t xml:space="preserve"> or CNS Glioblastomas</w:t>
      </w:r>
      <w:r w:rsidRPr="000F2F32">
        <w:t xml:space="preserve"> is made) in order to provide definitive diagnosis/classification. Retrospective testing could also be requested by a treating clinician and performed on archival material.</w:t>
      </w:r>
    </w:p>
    <w:p w14:paraId="1D9CC4B6" w14:textId="0959D50B" w:rsidR="000F2F32" w:rsidRDefault="000F2F32" w:rsidP="000F2F32">
      <w:pPr>
        <w:spacing w:before="0" w:after="0"/>
        <w:ind w:left="425"/>
      </w:pPr>
      <w:r w:rsidRPr="000F2F32">
        <w:t xml:space="preserve">There is no role for repeat testing to monitor </w:t>
      </w:r>
      <w:proofErr w:type="gramStart"/>
      <w:r w:rsidRPr="000F2F32">
        <w:t>disease,</w:t>
      </w:r>
      <w:proofErr w:type="gramEnd"/>
      <w:r w:rsidRPr="000F2F32">
        <w:t xml:space="preserve"> however tumour recurrences may be tested to ensure there has been no change in molecular status.</w:t>
      </w:r>
    </w:p>
    <w:p w14:paraId="38F8C8CF" w14:textId="77777777" w:rsidR="000F2F32" w:rsidRPr="00C70B7D" w:rsidRDefault="000F2F32" w:rsidP="000F2F32">
      <w:pPr>
        <w:spacing w:before="0" w:after="0"/>
        <w:ind w:left="425"/>
        <w:rPr>
          <w:b/>
        </w:rPr>
      </w:pPr>
      <w:r w:rsidRPr="00C70B7D">
        <w:rPr>
          <w:b/>
        </w:rPr>
        <w:t>Soft Tissue and Bone Tumours</w:t>
      </w:r>
    </w:p>
    <w:p w14:paraId="110F473B" w14:textId="66AFC89E" w:rsidR="00E84DF1" w:rsidRDefault="000F2F32" w:rsidP="000F2F32">
      <w:pPr>
        <w:spacing w:before="0" w:after="0"/>
        <w:ind w:left="425"/>
      </w:pPr>
      <w:r w:rsidRPr="00D12288">
        <w:rPr>
          <w:szCs w:val="20"/>
        </w:rPr>
        <w:t xml:space="preserve">Testing would be provided </w:t>
      </w:r>
      <w:r>
        <w:rPr>
          <w:szCs w:val="20"/>
        </w:rPr>
        <w:t>as requested by the referring medical practitioner for patients with soft tissue or bone requiring further classification after initial tissue pathology investigation. Further testing may be provided after therapy for monitoring of disease.</w:t>
      </w:r>
    </w:p>
    <w:p w14:paraId="227EADCD"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0DE5940" w14:textId="5A5AAF6B" w:rsidR="00791C8D" w:rsidRPr="00154B00" w:rsidRDefault="000F2F32" w:rsidP="00884E69">
      <w:pPr>
        <w:ind w:left="426"/>
        <w:rPr>
          <w:szCs w:val="20"/>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1D12ECE8"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A172F1C" w14:textId="02F1BDCF" w:rsidR="00B17E26" w:rsidRPr="00154B00" w:rsidRDefault="000F2F32" w:rsidP="00884E69">
      <w:pPr>
        <w:ind w:left="426"/>
        <w:rPr>
          <w:szCs w:val="20"/>
        </w:rPr>
      </w:pPr>
      <w:r>
        <w:fldChar w:fldCharType="begin">
          <w:ffData>
            <w:name w:val=""/>
            <w:enabled/>
            <w:calcOnExit w:val="0"/>
            <w:textInput>
              <w:default w:val="Approved Pathologists in Accredited Pathology testing laboratories"/>
            </w:textInput>
          </w:ffData>
        </w:fldChar>
      </w:r>
      <w:r>
        <w:instrText xml:space="preserve"> FORMTEXT </w:instrText>
      </w:r>
      <w:r>
        <w:fldChar w:fldCharType="separate"/>
      </w:r>
      <w:r>
        <w:rPr>
          <w:noProof/>
        </w:rPr>
        <w:t>Approved Pathologists in Accredited Pathology testing laboratories</w:t>
      </w:r>
      <w:r>
        <w:fldChar w:fldCharType="end"/>
      </w:r>
    </w:p>
    <w:p w14:paraId="6677332A"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5F2C4FA" w14:textId="025D20E9" w:rsidR="00B17E26" w:rsidRPr="00154B00" w:rsidRDefault="000F2F32" w:rsidP="00884E69">
      <w:pPr>
        <w:ind w:left="426"/>
        <w:rPr>
          <w:szCs w:val="20"/>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4D7B61D1"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1647535" w14:textId="6400710D" w:rsidR="00EA0E25" w:rsidRPr="00154B00" w:rsidRDefault="000F2F32" w:rsidP="00BC424B">
      <w:pPr>
        <w:ind w:left="426"/>
        <w:rPr>
          <w:szCs w:val="20"/>
        </w:rPr>
      </w:pPr>
      <w:r>
        <w:fldChar w:fldCharType="begin">
          <w:ffData>
            <w:name w:val=""/>
            <w:enabled/>
            <w:calcOnExit w:val="0"/>
            <w:textInput>
              <w:default w:val="Approved Pathologists in Accredited Pathology testing laboratories"/>
            </w:textInput>
          </w:ffData>
        </w:fldChar>
      </w:r>
      <w:r>
        <w:instrText xml:space="preserve"> FORMTEXT </w:instrText>
      </w:r>
      <w:r>
        <w:fldChar w:fldCharType="separate"/>
      </w:r>
      <w:r>
        <w:rPr>
          <w:noProof/>
        </w:rPr>
        <w:t>Approved Pathologists in Accredited Pathology testing laboratories</w:t>
      </w:r>
      <w:r>
        <w:fldChar w:fldCharType="end"/>
      </w:r>
    </w:p>
    <w:p w14:paraId="55F12368"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EE82C9E" w14:textId="0995D186" w:rsidR="00EA0E25" w:rsidRPr="00154B00" w:rsidRDefault="00512231" w:rsidP="0073597B">
      <w:pPr>
        <w:ind w:left="426"/>
        <w:rPr>
          <w:szCs w:val="20"/>
        </w:rPr>
      </w:pPr>
      <w:r>
        <w:fldChar w:fldCharType="begin">
          <w:ffData>
            <w:name w:val=""/>
            <w:enabled/>
            <w:calcOnExit w:val="0"/>
            <w:textInput>
              <w:default w:val="Approved Pathology Practitioners as defined in the MBS for Pathology Items"/>
            </w:textInput>
          </w:ffData>
        </w:fldChar>
      </w:r>
      <w:r>
        <w:instrText xml:space="preserve"> FORMTEXT </w:instrText>
      </w:r>
      <w:r>
        <w:fldChar w:fldCharType="separate"/>
      </w:r>
      <w:r>
        <w:rPr>
          <w:noProof/>
        </w:rPr>
        <w:t>Approved Pathology Practitioners as defined in the MBS for Pathology Items</w:t>
      </w:r>
      <w:r>
        <w:fldChar w:fldCharType="end"/>
      </w:r>
    </w:p>
    <w:p w14:paraId="4C046916"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604059F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w:t>
      </w:r>
      <w:r>
        <w:t>Inpatient private hospital</w:t>
      </w:r>
    </w:p>
    <w:p w14:paraId="1FC844E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w:t>
      </w:r>
      <w:r>
        <w:t>Inpatient public hospital</w:t>
      </w:r>
    </w:p>
    <w:p w14:paraId="61091D0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w:t>
      </w:r>
      <w:r>
        <w:t>Outpatient clinic</w:t>
      </w:r>
    </w:p>
    <w:p w14:paraId="35AB62B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w:t>
      </w:r>
      <w:r>
        <w:t>Emergency Department</w:t>
      </w:r>
    </w:p>
    <w:p w14:paraId="0AF70A2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w:t>
      </w:r>
      <w:r>
        <w:t>Consulting rooms</w:t>
      </w:r>
    </w:p>
    <w:p w14:paraId="424C734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w:t>
      </w:r>
      <w:r>
        <w:t>Day surgery centre</w:t>
      </w:r>
    </w:p>
    <w:p w14:paraId="09F0064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w:t>
      </w:r>
      <w:r>
        <w:t>Residential aged care facility</w:t>
      </w:r>
    </w:p>
    <w:p w14:paraId="582C7E5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w:t>
      </w:r>
      <w:r>
        <w:t>Patient’s home</w:t>
      </w:r>
    </w:p>
    <w:p w14:paraId="3DF7DF8B" w14:textId="7002ACD3" w:rsidR="000A478F" w:rsidRDefault="0051223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0A478F">
        <w:rPr>
          <w:szCs w:val="20"/>
        </w:rPr>
        <w:t xml:space="preserve"> </w:t>
      </w:r>
      <w:r w:rsidR="000A478F">
        <w:t>Laboratory</w:t>
      </w:r>
    </w:p>
    <w:p w14:paraId="6947AEB6"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F46CE">
        <w:rPr>
          <w:szCs w:val="20"/>
        </w:rPr>
      </w:r>
      <w:r w:rsidR="00FF46CE">
        <w:rPr>
          <w:szCs w:val="20"/>
        </w:rPr>
        <w:fldChar w:fldCharType="separate"/>
      </w:r>
      <w:r w:rsidRPr="000A5B32">
        <w:rPr>
          <w:szCs w:val="20"/>
        </w:rPr>
        <w:fldChar w:fldCharType="end"/>
      </w:r>
      <w:r>
        <w:rPr>
          <w:szCs w:val="20"/>
        </w:rPr>
        <w:t xml:space="preserve"> </w:t>
      </w:r>
      <w:r>
        <w:t>Other – please specify below</w:t>
      </w:r>
    </w:p>
    <w:p w14:paraId="7E066670"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5694CD39"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2591EB56" w14:textId="23CDA17F" w:rsidR="0073597B" w:rsidRDefault="00512231" w:rsidP="0073597B">
      <w:pPr>
        <w:ind w:left="426"/>
        <w:rPr>
          <w:b/>
          <w:szCs w:val="20"/>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69FDFDBC" w14:textId="77777777" w:rsidR="003E30FB" w:rsidRDefault="003E30FB" w:rsidP="00530204">
      <w:pPr>
        <w:pStyle w:val="Heading2"/>
      </w:pPr>
      <w:r>
        <w:t xml:space="preserve">Is the </w:t>
      </w:r>
      <w:r w:rsidRPr="001B29A1">
        <w:t>proposed</w:t>
      </w:r>
      <w:r>
        <w:t xml:space="preserve"> medical service intended to be entirely rendered in Australia?</w:t>
      </w:r>
    </w:p>
    <w:p w14:paraId="4FFBF7AD" w14:textId="0AC95EA5" w:rsidR="000A478F" w:rsidRDefault="0051223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0A478F">
        <w:rPr>
          <w:szCs w:val="20"/>
        </w:rPr>
        <w:t xml:space="preserve"> Yes</w:t>
      </w:r>
    </w:p>
    <w:p w14:paraId="105994A6"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F46CE">
        <w:rPr>
          <w:szCs w:val="20"/>
        </w:rPr>
      </w:r>
      <w:r w:rsidR="00FF46CE">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7A84DE4"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14:paraId="6EC0F666" w14:textId="77777777" w:rsidR="000A478F" w:rsidRDefault="000A478F" w:rsidP="00881F93">
      <w:pPr>
        <w:rPr>
          <w:b/>
          <w:i/>
          <w:szCs w:val="20"/>
          <w:u w:val="single"/>
        </w:rPr>
      </w:pPr>
      <w:r>
        <w:rPr>
          <w:b/>
          <w:i/>
          <w:szCs w:val="20"/>
          <w:u w:val="single"/>
        </w:rPr>
        <w:br w:type="page"/>
      </w:r>
    </w:p>
    <w:p w14:paraId="7BB98756"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1789D7D2"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D30FE2E" w14:textId="77777777" w:rsidR="00512231" w:rsidRPr="00512231" w:rsidRDefault="00512231" w:rsidP="00512231">
      <w:pPr>
        <w:spacing w:before="0" w:after="0"/>
        <w:ind w:left="425"/>
        <w:rPr>
          <w:b/>
        </w:rPr>
      </w:pPr>
      <w:bookmarkStart w:id="5" w:name="_Hlk503260271"/>
      <w:proofErr w:type="spellStart"/>
      <w:r w:rsidRPr="00512231">
        <w:rPr>
          <w:b/>
        </w:rPr>
        <w:t>Gilomas</w:t>
      </w:r>
      <w:proofErr w:type="spellEnd"/>
    </w:p>
    <w:p w14:paraId="77FA7928" w14:textId="2B93E24F" w:rsidR="00512231" w:rsidRPr="00512231" w:rsidRDefault="00512231" w:rsidP="00512231">
      <w:pPr>
        <w:spacing w:before="0" w:after="0"/>
        <w:ind w:left="425"/>
        <w:rPr>
          <w:b/>
        </w:rPr>
      </w:pPr>
      <w:r w:rsidRPr="00512231">
        <w:rPr>
          <w:b/>
        </w:rPr>
        <w:t>Glioblastomas</w:t>
      </w:r>
    </w:p>
    <w:bookmarkEnd w:id="5"/>
    <w:p w14:paraId="13A3CFED" w14:textId="77777777" w:rsidR="00512231" w:rsidRPr="00512231" w:rsidRDefault="00512231" w:rsidP="00512231">
      <w:pPr>
        <w:spacing w:before="0" w:after="0"/>
        <w:ind w:left="425"/>
      </w:pPr>
      <w:r w:rsidRPr="00512231">
        <w:t xml:space="preserve">There are no current MBS services for this service. The comparator is therefore tissue pathology investigation of CNS tumours with incomplete classification (i.e. incomplete diagnosis and prognostic assessment of disease). </w:t>
      </w:r>
    </w:p>
    <w:p w14:paraId="61B45D7D" w14:textId="77777777" w:rsidR="00512231" w:rsidRPr="00512231" w:rsidRDefault="00512231" w:rsidP="00512231">
      <w:pPr>
        <w:spacing w:before="0" w:after="0"/>
        <w:ind w:left="425"/>
        <w:rPr>
          <w:b/>
        </w:rPr>
      </w:pPr>
      <w:r w:rsidRPr="00512231">
        <w:rPr>
          <w:b/>
        </w:rPr>
        <w:t>Soft Tissue and Bone Tumours</w:t>
      </w:r>
    </w:p>
    <w:p w14:paraId="65F6A487" w14:textId="4400C8E5" w:rsidR="00512231" w:rsidRDefault="00512231" w:rsidP="00512231">
      <w:pPr>
        <w:spacing w:before="0" w:after="0"/>
        <w:ind w:left="425"/>
      </w:pPr>
      <w:r w:rsidRPr="00512231">
        <w:t>There are no current MBS services for this service. The comparator is therefore tissue pathology without complete classification (i.e. incomplete diagnosis and prognostic assessment of disease). Detection of somatic gene rearrangements, copy number aberrations and/or mutations would be required in addition to tissue pathology for soft tissue or bone cancer but without further health care resources for obtaining the tumour tissue (i.e. on the same specimen).</w:t>
      </w:r>
    </w:p>
    <w:p w14:paraId="302AE346"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785DC07B" w14:textId="2B5EC79F" w:rsidR="006A1038" w:rsidRDefault="00512231"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6A1038">
        <w:rPr>
          <w:szCs w:val="20"/>
        </w:rPr>
        <w:t xml:space="preserve"> Yes (please provide all relevant MBS item numbers below)</w:t>
      </w:r>
    </w:p>
    <w:p w14:paraId="6A766D3B" w14:textId="6B01B480" w:rsidR="00512231" w:rsidRPr="004F2E65" w:rsidRDefault="006A1038" w:rsidP="004F2E65">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F46CE">
        <w:rPr>
          <w:szCs w:val="20"/>
        </w:rPr>
      </w:r>
      <w:r w:rsidR="00FF46CE">
        <w:rPr>
          <w:szCs w:val="20"/>
        </w:rPr>
        <w:fldChar w:fldCharType="separate"/>
      </w:r>
      <w:r w:rsidRPr="00753C44">
        <w:rPr>
          <w:szCs w:val="20"/>
        </w:rPr>
        <w:fldChar w:fldCharType="end"/>
      </w:r>
      <w:r>
        <w:rPr>
          <w:szCs w:val="20"/>
        </w:rPr>
        <w:t xml:space="preserve"> No  </w:t>
      </w:r>
    </w:p>
    <w:p w14:paraId="47C78A8F" w14:textId="31216D9A" w:rsidR="00512231" w:rsidRPr="00512231" w:rsidRDefault="00512231" w:rsidP="00512231">
      <w:pPr>
        <w:spacing w:before="0" w:after="0"/>
        <w:ind w:left="426"/>
        <w:rPr>
          <w:b/>
          <w:szCs w:val="20"/>
        </w:rPr>
      </w:pPr>
      <w:bookmarkStart w:id="6" w:name="_Hlk503260541"/>
      <w:proofErr w:type="spellStart"/>
      <w:r w:rsidRPr="00512231">
        <w:rPr>
          <w:b/>
          <w:szCs w:val="20"/>
        </w:rPr>
        <w:t>Gilomas</w:t>
      </w:r>
      <w:proofErr w:type="spellEnd"/>
    </w:p>
    <w:bookmarkEnd w:id="6"/>
    <w:p w14:paraId="4D1B710E" w14:textId="77777777" w:rsidR="00512231" w:rsidRPr="00512231" w:rsidRDefault="00512231" w:rsidP="00512231">
      <w:pPr>
        <w:spacing w:before="0" w:after="0"/>
        <w:ind w:left="426"/>
        <w:rPr>
          <w:b/>
          <w:szCs w:val="20"/>
        </w:rPr>
      </w:pPr>
      <w:r w:rsidRPr="00512231">
        <w:rPr>
          <w:b/>
          <w:szCs w:val="20"/>
        </w:rPr>
        <w:t>Glioblastomas</w:t>
      </w:r>
    </w:p>
    <w:p w14:paraId="1F1F938D" w14:textId="77777777" w:rsidR="00512231" w:rsidRPr="00512231" w:rsidRDefault="00512231" w:rsidP="00512231">
      <w:pPr>
        <w:spacing w:before="0" w:after="0"/>
        <w:ind w:left="426"/>
        <w:rPr>
          <w:szCs w:val="20"/>
        </w:rPr>
      </w:pPr>
      <w:proofErr w:type="gramStart"/>
      <w:r w:rsidRPr="00512231">
        <w:rPr>
          <w:szCs w:val="20"/>
        </w:rPr>
        <w:t>72830 ;</w:t>
      </w:r>
      <w:proofErr w:type="gramEnd"/>
      <w:r w:rsidRPr="00512231">
        <w:rPr>
          <w:szCs w:val="20"/>
        </w:rPr>
        <w:t xml:space="preserve"> 72846-72850</w:t>
      </w:r>
    </w:p>
    <w:p w14:paraId="14A35652" w14:textId="196C3D0D" w:rsidR="000159B9" w:rsidRDefault="00512231" w:rsidP="00512231">
      <w:pPr>
        <w:spacing w:before="0" w:after="0"/>
        <w:ind w:left="426"/>
        <w:rPr>
          <w:szCs w:val="20"/>
        </w:rPr>
      </w:pPr>
      <w:r w:rsidRPr="00512231">
        <w:rPr>
          <w:szCs w:val="20"/>
        </w:rPr>
        <w:t>These codes encompass level 5 tissue biopsy and immunohistochemistry.</w:t>
      </w:r>
    </w:p>
    <w:p w14:paraId="54329334" w14:textId="77777777" w:rsidR="00512231" w:rsidRDefault="00512231" w:rsidP="00512231">
      <w:pPr>
        <w:spacing w:before="0" w:after="0"/>
        <w:ind w:left="425"/>
        <w:rPr>
          <w:b/>
        </w:rPr>
      </w:pPr>
    </w:p>
    <w:p w14:paraId="7AA27238" w14:textId="5ABB0819" w:rsidR="00512231" w:rsidRPr="00512231" w:rsidRDefault="00512231" w:rsidP="00512231">
      <w:pPr>
        <w:spacing w:before="0" w:after="0"/>
        <w:ind w:left="425"/>
        <w:rPr>
          <w:b/>
        </w:rPr>
      </w:pPr>
      <w:r w:rsidRPr="00512231">
        <w:rPr>
          <w:b/>
        </w:rPr>
        <w:t>Soft Tissue and Bone Tumours</w:t>
      </w:r>
    </w:p>
    <w:p w14:paraId="695FD3D2" w14:textId="428B0ECF" w:rsidR="00512231" w:rsidRDefault="00512231" w:rsidP="00512231">
      <w:pPr>
        <w:spacing w:before="0" w:after="0"/>
        <w:ind w:left="426"/>
        <w:rPr>
          <w:szCs w:val="20"/>
        </w:rPr>
      </w:pPr>
      <w:r w:rsidRPr="00512231">
        <w:rPr>
          <w:szCs w:val="20"/>
        </w:rPr>
        <w:t>65084; 65087; 72813; 72816; 72817; 72818; 72823; 72824; 72825; 72826; 72827; 72828; 72830; 72836; 72838;</w:t>
      </w:r>
    </w:p>
    <w:p w14:paraId="59334561"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0019318D" w14:textId="77777777" w:rsidR="00393AED" w:rsidRPr="00512231" w:rsidRDefault="00393AED" w:rsidP="00393AED">
      <w:pPr>
        <w:spacing w:before="0" w:after="0"/>
        <w:ind w:left="425"/>
        <w:rPr>
          <w:b/>
          <w:szCs w:val="20"/>
        </w:rPr>
      </w:pPr>
      <w:proofErr w:type="spellStart"/>
      <w:r w:rsidRPr="00512231">
        <w:rPr>
          <w:b/>
          <w:szCs w:val="20"/>
        </w:rPr>
        <w:t>Gilomas</w:t>
      </w:r>
      <w:proofErr w:type="spellEnd"/>
    </w:p>
    <w:p w14:paraId="5ABC04C9" w14:textId="77777777" w:rsidR="00393AED" w:rsidRPr="00393AED" w:rsidRDefault="00393AED" w:rsidP="00393AED">
      <w:pPr>
        <w:spacing w:before="0" w:after="0"/>
        <w:ind w:left="425"/>
        <w:rPr>
          <w:szCs w:val="20"/>
        </w:rPr>
      </w:pPr>
      <w:r w:rsidRPr="00393AED">
        <w:rPr>
          <w:szCs w:val="20"/>
        </w:rPr>
        <w:t xml:space="preserve">The clinical management pathway after the comparator is the selection of cancer therapy based on histological diagnosis using current methods (routine histology and IHC). There is no IHC assay that can act as a reliable surrogate for chromosome 1p/19q co-deletion by molecular methods. </w:t>
      </w:r>
    </w:p>
    <w:p w14:paraId="7A108B6D" w14:textId="77777777" w:rsidR="00393AED" w:rsidRPr="00393AED" w:rsidRDefault="00393AED" w:rsidP="00393AED">
      <w:pPr>
        <w:spacing w:before="0" w:after="0"/>
        <w:ind w:left="425"/>
        <w:rPr>
          <w:szCs w:val="20"/>
        </w:rPr>
      </w:pPr>
      <w:r w:rsidRPr="00393AED">
        <w:rPr>
          <w:szCs w:val="20"/>
        </w:rPr>
        <w:t>Molecular subtypes are not identified completely. Selection of therapy is made on incomplete information. Inappropriate treatment may result in patient harm.</w:t>
      </w:r>
    </w:p>
    <w:p w14:paraId="014E9996" w14:textId="77777777" w:rsidR="00393AED" w:rsidRPr="00393AED" w:rsidRDefault="00393AED" w:rsidP="00393AED">
      <w:pPr>
        <w:spacing w:before="0" w:after="0"/>
        <w:ind w:left="425"/>
        <w:rPr>
          <w:b/>
          <w:szCs w:val="20"/>
        </w:rPr>
      </w:pPr>
      <w:r w:rsidRPr="00393AED">
        <w:rPr>
          <w:b/>
          <w:szCs w:val="20"/>
        </w:rPr>
        <w:t>Glioblastomas</w:t>
      </w:r>
    </w:p>
    <w:p w14:paraId="5BD890B4" w14:textId="77777777" w:rsidR="00393AED" w:rsidRPr="00393AED" w:rsidRDefault="00393AED" w:rsidP="00393AED">
      <w:pPr>
        <w:spacing w:before="0" w:after="0"/>
        <w:ind w:left="425"/>
        <w:rPr>
          <w:szCs w:val="20"/>
        </w:rPr>
      </w:pPr>
      <w:r w:rsidRPr="00393AED">
        <w:rPr>
          <w:szCs w:val="20"/>
        </w:rPr>
        <w:t>The clinical management pathway after the comparator is the selection of cancer therapy based on histological diagnosis using current methods (routine histology and IHC). IHC may be useful in identifying IDH1 in [higher grade tumours?]. However, IDH2 mutations and IDH1 [in other cases?] are not identified except by sequencing. MGMT status with IHC lacks standardisation, reproducibility and correlation with clinical outcome (</w:t>
      </w:r>
      <w:proofErr w:type="spellStart"/>
      <w:r w:rsidRPr="00393AED">
        <w:rPr>
          <w:szCs w:val="20"/>
        </w:rPr>
        <w:t>Stupp</w:t>
      </w:r>
      <w:proofErr w:type="spellEnd"/>
      <w:r w:rsidRPr="00393AED">
        <w:rPr>
          <w:szCs w:val="20"/>
        </w:rPr>
        <w:t>, 2014).</w:t>
      </w:r>
    </w:p>
    <w:p w14:paraId="1E342B79" w14:textId="77777777" w:rsidR="00393AED" w:rsidRPr="00393AED" w:rsidRDefault="00393AED" w:rsidP="00393AED">
      <w:pPr>
        <w:spacing w:before="0" w:after="0"/>
        <w:ind w:left="425"/>
        <w:rPr>
          <w:szCs w:val="20"/>
        </w:rPr>
      </w:pPr>
      <w:r w:rsidRPr="00393AED">
        <w:rPr>
          <w:szCs w:val="20"/>
        </w:rPr>
        <w:t>With the comparator, molecular subtypes are not identified completely. Selection of therapy is made on incomplete information and inappropriate treatment may result in patient harm.</w:t>
      </w:r>
    </w:p>
    <w:p w14:paraId="4B1D643F" w14:textId="77777777" w:rsidR="00393AED" w:rsidRPr="00393AED" w:rsidRDefault="00393AED" w:rsidP="00393AED">
      <w:pPr>
        <w:spacing w:before="0" w:after="0"/>
        <w:ind w:left="425"/>
        <w:rPr>
          <w:b/>
          <w:szCs w:val="20"/>
        </w:rPr>
      </w:pPr>
      <w:r w:rsidRPr="00393AED">
        <w:rPr>
          <w:b/>
          <w:szCs w:val="20"/>
        </w:rPr>
        <w:t>Soft Tissue and Bone Tumours</w:t>
      </w:r>
    </w:p>
    <w:p w14:paraId="7FDC5532" w14:textId="77777777" w:rsidR="00393AED" w:rsidRPr="00393AED" w:rsidRDefault="00393AED" w:rsidP="00393AED">
      <w:pPr>
        <w:spacing w:before="0" w:after="0"/>
        <w:ind w:left="425"/>
        <w:rPr>
          <w:szCs w:val="20"/>
        </w:rPr>
      </w:pPr>
      <w:r w:rsidRPr="00393AED">
        <w:rPr>
          <w:szCs w:val="20"/>
        </w:rPr>
        <w:t xml:space="preserve">The clinical management pathway after the comparator is the selection of soft tissue or bone cancer therapy based on histological diagnosis using current methods. </w:t>
      </w:r>
    </w:p>
    <w:p w14:paraId="42BD4FC8" w14:textId="77777777" w:rsidR="00393AED" w:rsidRPr="00393AED" w:rsidRDefault="00393AED" w:rsidP="00393AED">
      <w:pPr>
        <w:spacing w:before="0" w:after="0"/>
        <w:ind w:left="425"/>
        <w:rPr>
          <w:szCs w:val="20"/>
        </w:rPr>
      </w:pPr>
      <w:r w:rsidRPr="00393AED">
        <w:rPr>
          <w:szCs w:val="20"/>
        </w:rPr>
        <w:t>Molecular subtypes are not identified completely. Selection of therapy is made on incomplete information. Inappropriate treatment may be selection resulting in ineffective therapy or patient harm.</w:t>
      </w:r>
    </w:p>
    <w:p w14:paraId="4A077E05" w14:textId="77777777" w:rsidR="00393AED" w:rsidRDefault="00393AED" w:rsidP="00393AED">
      <w:pPr>
        <w:spacing w:before="0" w:after="0"/>
        <w:ind w:left="425"/>
        <w:rPr>
          <w:b/>
          <w:szCs w:val="20"/>
        </w:rPr>
      </w:pPr>
    </w:p>
    <w:p w14:paraId="1EF97FEB" w14:textId="4E05A7E9" w:rsidR="003433D1" w:rsidRPr="00393AED" w:rsidRDefault="00393AED" w:rsidP="00393AED">
      <w:pPr>
        <w:spacing w:before="0" w:after="0"/>
        <w:ind w:left="425"/>
        <w:rPr>
          <w:szCs w:val="20"/>
        </w:rPr>
      </w:pPr>
      <w:r w:rsidRPr="00393AED">
        <w:rPr>
          <w:szCs w:val="20"/>
        </w:rPr>
        <w:t xml:space="preserve">See Appendix </w:t>
      </w:r>
      <w:proofErr w:type="gramStart"/>
      <w:r w:rsidRPr="00393AED">
        <w:rPr>
          <w:szCs w:val="20"/>
        </w:rPr>
        <w:t>A</w:t>
      </w:r>
      <w:proofErr w:type="gramEnd"/>
      <w:r w:rsidRPr="00393AED">
        <w:rPr>
          <w:szCs w:val="20"/>
        </w:rPr>
        <w:t xml:space="preserve"> Flowcharts</w:t>
      </w:r>
    </w:p>
    <w:p w14:paraId="64AD2081" w14:textId="77777777" w:rsidR="00A83EC6" w:rsidRPr="00154B00" w:rsidRDefault="005C3AE7" w:rsidP="00530204">
      <w:pPr>
        <w:pStyle w:val="Heading2"/>
      </w:pPr>
      <w:r>
        <w:lastRenderedPageBreak/>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60C4CF4D" w14:textId="336558A3" w:rsidR="001B29A1" w:rsidRDefault="00393AED"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1B29A1">
        <w:rPr>
          <w:szCs w:val="20"/>
        </w:rPr>
        <w:t xml:space="preserve"> Yes </w:t>
      </w:r>
    </w:p>
    <w:p w14:paraId="7951A006"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F46CE">
        <w:rPr>
          <w:szCs w:val="20"/>
        </w:rPr>
      </w:r>
      <w:r w:rsidR="00FF46CE">
        <w:rPr>
          <w:szCs w:val="20"/>
        </w:rPr>
        <w:fldChar w:fldCharType="separate"/>
      </w:r>
      <w:r w:rsidRPr="00753C44">
        <w:rPr>
          <w:szCs w:val="20"/>
        </w:rPr>
        <w:fldChar w:fldCharType="end"/>
      </w:r>
      <w:r>
        <w:rPr>
          <w:szCs w:val="20"/>
        </w:rPr>
        <w:t xml:space="preserve"> No  </w:t>
      </w:r>
    </w:p>
    <w:p w14:paraId="4B750B54" w14:textId="3CBE56FE" w:rsidR="00E70D86"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1A2E2AB9" w14:textId="77777777" w:rsidR="00393AED" w:rsidRPr="00512231" w:rsidRDefault="00393AED" w:rsidP="000E1848">
      <w:pPr>
        <w:spacing w:before="0" w:after="0"/>
        <w:ind w:left="425"/>
        <w:rPr>
          <w:b/>
          <w:szCs w:val="20"/>
        </w:rPr>
      </w:pPr>
      <w:proofErr w:type="spellStart"/>
      <w:r w:rsidRPr="00512231">
        <w:rPr>
          <w:b/>
          <w:szCs w:val="20"/>
        </w:rPr>
        <w:t>Gilomas</w:t>
      </w:r>
      <w:proofErr w:type="spellEnd"/>
    </w:p>
    <w:p w14:paraId="6D1C2530" w14:textId="49BFAAAD" w:rsidR="00393AED" w:rsidRDefault="00393AED" w:rsidP="000E1848">
      <w:pPr>
        <w:spacing w:before="0" w:after="0"/>
        <w:ind w:left="425"/>
      </w:pPr>
      <w:r w:rsidRPr="00486AAC">
        <w:rPr>
          <w:szCs w:val="20"/>
        </w:rPr>
        <w:t>Detection of chromosome 1p/19q co-deletion would be required in addition to current service/comparator.</w:t>
      </w:r>
    </w:p>
    <w:p w14:paraId="2F337B55" w14:textId="77777777" w:rsidR="00393AED" w:rsidRPr="00393AED" w:rsidRDefault="00393AED" w:rsidP="000E1848">
      <w:pPr>
        <w:spacing w:before="0" w:after="0"/>
        <w:ind w:firstLine="425"/>
        <w:rPr>
          <w:b/>
        </w:rPr>
      </w:pPr>
      <w:r w:rsidRPr="00393AED">
        <w:rPr>
          <w:b/>
        </w:rPr>
        <w:t>Glioblastomas</w:t>
      </w:r>
    </w:p>
    <w:p w14:paraId="57A24EFA" w14:textId="2E728DE1" w:rsidR="00393AED" w:rsidRDefault="00393AED" w:rsidP="000E1848">
      <w:pPr>
        <w:spacing w:before="0" w:after="0"/>
        <w:ind w:left="425"/>
      </w:pPr>
      <w:r w:rsidRPr="00393AED">
        <w:t>Identification of IDH1/2 mutation and MGMT promoter methylation status in glioblastomas would be required in addition to current service/comparator.</w:t>
      </w:r>
    </w:p>
    <w:p w14:paraId="2F3BF9B5" w14:textId="5827C16F" w:rsidR="00393AED" w:rsidRPr="00393AED" w:rsidRDefault="00393AED" w:rsidP="000E1848">
      <w:pPr>
        <w:spacing w:before="0" w:after="0"/>
        <w:ind w:firstLine="425"/>
        <w:rPr>
          <w:b/>
        </w:rPr>
      </w:pPr>
      <w:bookmarkStart w:id="7" w:name="_Hlk503261211"/>
      <w:r w:rsidRPr="00393AED">
        <w:rPr>
          <w:b/>
        </w:rPr>
        <w:t>Soft Tissue and Bone Tumours</w:t>
      </w:r>
    </w:p>
    <w:bookmarkEnd w:id="7"/>
    <w:p w14:paraId="644066D0" w14:textId="571326FF" w:rsidR="003433D1" w:rsidRPr="001B29A1" w:rsidRDefault="00393AED" w:rsidP="000E1848">
      <w:pPr>
        <w:spacing w:before="0" w:after="0"/>
        <w:ind w:left="426"/>
        <w:rPr>
          <w:szCs w:val="20"/>
        </w:rPr>
      </w:pPr>
      <w:r w:rsidRPr="00393AED">
        <w:rPr>
          <w:szCs w:val="20"/>
        </w:rPr>
        <w:t>Detection of somatic gene rearrangements, copy number aberrations and/or mutations for soft tissue or bone cancers would be required in addition to current service/comparator.</w:t>
      </w:r>
    </w:p>
    <w:p w14:paraId="15B5167A"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0D324600" w14:textId="77777777" w:rsidR="00393AED" w:rsidRPr="00393AED" w:rsidRDefault="00393AED" w:rsidP="00F2552D">
      <w:pPr>
        <w:pStyle w:val="ListParagraph"/>
        <w:spacing w:before="0" w:after="0"/>
        <w:ind w:left="360"/>
        <w:rPr>
          <w:b/>
          <w:szCs w:val="20"/>
        </w:rPr>
      </w:pPr>
      <w:bookmarkStart w:id="8" w:name="_Hlk503261825"/>
      <w:proofErr w:type="spellStart"/>
      <w:r w:rsidRPr="00393AED">
        <w:rPr>
          <w:b/>
          <w:szCs w:val="20"/>
        </w:rPr>
        <w:t>Gilomas</w:t>
      </w:r>
      <w:proofErr w:type="spellEnd"/>
    </w:p>
    <w:bookmarkEnd w:id="8"/>
    <w:p w14:paraId="7EABA0B0" w14:textId="77777777" w:rsidR="00F2552D" w:rsidRPr="00F2552D" w:rsidRDefault="00F2552D" w:rsidP="00F2552D">
      <w:pPr>
        <w:pStyle w:val="ListParagraph"/>
        <w:spacing w:before="0" w:after="0"/>
        <w:ind w:left="360"/>
        <w:rPr>
          <w:szCs w:val="20"/>
        </w:rPr>
      </w:pPr>
      <w:r w:rsidRPr="00F2552D">
        <w:rPr>
          <w:szCs w:val="20"/>
        </w:rPr>
        <w:t>Pathological investigation of CNS glioma tissue will be extended to include identification of chromosome 1p/19q co-deletion to provide further diagnostic and prognostic information. Further therapeutic interventions for the patient via surgery, chemotherapy and/or radiotherapy will be informed by this information.</w:t>
      </w:r>
    </w:p>
    <w:p w14:paraId="6C972695" w14:textId="77777777" w:rsidR="00F2552D" w:rsidRDefault="00F2552D" w:rsidP="00F2552D">
      <w:pPr>
        <w:pStyle w:val="ListParagraph"/>
        <w:spacing w:before="0" w:after="0"/>
        <w:ind w:left="360"/>
        <w:rPr>
          <w:b/>
        </w:rPr>
      </w:pPr>
      <w:bookmarkStart w:id="9" w:name="_Hlk503261855"/>
      <w:r w:rsidRPr="00393AED">
        <w:rPr>
          <w:b/>
        </w:rPr>
        <w:t>Glioblastomas</w:t>
      </w:r>
    </w:p>
    <w:bookmarkEnd w:id="9"/>
    <w:p w14:paraId="26B81926" w14:textId="77777777" w:rsidR="00F2552D" w:rsidRDefault="00F2552D" w:rsidP="00F2552D">
      <w:pPr>
        <w:pStyle w:val="ListParagraph"/>
        <w:spacing w:before="0" w:after="0"/>
        <w:ind w:left="360"/>
        <w:rPr>
          <w:szCs w:val="20"/>
        </w:rPr>
      </w:pPr>
      <w:proofErr w:type="gramStart"/>
      <w:r w:rsidRPr="00F2552D">
        <w:rPr>
          <w:szCs w:val="20"/>
        </w:rPr>
        <w:t>Pathological investigation of CNS glioblastomas for IDH1/2 mutation and MGMT promoter methylation status in to provide further diagnos</w:t>
      </w:r>
      <w:r>
        <w:rPr>
          <w:szCs w:val="20"/>
        </w:rPr>
        <w:t>tic and prognostic information.</w:t>
      </w:r>
      <w:proofErr w:type="gramEnd"/>
    </w:p>
    <w:p w14:paraId="1DC370BF" w14:textId="77777777" w:rsidR="00F2552D" w:rsidRDefault="00F2552D" w:rsidP="00F2552D">
      <w:pPr>
        <w:pStyle w:val="ListParagraph"/>
        <w:spacing w:before="0" w:after="0"/>
        <w:ind w:left="360"/>
        <w:rPr>
          <w:szCs w:val="20"/>
        </w:rPr>
      </w:pPr>
      <w:r w:rsidRPr="00F2552D">
        <w:rPr>
          <w:szCs w:val="20"/>
        </w:rPr>
        <w:t>In lower grade tumours or suspected transformed glioma, IDH1/2 sequencing would be undertaken where IHC is negative for IDH1 with the anti-IDH antibody (R132H mutation).</w:t>
      </w:r>
    </w:p>
    <w:p w14:paraId="06427925" w14:textId="77777777" w:rsidR="00F2552D" w:rsidRDefault="00F2552D" w:rsidP="00F2552D">
      <w:pPr>
        <w:pStyle w:val="ListParagraph"/>
        <w:spacing w:before="0" w:after="0"/>
        <w:ind w:left="360"/>
        <w:rPr>
          <w:szCs w:val="20"/>
        </w:rPr>
      </w:pPr>
      <w:r w:rsidRPr="00F2552D">
        <w:rPr>
          <w:szCs w:val="20"/>
        </w:rPr>
        <w:t>Gene sequencing is required to determine MGMT promoter methylation status.</w:t>
      </w:r>
    </w:p>
    <w:p w14:paraId="34BAD8C8" w14:textId="317F934B" w:rsidR="00F2552D" w:rsidRPr="00F2552D" w:rsidRDefault="00F2552D" w:rsidP="00F2552D">
      <w:pPr>
        <w:pStyle w:val="ListParagraph"/>
        <w:spacing w:before="0" w:after="0"/>
        <w:ind w:left="360"/>
        <w:rPr>
          <w:szCs w:val="20"/>
        </w:rPr>
      </w:pPr>
      <w:r w:rsidRPr="00F2552D">
        <w:rPr>
          <w:szCs w:val="20"/>
        </w:rPr>
        <w:t xml:space="preserve">Further therapeutic interventions for the patient via surgery, chemotherapy and/or radiotherapy will be informed by this information. </w:t>
      </w:r>
    </w:p>
    <w:p w14:paraId="60BD8E64" w14:textId="77777777" w:rsidR="00F2552D" w:rsidRDefault="00F2552D" w:rsidP="00F2552D">
      <w:pPr>
        <w:spacing w:before="0" w:after="0"/>
        <w:ind w:firstLine="425"/>
        <w:rPr>
          <w:b/>
        </w:rPr>
      </w:pPr>
      <w:bookmarkStart w:id="10" w:name="_Hlk503261895"/>
      <w:r w:rsidRPr="00393AED">
        <w:rPr>
          <w:b/>
        </w:rPr>
        <w:t>Soft Tissue and Bone Tumours</w:t>
      </w:r>
    </w:p>
    <w:bookmarkEnd w:id="10"/>
    <w:p w14:paraId="12FCECEE" w14:textId="1B4A0904" w:rsidR="001B29A1" w:rsidRPr="00F2552D" w:rsidRDefault="00F2552D" w:rsidP="00F2552D">
      <w:pPr>
        <w:spacing w:before="0" w:after="0"/>
        <w:ind w:left="426"/>
        <w:rPr>
          <w:b/>
        </w:rPr>
      </w:pPr>
      <w:r>
        <w:rPr>
          <w:szCs w:val="20"/>
        </w:rPr>
        <w:t>Pathological investigation of soft tissue or bone tumour tissue will be extended to provide further diagnostic and prognostic information. Therapeutic interventions for the patient by surgery, chemotherapy and/or radiotherapy may be affected by this information depending on the clinical situation.</w:t>
      </w:r>
      <w:r w:rsidR="001B29A1">
        <w:rPr>
          <w:b/>
          <w:i/>
          <w:szCs w:val="20"/>
          <w:u w:val="single"/>
        </w:rPr>
        <w:br w:type="page"/>
      </w:r>
    </w:p>
    <w:p w14:paraId="0C1A14EC"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5FA14686"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C4A3B1B" w14:textId="77777777" w:rsidR="00781C8D" w:rsidRPr="00393AED" w:rsidRDefault="00781C8D" w:rsidP="00781C8D">
      <w:pPr>
        <w:pStyle w:val="ListParagraph"/>
        <w:spacing w:before="0" w:after="0"/>
        <w:ind w:left="360"/>
        <w:rPr>
          <w:b/>
          <w:szCs w:val="20"/>
        </w:rPr>
      </w:pPr>
      <w:bookmarkStart w:id="11" w:name="_Hlk503262246"/>
      <w:proofErr w:type="spellStart"/>
      <w:r w:rsidRPr="00393AED">
        <w:rPr>
          <w:b/>
          <w:szCs w:val="20"/>
        </w:rPr>
        <w:t>Gilomas</w:t>
      </w:r>
      <w:proofErr w:type="spellEnd"/>
    </w:p>
    <w:bookmarkEnd w:id="11"/>
    <w:p w14:paraId="2DEBD2CF" w14:textId="77777777" w:rsidR="00781C8D" w:rsidRPr="00781C8D" w:rsidRDefault="00781C8D" w:rsidP="00781C8D">
      <w:pPr>
        <w:spacing w:before="0" w:after="0"/>
        <w:ind w:left="426"/>
        <w:rPr>
          <w:szCs w:val="20"/>
        </w:rPr>
      </w:pPr>
      <w:r w:rsidRPr="00781C8D">
        <w:rPr>
          <w:szCs w:val="20"/>
        </w:rPr>
        <w:t xml:space="preserve">Currently, there is no MBS, other public funding or private health insurance for this medical service. </w:t>
      </w:r>
    </w:p>
    <w:p w14:paraId="491B63A3" w14:textId="4B031D20" w:rsidR="004E3CC7" w:rsidRDefault="00781C8D" w:rsidP="00781C8D">
      <w:pPr>
        <w:spacing w:before="0" w:after="0"/>
        <w:ind w:left="426"/>
        <w:rPr>
          <w:szCs w:val="20"/>
        </w:rPr>
      </w:pPr>
      <w:r w:rsidRPr="00781C8D">
        <w:rPr>
          <w:szCs w:val="20"/>
        </w:rPr>
        <w:t xml:space="preserve">Under international guidelines, histological diagnosis of gliomas requires a layered diagnosis including molecular testing. The detection of co-deletion of 1p/19p chromosome regions is critical to the identification of </w:t>
      </w:r>
      <w:proofErr w:type="spellStart"/>
      <w:r w:rsidRPr="00781C8D">
        <w:rPr>
          <w:szCs w:val="20"/>
        </w:rPr>
        <w:t>oligodendroglial</w:t>
      </w:r>
      <w:proofErr w:type="spellEnd"/>
      <w:r w:rsidRPr="00781C8D">
        <w:rPr>
          <w:szCs w:val="20"/>
        </w:rPr>
        <w:t xml:space="preserve"> tumours.  Correct tumour classification is necessary for determining prognosis and predicting response to chemo/radiotherapy</w:t>
      </w:r>
    </w:p>
    <w:p w14:paraId="0AC74CEF" w14:textId="77777777" w:rsidR="00781C8D" w:rsidRPr="00781C8D" w:rsidRDefault="00781C8D" w:rsidP="00781C8D">
      <w:pPr>
        <w:spacing w:before="0" w:after="0"/>
        <w:ind w:left="426"/>
        <w:rPr>
          <w:b/>
          <w:szCs w:val="20"/>
        </w:rPr>
      </w:pPr>
      <w:bookmarkStart w:id="12" w:name="_Hlk503262406"/>
      <w:r w:rsidRPr="00781C8D">
        <w:rPr>
          <w:b/>
          <w:szCs w:val="20"/>
        </w:rPr>
        <w:t>Glioblastomas</w:t>
      </w:r>
    </w:p>
    <w:bookmarkEnd w:id="12"/>
    <w:p w14:paraId="1066C4F3" w14:textId="77777777" w:rsidR="00781C8D" w:rsidRPr="00781C8D" w:rsidRDefault="00781C8D" w:rsidP="00781C8D">
      <w:pPr>
        <w:spacing w:before="0" w:after="0"/>
        <w:ind w:left="426"/>
        <w:rPr>
          <w:szCs w:val="20"/>
        </w:rPr>
      </w:pPr>
      <w:r w:rsidRPr="00781C8D">
        <w:rPr>
          <w:szCs w:val="20"/>
        </w:rPr>
        <w:t xml:space="preserve">Currently, there is no MBS, other public funding or private health insurance for this medical service. </w:t>
      </w:r>
    </w:p>
    <w:p w14:paraId="18DBD10C" w14:textId="519E5952" w:rsidR="00781C8D" w:rsidRDefault="00781C8D" w:rsidP="00781C8D">
      <w:pPr>
        <w:spacing w:before="0" w:after="0"/>
        <w:ind w:left="426"/>
        <w:rPr>
          <w:szCs w:val="20"/>
        </w:rPr>
      </w:pPr>
      <w:r w:rsidRPr="00781C8D">
        <w:rPr>
          <w:szCs w:val="20"/>
        </w:rPr>
        <w:t>Under international guidelines, histological diagnosis of glioblastomas requires a layered diagnosis including molecular testing. The identification of IDH1/2 mutation and MGMT promoter methylation status are critical to the identification of glioblastomas.  Correct tumour classification is necessary for determining prognosis and predicting response to chemo/radiotherapy. (</w:t>
      </w:r>
      <w:proofErr w:type="spellStart"/>
      <w:r w:rsidRPr="00781C8D">
        <w:rPr>
          <w:szCs w:val="20"/>
        </w:rPr>
        <w:t>Stupp</w:t>
      </w:r>
      <w:proofErr w:type="spellEnd"/>
      <w:r w:rsidRPr="00781C8D">
        <w:rPr>
          <w:szCs w:val="20"/>
        </w:rPr>
        <w:t>, 2014)</w:t>
      </w:r>
    </w:p>
    <w:p w14:paraId="25B45401" w14:textId="77777777" w:rsidR="00781C8D" w:rsidRPr="00781C8D" w:rsidRDefault="00781C8D" w:rsidP="00781C8D">
      <w:pPr>
        <w:spacing w:before="0" w:after="0"/>
        <w:ind w:left="426"/>
        <w:rPr>
          <w:b/>
          <w:szCs w:val="20"/>
        </w:rPr>
      </w:pPr>
      <w:bookmarkStart w:id="13" w:name="_Hlk503262475"/>
      <w:r w:rsidRPr="00781C8D">
        <w:rPr>
          <w:b/>
          <w:szCs w:val="20"/>
        </w:rPr>
        <w:t>Soft Tissue and Bone Tumours</w:t>
      </w:r>
    </w:p>
    <w:bookmarkEnd w:id="13"/>
    <w:p w14:paraId="71EA389E" w14:textId="1F48D674" w:rsidR="00781C8D" w:rsidRPr="00781C8D" w:rsidRDefault="00781C8D" w:rsidP="00781C8D">
      <w:pPr>
        <w:spacing w:before="0" w:after="0"/>
        <w:ind w:left="426"/>
        <w:rPr>
          <w:szCs w:val="20"/>
        </w:rPr>
      </w:pPr>
      <w:r w:rsidRPr="00781C8D">
        <w:rPr>
          <w:szCs w:val="20"/>
        </w:rPr>
        <w:t>Currently, there is no MBS, other public funding or private health insurance for this medical service. Tissue pathology (H&amp;E and IHC) and standard haematology testing often require additional molecular investigations for a range of rare and difficult to diagnose cancers. Detection of somatic gene rearrangements, copy number aberrations and/or mutations for MDM2, FUS, DDIT3, EWSR1</w:t>
      </w:r>
      <w:r w:rsidR="004A6963">
        <w:rPr>
          <w:szCs w:val="20"/>
        </w:rPr>
        <w:t>, FLI1, ERG, SS18, FOXO1, PAX3, PAX7,</w:t>
      </w:r>
      <w:r w:rsidRPr="00781C8D">
        <w:rPr>
          <w:szCs w:val="20"/>
        </w:rPr>
        <w:t xml:space="preserve"> ETV6, NTRK2</w:t>
      </w:r>
      <w:r w:rsidR="004A6963">
        <w:rPr>
          <w:szCs w:val="20"/>
        </w:rPr>
        <w:t>,</w:t>
      </w:r>
      <w:r w:rsidRPr="00781C8D">
        <w:rPr>
          <w:szCs w:val="20"/>
        </w:rPr>
        <w:t xml:space="preserve"> COL1A1 and PDGF</w:t>
      </w:r>
      <w:r w:rsidR="004A6963">
        <w:rPr>
          <w:szCs w:val="20"/>
        </w:rPr>
        <w:t>B</w:t>
      </w:r>
      <w:r w:rsidRPr="00781C8D">
        <w:rPr>
          <w:szCs w:val="20"/>
        </w:rPr>
        <w:t xml:space="preserve"> are recommended locally and internationally as best practice for the diagnosis of soft tissue and bone cancer, the appropriate selection of treatment, indicating disease prognosis and monitoring therapeutic outcomes. </w:t>
      </w:r>
    </w:p>
    <w:p w14:paraId="56BCBC52" w14:textId="418B0719" w:rsidR="00781C8D" w:rsidRDefault="00781C8D" w:rsidP="00781C8D">
      <w:pPr>
        <w:spacing w:before="0" w:after="0"/>
        <w:ind w:left="426"/>
        <w:rPr>
          <w:szCs w:val="20"/>
        </w:rPr>
      </w:pPr>
      <w:r w:rsidRPr="00781C8D">
        <w:rPr>
          <w:szCs w:val="20"/>
        </w:rPr>
        <w:t>The identification of pathognomonic gene changes is of particular use when diagnosing tumours on limited biopsy material and can impart greater diagnostic certainty without the need for more invasive biopsy and other investigation and/or staging tests which may be invasive (e.g. endoscopy) and attendant increased costs and risks to the patient. The use of such assays can also decrease the risk of misdiagnosis and subsequent negative outcomes for the patient undergoing inappropriate treatment.</w:t>
      </w:r>
    </w:p>
    <w:p w14:paraId="3ACA3FB4"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BFAADE9" w14:textId="32276620" w:rsidR="001B29A1" w:rsidRPr="001B29A1" w:rsidRDefault="00781C8D"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F46CE">
        <w:rPr>
          <w:szCs w:val="20"/>
        </w:rPr>
      </w:r>
      <w:r w:rsidR="00FF46CE">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5AEEB576"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F46CE">
        <w:rPr>
          <w:szCs w:val="20"/>
        </w:rPr>
      </w:r>
      <w:r w:rsidR="00FF46CE">
        <w:rPr>
          <w:szCs w:val="20"/>
        </w:rPr>
        <w:fldChar w:fldCharType="separate"/>
      </w:r>
      <w:r w:rsidRPr="001B29A1">
        <w:rPr>
          <w:szCs w:val="20"/>
        </w:rPr>
        <w:fldChar w:fldCharType="end"/>
      </w:r>
      <w:r w:rsidRPr="001B29A1">
        <w:rPr>
          <w:szCs w:val="20"/>
        </w:rPr>
        <w:t xml:space="preserve"> Non-inferiority</w:t>
      </w:r>
      <w:r w:rsidRPr="001B29A1">
        <w:rPr>
          <w:szCs w:val="20"/>
        </w:rPr>
        <w:tab/>
      </w:r>
    </w:p>
    <w:p w14:paraId="12B4466A"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28FDFC1E" w14:textId="0A7DADD9" w:rsidR="001B29A1" w:rsidRPr="00A7089A" w:rsidRDefault="001B29A1" w:rsidP="00A7089A">
      <w:pPr>
        <w:spacing w:before="0" w:after="0"/>
        <w:rPr>
          <w:i/>
          <w:szCs w:val="20"/>
        </w:rPr>
      </w:pPr>
      <w:r w:rsidRPr="00A7089A">
        <w:rPr>
          <w:i/>
          <w:szCs w:val="20"/>
        </w:rPr>
        <w:t xml:space="preserve">Safety Outcomes: </w:t>
      </w:r>
    </w:p>
    <w:p w14:paraId="191A9876" w14:textId="77777777" w:rsidR="00781C8D" w:rsidRPr="00A7089A" w:rsidRDefault="00781C8D" w:rsidP="00A7089A">
      <w:pPr>
        <w:spacing w:before="0" w:after="0"/>
        <w:rPr>
          <w:szCs w:val="20"/>
        </w:rPr>
      </w:pPr>
      <w:r w:rsidRPr="00A7089A">
        <w:rPr>
          <w:szCs w:val="20"/>
        </w:rPr>
        <w:t>The proposed test involves equivalent safety issues to current tissue pathology investigations.</w:t>
      </w:r>
    </w:p>
    <w:p w14:paraId="32BDD9CD" w14:textId="2C57AD60" w:rsidR="001B29A1" w:rsidRPr="00A7089A" w:rsidRDefault="00781C8D" w:rsidP="00A7089A">
      <w:pPr>
        <w:spacing w:before="0" w:after="0"/>
        <w:rPr>
          <w:szCs w:val="20"/>
        </w:rPr>
      </w:pPr>
      <w:r w:rsidRPr="00A7089A">
        <w:rPr>
          <w:szCs w:val="20"/>
        </w:rPr>
        <w:t>The absence of suitable testing can lead to misdiagnosis with patients potentially receiving unnecessary treatment, experiencing delays in treatment or no treatment when treatment is needed.</w:t>
      </w:r>
    </w:p>
    <w:p w14:paraId="38594B37" w14:textId="0E0D466A" w:rsidR="00B25D20" w:rsidRPr="00A7089A" w:rsidRDefault="001B29A1" w:rsidP="00A7089A">
      <w:pPr>
        <w:spacing w:before="0" w:after="0"/>
        <w:rPr>
          <w:i/>
          <w:szCs w:val="20"/>
        </w:rPr>
      </w:pPr>
      <w:bookmarkStart w:id="14" w:name="_Hlk503262305"/>
      <w:r w:rsidRPr="00A7089A">
        <w:rPr>
          <w:i/>
          <w:szCs w:val="20"/>
        </w:rPr>
        <w:t>Clinical Effectiveness Outcomes</w:t>
      </w:r>
      <w:bookmarkEnd w:id="14"/>
      <w:r w:rsidRPr="00A7089A">
        <w:rPr>
          <w:i/>
          <w:szCs w:val="20"/>
        </w:rPr>
        <w:t xml:space="preserve">: </w:t>
      </w:r>
    </w:p>
    <w:p w14:paraId="7F28DD44" w14:textId="77777777" w:rsidR="00781C8D" w:rsidRPr="00A7089A" w:rsidRDefault="00781C8D" w:rsidP="00A7089A">
      <w:pPr>
        <w:spacing w:before="0" w:after="0"/>
        <w:rPr>
          <w:szCs w:val="20"/>
        </w:rPr>
      </w:pPr>
      <w:r w:rsidRPr="00A7089A">
        <w:rPr>
          <w:szCs w:val="20"/>
        </w:rPr>
        <w:t xml:space="preserve">Effective and affordable health care depends on the availability of accurate, reliable and clinically valid tests. </w:t>
      </w:r>
    </w:p>
    <w:p w14:paraId="79A0F91D" w14:textId="35F6D7AC" w:rsidR="00A7089A" w:rsidRPr="00A7089A" w:rsidRDefault="00781C8D" w:rsidP="00A7089A">
      <w:pPr>
        <w:spacing w:before="0" w:after="0"/>
        <w:rPr>
          <w:szCs w:val="20"/>
        </w:rPr>
      </w:pPr>
      <w:r w:rsidRPr="00A7089A">
        <w:rPr>
          <w:szCs w:val="20"/>
        </w:rPr>
        <w:t>Providing the right treatment to the right patient at the right time depends on meaningful tests proven to impact clinical decisions, integrated with the most current data relevant to the practice of medicine, and recognized as medically necessary to tailor treatment for the unique biology of a disease.</w:t>
      </w:r>
      <w:r w:rsidR="00A7089A">
        <w:rPr>
          <w:szCs w:val="20"/>
        </w:rPr>
        <w:t xml:space="preserve"> </w:t>
      </w:r>
      <w:r w:rsidR="00A7089A" w:rsidRPr="00A7089A">
        <w:rPr>
          <w:szCs w:val="20"/>
        </w:rPr>
        <w:t>Specific Clinical Effectiveness Outcomes as follows:</w:t>
      </w:r>
    </w:p>
    <w:p w14:paraId="74B62AE0" w14:textId="77777777" w:rsidR="00A7089A" w:rsidRDefault="00A7089A" w:rsidP="00A7089A">
      <w:pPr>
        <w:spacing w:before="0" w:after="0"/>
        <w:rPr>
          <w:b/>
          <w:szCs w:val="20"/>
        </w:rPr>
      </w:pPr>
    </w:p>
    <w:p w14:paraId="28AC68FB" w14:textId="081DA7AC" w:rsidR="00781C8D" w:rsidRPr="00A7089A" w:rsidRDefault="00781C8D" w:rsidP="00A7089A">
      <w:pPr>
        <w:spacing w:before="0" w:after="0"/>
        <w:rPr>
          <w:b/>
          <w:szCs w:val="20"/>
        </w:rPr>
      </w:pPr>
      <w:bookmarkStart w:id="15" w:name="_Hlk503262830"/>
      <w:proofErr w:type="spellStart"/>
      <w:r w:rsidRPr="00A7089A">
        <w:rPr>
          <w:b/>
          <w:szCs w:val="20"/>
        </w:rPr>
        <w:t>Gilomas</w:t>
      </w:r>
      <w:proofErr w:type="spellEnd"/>
    </w:p>
    <w:bookmarkEnd w:id="15"/>
    <w:p w14:paraId="4546A2A1" w14:textId="77777777" w:rsidR="00A7089A" w:rsidRPr="00A7089A" w:rsidRDefault="00A7089A" w:rsidP="00A7089A">
      <w:pPr>
        <w:spacing w:before="0" w:after="0"/>
        <w:rPr>
          <w:szCs w:val="20"/>
        </w:rPr>
      </w:pPr>
      <w:r w:rsidRPr="00A7089A">
        <w:rPr>
          <w:szCs w:val="20"/>
        </w:rPr>
        <w:t>In brain cancer, the Haarlem guidelines highlight that integration of specific molecular aberrations results in a more precise diagnosis and are the basis of the WHO 2016 update on classification of CNS. Patient management, including chemotherapy and radiotherapy choices, are based on the WHO classification, and hence molecular information will be essential in providing accurate diagnoses. This is particularly important in young patients, where timing and dosage of treatment (based on tumour type) impacts on the significant cognitive morbidity associated with treating the brain.</w:t>
      </w:r>
    </w:p>
    <w:p w14:paraId="51F7E7E1" w14:textId="41D9CE55" w:rsidR="00781C8D" w:rsidRPr="00A7089A" w:rsidRDefault="00A7089A" w:rsidP="00A7089A">
      <w:pPr>
        <w:spacing w:before="0" w:after="0"/>
        <w:rPr>
          <w:szCs w:val="20"/>
        </w:rPr>
      </w:pPr>
      <w:r w:rsidRPr="00A7089A">
        <w:rPr>
          <w:szCs w:val="20"/>
        </w:rPr>
        <w:t>Detection of chromosome 1p/19q co-deletion is not the only molecular test which is appropriate and currently utilised for investigation of brain tumours, but is a baseline investigation required for classification of gliomas.</w:t>
      </w:r>
    </w:p>
    <w:p w14:paraId="45BD0627" w14:textId="77777777" w:rsidR="00A7089A" w:rsidRPr="00A7089A" w:rsidRDefault="00A7089A" w:rsidP="00A7089A">
      <w:pPr>
        <w:pStyle w:val="Heading1"/>
        <w:spacing w:after="0" w:line="240" w:lineRule="auto"/>
        <w:rPr>
          <w:b/>
          <w:color w:val="auto"/>
          <w:sz w:val="20"/>
          <w:szCs w:val="20"/>
        </w:rPr>
      </w:pPr>
      <w:bookmarkStart w:id="16" w:name="_Hlk503262868"/>
      <w:r w:rsidRPr="00A7089A">
        <w:rPr>
          <w:b/>
          <w:color w:val="auto"/>
          <w:sz w:val="20"/>
          <w:szCs w:val="20"/>
        </w:rPr>
        <w:lastRenderedPageBreak/>
        <w:t>Glioblastomas</w:t>
      </w:r>
    </w:p>
    <w:bookmarkEnd w:id="16"/>
    <w:p w14:paraId="2C6E260A" w14:textId="77777777" w:rsidR="00A7089A" w:rsidRPr="00A7089A" w:rsidRDefault="00A7089A" w:rsidP="00A7089A">
      <w:pPr>
        <w:spacing w:before="0" w:after="0"/>
        <w:rPr>
          <w:szCs w:val="20"/>
        </w:rPr>
      </w:pPr>
      <w:r w:rsidRPr="00A7089A">
        <w:rPr>
          <w:szCs w:val="20"/>
        </w:rPr>
        <w:t>In brain cancer, the Haarlem guidelines highlight that integration of specific molecular aberrations results in a more precise diagnosis and are the basis of the WHO 2016 update on classification of CNS. Patient management, including chemotherapy and radiotherapy choices, are based on the WHO classification, and hence molecular information will be essential in providing accurate diagnoses. This is particularly important in young patients, where timing and dosage of treatment (based on tumour type) impacts on the significant cognitive morbidity associated with treating the brain.</w:t>
      </w:r>
    </w:p>
    <w:p w14:paraId="126D4931" w14:textId="77777777" w:rsidR="00A7089A" w:rsidRPr="00A7089A" w:rsidRDefault="00A7089A" w:rsidP="00A7089A">
      <w:pPr>
        <w:pStyle w:val="Heading1"/>
        <w:spacing w:after="0" w:line="240" w:lineRule="auto"/>
        <w:rPr>
          <w:bCs w:val="0"/>
          <w:color w:val="auto"/>
          <w:sz w:val="20"/>
          <w:szCs w:val="20"/>
        </w:rPr>
      </w:pPr>
      <w:r w:rsidRPr="00A7089A">
        <w:rPr>
          <w:bCs w:val="0"/>
          <w:color w:val="auto"/>
          <w:sz w:val="20"/>
          <w:szCs w:val="20"/>
        </w:rPr>
        <w:t>The identification of IDH1/2 mutation and MGMT promoter methylation status are not the only molecular tests which are appropriate and currently utilised for investigation of brain tumours. However, they are critical to the identification of glioblastomas.  Correct tumour classification is necessary for determining prognosis and predicting response to chemo/radiotherapy.</w:t>
      </w:r>
    </w:p>
    <w:p w14:paraId="0109364F" w14:textId="580A97B5" w:rsidR="00A7089A" w:rsidRPr="00A7089A" w:rsidRDefault="00A7089A" w:rsidP="00A7089A">
      <w:pPr>
        <w:pStyle w:val="Heading1"/>
        <w:spacing w:after="0" w:line="240" w:lineRule="auto"/>
        <w:rPr>
          <w:b/>
          <w:color w:val="auto"/>
          <w:sz w:val="20"/>
          <w:szCs w:val="20"/>
        </w:rPr>
      </w:pPr>
      <w:bookmarkStart w:id="17" w:name="_Hlk503262909"/>
      <w:r w:rsidRPr="00A7089A">
        <w:rPr>
          <w:b/>
          <w:color w:val="auto"/>
          <w:sz w:val="20"/>
          <w:szCs w:val="20"/>
        </w:rPr>
        <w:t>Soft Tissue and Bone Tumours</w:t>
      </w:r>
    </w:p>
    <w:bookmarkEnd w:id="17"/>
    <w:p w14:paraId="669E593B" w14:textId="77777777" w:rsidR="00A7089A" w:rsidRPr="00A7089A" w:rsidRDefault="00A7089A" w:rsidP="00A7089A">
      <w:pPr>
        <w:spacing w:before="0" w:after="0"/>
      </w:pPr>
      <w:r w:rsidRPr="00A7089A">
        <w:t xml:space="preserve">These molecular aberrations are particularly characteristic of rare and less common cancers, which have disproportionately higher mortality rates compared to common cancers. Many of these rare cancers occur in younger patients who account for 95% of cancer deaths reported in children </w:t>
      </w:r>
      <w:proofErr w:type="gramStart"/>
      <w:r w:rsidRPr="00A7089A">
        <w:t>under</w:t>
      </w:r>
      <w:proofErr w:type="gramEnd"/>
      <w:r w:rsidRPr="00A7089A">
        <w:t xml:space="preserve"> 15 years. Accurate diagnosis of rare cancers is difficult for nonspecialised pathologists and can result in inappropriate medical management.  Second opinions are recommended to ensure diagnostic accuracy but can introduce delays in the reporting process. Characterisation of pathognomonic genetic abnormalities would expedite the diagnostic process for many rare cancers.</w:t>
      </w:r>
    </w:p>
    <w:p w14:paraId="296ADFFC" w14:textId="63D2273D" w:rsidR="00A7089A" w:rsidRPr="00A7089A" w:rsidRDefault="00A7089A" w:rsidP="00A7089A">
      <w:pPr>
        <w:spacing w:before="0" w:after="0"/>
      </w:pPr>
      <w:r w:rsidRPr="00A7089A">
        <w:t>A recent study on sarcoma diagnosis (GENSARC study Lancet Oncology 2016) showed that the prospective use of molecular analysis for specific gene copy number changes or gene rearrangements resulted in a change in diagnosis in 23% of cases compared to a morphology diagnosis by sarcoma pathology experts. This resulted in a significant change in proposed management in 12% of cases.  These authors concluded that molecular testing should be mandatory for diagnostic accuracy of sarcoma and appropriate clinical management.</w:t>
      </w:r>
    </w:p>
    <w:p w14:paraId="7649E114" w14:textId="36218BAA" w:rsidR="00A7089A" w:rsidRPr="00A7089A" w:rsidRDefault="00A7089A" w:rsidP="00A7089A">
      <w:pPr>
        <w:pStyle w:val="Heading1"/>
        <w:spacing w:after="0" w:line="240" w:lineRule="auto"/>
        <w:rPr>
          <w:color w:val="auto"/>
        </w:rPr>
      </w:pPr>
    </w:p>
    <w:p w14:paraId="3FF7BA9F" w14:textId="77777777" w:rsidR="00C776B1" w:rsidRPr="00C776B1" w:rsidRDefault="003433D1" w:rsidP="00781C8D">
      <w:pPr>
        <w:pStyle w:val="Heading1"/>
      </w:pPr>
      <w:r w:rsidRPr="00A7089A">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AC94420"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76475BA2" w14:textId="4F85CAA5" w:rsidR="006C74B1" w:rsidRPr="00CC1F28" w:rsidRDefault="00A7089A" w:rsidP="00CC1F28">
      <w:pPr>
        <w:spacing w:before="0" w:after="0"/>
        <w:ind w:left="426"/>
        <w:rPr>
          <w:b/>
          <w:szCs w:val="20"/>
        </w:rPr>
      </w:pPr>
      <w:bookmarkStart w:id="18" w:name="_Hlk503263671"/>
      <w:proofErr w:type="spellStart"/>
      <w:r w:rsidRPr="00CC1F28">
        <w:rPr>
          <w:b/>
          <w:szCs w:val="20"/>
        </w:rPr>
        <w:t>Gilomas</w:t>
      </w:r>
      <w:proofErr w:type="spellEnd"/>
    </w:p>
    <w:bookmarkEnd w:id="18"/>
    <w:p w14:paraId="20A8E20F" w14:textId="71C86DF8" w:rsidR="00A7089A" w:rsidRPr="00A7089A" w:rsidRDefault="00A7089A" w:rsidP="00CC1F28">
      <w:pPr>
        <w:spacing w:before="0" w:after="0"/>
        <w:ind w:left="426"/>
        <w:rPr>
          <w:szCs w:val="20"/>
        </w:rPr>
      </w:pPr>
      <w:r w:rsidRPr="00A7089A">
        <w:rPr>
          <w:szCs w:val="20"/>
        </w:rPr>
        <w:t xml:space="preserve">The prevalence of brain cancer in Australia was. 7.7 </w:t>
      </w:r>
      <w:proofErr w:type="gramStart"/>
      <w:r w:rsidRPr="00A7089A">
        <w:rPr>
          <w:szCs w:val="20"/>
        </w:rPr>
        <w:t>per</w:t>
      </w:r>
      <w:proofErr w:type="gramEnd"/>
      <w:r w:rsidRPr="00A7089A">
        <w:rPr>
          <w:szCs w:val="20"/>
        </w:rPr>
        <w:t xml:space="preserve"> 100,000 with 1724 new cases in 2011. Rates of brain cancer increased from 5.6 per 100,000 in 1982 to 7.7 per 100,000 in 2011.  </w:t>
      </w:r>
      <w:proofErr w:type="gramStart"/>
      <w:r w:rsidRPr="00A7089A">
        <w:rPr>
          <w:szCs w:val="20"/>
        </w:rPr>
        <w:t>(AIHW 2015 Australian Cancer Incidence and Mortality Book for Brain cancer).</w:t>
      </w:r>
      <w:proofErr w:type="gramEnd"/>
      <w:r w:rsidRPr="00A7089A">
        <w:rPr>
          <w:szCs w:val="20"/>
        </w:rPr>
        <w:t xml:space="preserve"> </w:t>
      </w:r>
    </w:p>
    <w:p w14:paraId="351E0A9E" w14:textId="132D42B2" w:rsidR="00A7089A" w:rsidRPr="00CC1F28" w:rsidRDefault="00A7089A" w:rsidP="00CC1F28">
      <w:pPr>
        <w:spacing w:before="0" w:after="0"/>
        <w:ind w:left="426"/>
        <w:rPr>
          <w:szCs w:val="20"/>
        </w:rPr>
      </w:pPr>
      <w:r w:rsidRPr="00CC1F28">
        <w:rPr>
          <w:szCs w:val="20"/>
        </w:rPr>
        <w:t>It is estimated that 1855 new cases of brain cancer could be diagnosed in 2017. Approx. 40% of all primary brain tumours are gliomas (Cure Brain Cancer Foundation). Therefore, it is estimated that the population would be 742 new cases per annum.</w:t>
      </w:r>
    </w:p>
    <w:p w14:paraId="37B20C69" w14:textId="77777777" w:rsidR="00CC1F28" w:rsidRDefault="00CC1F28" w:rsidP="00CC1F28">
      <w:pPr>
        <w:pStyle w:val="Heading1"/>
        <w:spacing w:after="0" w:line="240" w:lineRule="auto"/>
        <w:ind w:firstLine="426"/>
        <w:rPr>
          <w:b/>
          <w:color w:val="auto"/>
          <w:sz w:val="20"/>
          <w:szCs w:val="20"/>
        </w:rPr>
      </w:pPr>
      <w:r w:rsidRPr="00CC1F28">
        <w:rPr>
          <w:b/>
          <w:color w:val="auto"/>
          <w:sz w:val="20"/>
          <w:szCs w:val="20"/>
        </w:rPr>
        <w:t>Glioblastomas</w:t>
      </w:r>
    </w:p>
    <w:p w14:paraId="516E93B6" w14:textId="31263AD4" w:rsidR="00CC1F28" w:rsidRPr="00CC1F28" w:rsidRDefault="00CC1F28" w:rsidP="00CC1F28">
      <w:pPr>
        <w:pStyle w:val="Heading1"/>
        <w:tabs>
          <w:tab w:val="left" w:pos="426"/>
        </w:tabs>
        <w:spacing w:after="0" w:line="240" w:lineRule="auto"/>
        <w:ind w:firstLine="426"/>
        <w:rPr>
          <w:b/>
          <w:color w:val="auto"/>
          <w:sz w:val="20"/>
          <w:szCs w:val="20"/>
        </w:rPr>
      </w:pPr>
      <w:r w:rsidRPr="00CC1F28">
        <w:rPr>
          <w:color w:val="auto"/>
          <w:sz w:val="20"/>
          <w:szCs w:val="20"/>
        </w:rPr>
        <w:t xml:space="preserve">The prevalence of brain cancer in Australia was. 7.7 </w:t>
      </w:r>
      <w:proofErr w:type="gramStart"/>
      <w:r w:rsidRPr="00CC1F28">
        <w:rPr>
          <w:color w:val="auto"/>
          <w:sz w:val="20"/>
          <w:szCs w:val="20"/>
        </w:rPr>
        <w:t>per</w:t>
      </w:r>
      <w:proofErr w:type="gramEnd"/>
      <w:r w:rsidRPr="00CC1F28">
        <w:rPr>
          <w:color w:val="auto"/>
          <w:sz w:val="20"/>
          <w:szCs w:val="20"/>
        </w:rPr>
        <w:t xml:space="preserve"> 100,000 with 1724 new cases in 2011. Rates of </w:t>
      </w:r>
      <w:r w:rsidRPr="00CC1F28">
        <w:rPr>
          <w:color w:val="auto"/>
          <w:sz w:val="20"/>
          <w:szCs w:val="20"/>
        </w:rPr>
        <w:tab/>
        <w:t xml:space="preserve">brain cancer increased from 5.6 per 100,000 in 1982 to 7.7 per 100,000 in 2011.  </w:t>
      </w:r>
      <w:proofErr w:type="gramStart"/>
      <w:r w:rsidRPr="00CC1F28">
        <w:rPr>
          <w:color w:val="auto"/>
          <w:sz w:val="20"/>
          <w:szCs w:val="20"/>
        </w:rPr>
        <w:t xml:space="preserve">(AIHW 2015 Australian </w:t>
      </w:r>
      <w:r w:rsidRPr="00CC1F28">
        <w:rPr>
          <w:color w:val="auto"/>
          <w:sz w:val="20"/>
          <w:szCs w:val="20"/>
        </w:rPr>
        <w:tab/>
        <w:t>Cancer Incidence and Mortality Book for Brain cancer).</w:t>
      </w:r>
      <w:proofErr w:type="gramEnd"/>
      <w:r w:rsidRPr="00CC1F28">
        <w:rPr>
          <w:color w:val="auto"/>
          <w:sz w:val="20"/>
          <w:szCs w:val="20"/>
        </w:rPr>
        <w:t xml:space="preserve"> </w:t>
      </w:r>
    </w:p>
    <w:p w14:paraId="1A258742" w14:textId="26B4E1E8" w:rsidR="00CC1F28" w:rsidRPr="00CC1F28" w:rsidRDefault="00CC1F28" w:rsidP="00CC1F28">
      <w:pPr>
        <w:tabs>
          <w:tab w:val="left" w:pos="426"/>
        </w:tabs>
        <w:spacing w:before="0" w:after="0"/>
        <w:ind w:firstLine="426"/>
        <w:rPr>
          <w:szCs w:val="20"/>
        </w:rPr>
      </w:pPr>
      <w:r w:rsidRPr="00CC1F28">
        <w:rPr>
          <w:szCs w:val="20"/>
        </w:rPr>
        <w:t xml:space="preserve">It is estimated that 1855 new cases of brain cancer could be diagnosed in 2017. Approx. 12 to 15% of all </w:t>
      </w:r>
      <w:r>
        <w:rPr>
          <w:szCs w:val="20"/>
        </w:rPr>
        <w:tab/>
      </w:r>
      <w:r w:rsidRPr="00CC1F28">
        <w:rPr>
          <w:szCs w:val="20"/>
        </w:rPr>
        <w:t xml:space="preserve">primary brain tumours are </w:t>
      </w:r>
      <w:proofErr w:type="spellStart"/>
      <w:r w:rsidRPr="00CC1F28">
        <w:rPr>
          <w:szCs w:val="20"/>
        </w:rPr>
        <w:t>gliobastomas</w:t>
      </w:r>
      <w:proofErr w:type="spellEnd"/>
      <w:r w:rsidRPr="00CC1F28">
        <w:rPr>
          <w:szCs w:val="20"/>
        </w:rPr>
        <w:t xml:space="preserve"> (</w:t>
      </w:r>
      <w:hyperlink r:id="rId34" w:history="1">
        <w:r w:rsidRPr="00CC1F28">
          <w:rPr>
            <w:color w:val="0000FF" w:themeColor="hyperlink"/>
            <w:szCs w:val="20"/>
            <w:u w:val="single"/>
          </w:rPr>
          <w:t>Brain Tumour Foundation of Canada</w:t>
        </w:r>
      </w:hyperlink>
      <w:r w:rsidRPr="00CC1F28">
        <w:rPr>
          <w:szCs w:val="20"/>
        </w:rPr>
        <w:t xml:space="preserve">). </w:t>
      </w:r>
    </w:p>
    <w:p w14:paraId="4A64648E" w14:textId="2CC2B629" w:rsidR="00CC1F28" w:rsidRPr="00CC1F28" w:rsidRDefault="00CC1F28" w:rsidP="00CC1F28">
      <w:pPr>
        <w:spacing w:before="0" w:after="0"/>
        <w:ind w:left="426"/>
        <w:rPr>
          <w:szCs w:val="20"/>
        </w:rPr>
      </w:pPr>
      <w:r w:rsidRPr="00CC1F28">
        <w:rPr>
          <w:szCs w:val="20"/>
        </w:rPr>
        <w:t>Therefore, it is estimated that the maximum population would be 275 new cases in 2017.</w:t>
      </w:r>
    </w:p>
    <w:p w14:paraId="1C11120B" w14:textId="6399F3C4" w:rsidR="00CC1F28" w:rsidRPr="00CC1F28" w:rsidRDefault="00CC1F28" w:rsidP="00CC1F28">
      <w:pPr>
        <w:spacing w:before="0" w:after="0"/>
        <w:ind w:left="426"/>
        <w:rPr>
          <w:b/>
          <w:szCs w:val="20"/>
        </w:rPr>
      </w:pPr>
      <w:r w:rsidRPr="00CC1F28">
        <w:rPr>
          <w:b/>
          <w:szCs w:val="20"/>
        </w:rPr>
        <w:t>Soft Tissue and Bone Tumours</w:t>
      </w:r>
    </w:p>
    <w:p w14:paraId="7F451348" w14:textId="64666B79" w:rsidR="00CC1F28" w:rsidRPr="00CC1F28" w:rsidRDefault="00CC1F28" w:rsidP="00CC1F28">
      <w:pPr>
        <w:spacing w:before="0" w:after="0"/>
        <w:ind w:left="426"/>
        <w:rPr>
          <w:szCs w:val="20"/>
        </w:rPr>
      </w:pPr>
      <w:r w:rsidRPr="00CC1F28">
        <w:rPr>
          <w:szCs w:val="20"/>
        </w:rPr>
        <w:t>In Australia, there were 678 new ‘other soft tissue cancers’ cases and 203 new bone cancer cases in 2013 (an age-standardised incidence rate per 100,000 of 2.7 and 0.8 respectively).</w:t>
      </w:r>
    </w:p>
    <w:p w14:paraId="2429946D" w14:textId="4835E36A" w:rsidR="00CC1F28" w:rsidRPr="00CC1F28" w:rsidRDefault="00CC1F28" w:rsidP="00CC1F28">
      <w:pPr>
        <w:spacing w:before="0" w:after="0"/>
        <w:ind w:left="426"/>
        <w:rPr>
          <w:b/>
          <w:i/>
          <w:szCs w:val="20"/>
        </w:rPr>
      </w:pPr>
      <w:r w:rsidRPr="00CC1F28">
        <w:rPr>
          <w:i/>
          <w:szCs w:val="20"/>
        </w:rPr>
        <w:t>(Australian Cancer Incidence and Mortality (ACIM) books 2017)</w:t>
      </w:r>
    </w:p>
    <w:p w14:paraId="2A935827"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71A9A535" w14:textId="25300D22" w:rsidR="00382407" w:rsidRDefault="00CC1F28" w:rsidP="00AE1188">
      <w:pPr>
        <w:ind w:left="426"/>
      </w:pPr>
      <w:r>
        <w:t>Once</w:t>
      </w:r>
    </w:p>
    <w:p w14:paraId="4FEB8E8C" w14:textId="77777777" w:rsidR="00CC1F28" w:rsidRPr="00CC1F28" w:rsidRDefault="00CC1F28" w:rsidP="00CC1F28">
      <w:pPr>
        <w:ind w:left="426"/>
        <w:rPr>
          <w:i/>
        </w:rPr>
      </w:pPr>
      <w:r w:rsidRPr="00CC1F28">
        <w:rPr>
          <w:i/>
        </w:rPr>
        <w:t>Note: not all cancer patients are treated with surgery, some may have multiple surgeries, but most would not have surgery once per year, therefore once per year is a reasonable average estimate.</w:t>
      </w:r>
    </w:p>
    <w:p w14:paraId="1433E8AE"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26720998" w14:textId="32DD33EE" w:rsidR="00382407" w:rsidRPr="00145404" w:rsidRDefault="00145404" w:rsidP="00145404">
      <w:pPr>
        <w:spacing w:before="0" w:after="0"/>
        <w:ind w:left="426"/>
        <w:rPr>
          <w:b/>
          <w:szCs w:val="20"/>
        </w:rPr>
      </w:pPr>
      <w:bookmarkStart w:id="19" w:name="_Hlk503264134"/>
      <w:proofErr w:type="spellStart"/>
      <w:r w:rsidRPr="00145404">
        <w:rPr>
          <w:b/>
          <w:szCs w:val="20"/>
        </w:rPr>
        <w:t>Gilomas</w:t>
      </w:r>
      <w:proofErr w:type="spellEnd"/>
    </w:p>
    <w:p w14:paraId="6B1DF68B" w14:textId="078179F7" w:rsidR="00145404" w:rsidRPr="00145404" w:rsidRDefault="00145404" w:rsidP="00145404">
      <w:pPr>
        <w:spacing w:before="0" w:after="0"/>
        <w:ind w:left="426"/>
        <w:rPr>
          <w:b/>
          <w:szCs w:val="20"/>
        </w:rPr>
      </w:pPr>
      <w:r w:rsidRPr="00145404">
        <w:rPr>
          <w:b/>
          <w:szCs w:val="20"/>
        </w:rPr>
        <w:t>Glioblastomas</w:t>
      </w:r>
    </w:p>
    <w:bookmarkEnd w:id="19"/>
    <w:p w14:paraId="72D3512A" w14:textId="2A55341A" w:rsidR="00145404" w:rsidRPr="00145404" w:rsidRDefault="00145404" w:rsidP="00145404">
      <w:pPr>
        <w:tabs>
          <w:tab w:val="left" w:pos="426"/>
        </w:tabs>
        <w:spacing w:before="0" w:after="0"/>
        <w:rPr>
          <w:szCs w:val="20"/>
        </w:rPr>
      </w:pPr>
      <w:r>
        <w:rPr>
          <w:szCs w:val="20"/>
        </w:rPr>
        <w:tab/>
      </w:r>
      <w:r w:rsidRPr="00145404">
        <w:rPr>
          <w:szCs w:val="20"/>
        </w:rPr>
        <w:t>One</w:t>
      </w:r>
      <w:r>
        <w:rPr>
          <w:szCs w:val="20"/>
        </w:rPr>
        <w:t xml:space="preserve"> each</w:t>
      </w:r>
    </w:p>
    <w:p w14:paraId="0D30ABFC" w14:textId="2FDD9C37" w:rsidR="00145404" w:rsidRPr="00145404" w:rsidRDefault="00145404" w:rsidP="00145404">
      <w:pPr>
        <w:spacing w:before="0" w:after="0"/>
        <w:ind w:left="426"/>
        <w:rPr>
          <w:b/>
          <w:szCs w:val="20"/>
        </w:rPr>
      </w:pPr>
      <w:r w:rsidRPr="00145404">
        <w:rPr>
          <w:szCs w:val="20"/>
        </w:rPr>
        <w:t>A tumour recurrence may require re-testing to determine if the tumour status has changed. Unfortunately, mortality rates in brain cancer are high (1241 deaths in 2012). Therefore, an estimate of one year would be reasonable.</w:t>
      </w:r>
    </w:p>
    <w:p w14:paraId="6B5E921F" w14:textId="77777777" w:rsidR="000E1848" w:rsidRDefault="000E1848" w:rsidP="00145404">
      <w:pPr>
        <w:spacing w:before="0" w:after="0"/>
        <w:ind w:left="426"/>
        <w:rPr>
          <w:b/>
          <w:szCs w:val="20"/>
        </w:rPr>
      </w:pPr>
      <w:bookmarkStart w:id="20" w:name="_Hlk503264159"/>
    </w:p>
    <w:p w14:paraId="2C9CE6F4" w14:textId="7FB8B0AB" w:rsidR="00145404" w:rsidRPr="00145404" w:rsidRDefault="00145404" w:rsidP="00145404">
      <w:pPr>
        <w:spacing w:before="0" w:after="0"/>
        <w:ind w:left="426"/>
        <w:rPr>
          <w:b/>
          <w:szCs w:val="20"/>
        </w:rPr>
      </w:pPr>
      <w:r w:rsidRPr="00145404">
        <w:rPr>
          <w:b/>
          <w:szCs w:val="20"/>
        </w:rPr>
        <w:t>Soft Tissue and Bone Tumours</w:t>
      </w:r>
    </w:p>
    <w:bookmarkEnd w:id="20"/>
    <w:p w14:paraId="677F4264" w14:textId="7D76BFC5" w:rsidR="00145404" w:rsidRPr="00145404" w:rsidRDefault="00145404" w:rsidP="00145404">
      <w:pPr>
        <w:tabs>
          <w:tab w:val="left" w:pos="426"/>
        </w:tabs>
        <w:spacing w:before="0" w:after="0"/>
        <w:rPr>
          <w:szCs w:val="20"/>
        </w:rPr>
      </w:pPr>
      <w:r w:rsidRPr="00145404">
        <w:rPr>
          <w:szCs w:val="20"/>
        </w:rPr>
        <w:tab/>
        <w:t>Five</w:t>
      </w:r>
    </w:p>
    <w:p w14:paraId="1822DB1C" w14:textId="047C8234" w:rsidR="00145404" w:rsidRPr="00145404" w:rsidRDefault="00145404" w:rsidP="00145404">
      <w:pPr>
        <w:tabs>
          <w:tab w:val="left" w:pos="426"/>
        </w:tabs>
        <w:spacing w:before="0" w:after="0"/>
        <w:rPr>
          <w:szCs w:val="20"/>
        </w:rPr>
      </w:pPr>
      <w:r w:rsidRPr="00145404">
        <w:rPr>
          <w:szCs w:val="20"/>
        </w:rPr>
        <w:tab/>
        <w:t xml:space="preserve">Note: not all cancer patients are treated with surgery, some may have multiple surgeries, but most would </w:t>
      </w:r>
      <w:r w:rsidRPr="00145404">
        <w:rPr>
          <w:szCs w:val="20"/>
        </w:rPr>
        <w:tab/>
        <w:t>not have surgery every year for five years therefore five years is a reasonable maximum estimate.</w:t>
      </w:r>
    </w:p>
    <w:p w14:paraId="7FE6D066"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7F2D937" w14:textId="104A588D" w:rsidR="00C3452F" w:rsidRPr="00C3452F" w:rsidRDefault="00C3452F" w:rsidP="00C3452F">
      <w:pPr>
        <w:spacing w:before="0" w:after="0"/>
        <w:ind w:left="425"/>
        <w:rPr>
          <w:szCs w:val="20"/>
        </w:rPr>
      </w:pPr>
      <w:proofErr w:type="spellStart"/>
      <w:r w:rsidRPr="00C3452F">
        <w:rPr>
          <w:szCs w:val="20"/>
        </w:rPr>
        <w:t>Gilomas</w:t>
      </w:r>
      <w:proofErr w:type="spellEnd"/>
      <w:r w:rsidRPr="00C3452F">
        <w:rPr>
          <w:szCs w:val="20"/>
        </w:rPr>
        <w:t xml:space="preserve"> - 742</w:t>
      </w:r>
    </w:p>
    <w:p w14:paraId="5A83E267" w14:textId="1EF6E2D7" w:rsidR="00C3452F" w:rsidRPr="00C3452F" w:rsidRDefault="00C3452F" w:rsidP="00C3452F">
      <w:pPr>
        <w:spacing w:before="0" w:after="0"/>
        <w:ind w:left="425"/>
        <w:rPr>
          <w:szCs w:val="20"/>
        </w:rPr>
      </w:pPr>
      <w:r w:rsidRPr="00C3452F">
        <w:rPr>
          <w:szCs w:val="20"/>
        </w:rPr>
        <w:t>Glioblastomas - 275</w:t>
      </w:r>
    </w:p>
    <w:p w14:paraId="550F5A7A" w14:textId="19F97398" w:rsidR="00C3452F" w:rsidRPr="00C3452F" w:rsidRDefault="00C3452F" w:rsidP="00C3452F">
      <w:pPr>
        <w:spacing w:before="0" w:after="0"/>
        <w:ind w:left="425"/>
        <w:rPr>
          <w:szCs w:val="20"/>
        </w:rPr>
      </w:pPr>
      <w:bookmarkStart w:id="21" w:name="_Hlk503264828"/>
      <w:r w:rsidRPr="00C3452F">
        <w:rPr>
          <w:szCs w:val="20"/>
        </w:rPr>
        <w:t xml:space="preserve">Soft Tissue and Bone Tumours </w:t>
      </w:r>
      <w:bookmarkEnd w:id="21"/>
      <w:r w:rsidRPr="00C3452F">
        <w:rPr>
          <w:szCs w:val="20"/>
        </w:rPr>
        <w:t>- 880</w:t>
      </w:r>
    </w:p>
    <w:p w14:paraId="2CABB753"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1E19243F" w14:textId="77777777" w:rsidR="00C3452F" w:rsidRPr="00145404" w:rsidRDefault="00C3452F" w:rsidP="00C3452F">
      <w:pPr>
        <w:spacing w:before="0" w:after="0"/>
        <w:ind w:left="426"/>
        <w:rPr>
          <w:b/>
          <w:szCs w:val="20"/>
        </w:rPr>
      </w:pPr>
      <w:bookmarkStart w:id="22" w:name="_Hlk503264797"/>
      <w:proofErr w:type="spellStart"/>
      <w:r w:rsidRPr="00145404">
        <w:rPr>
          <w:b/>
          <w:szCs w:val="20"/>
        </w:rPr>
        <w:t>Gilomas</w:t>
      </w:r>
      <w:proofErr w:type="spellEnd"/>
    </w:p>
    <w:p w14:paraId="45904EFE" w14:textId="77777777" w:rsidR="00C3452F" w:rsidRPr="00145404" w:rsidRDefault="00C3452F" w:rsidP="00C3452F">
      <w:pPr>
        <w:spacing w:before="0" w:after="0"/>
        <w:ind w:left="426"/>
        <w:rPr>
          <w:b/>
          <w:szCs w:val="20"/>
        </w:rPr>
      </w:pPr>
      <w:bookmarkStart w:id="23" w:name="_Hlk503264502"/>
      <w:r w:rsidRPr="00145404">
        <w:rPr>
          <w:b/>
          <w:szCs w:val="20"/>
        </w:rPr>
        <w:t>Glioblastomas</w:t>
      </w:r>
    </w:p>
    <w:bookmarkEnd w:id="22"/>
    <w:bookmarkEnd w:id="23"/>
    <w:p w14:paraId="52A4C72A" w14:textId="583736D4" w:rsidR="001B171D" w:rsidRPr="00154B00" w:rsidRDefault="001B171D" w:rsidP="00C3452F">
      <w:pPr>
        <w:spacing w:before="0" w:after="0"/>
        <w:ind w:left="426"/>
        <w:rPr>
          <w:szCs w:val="20"/>
        </w:rPr>
      </w:pPr>
    </w:p>
    <w:p w14:paraId="7B109F4F" w14:textId="5210A0BB" w:rsidR="00C3452F" w:rsidRDefault="00C3452F" w:rsidP="00C3452F">
      <w:pPr>
        <w:spacing w:before="0" w:after="0"/>
        <w:ind w:left="426"/>
        <w:rPr>
          <w:szCs w:val="20"/>
        </w:rPr>
      </w:pPr>
      <w:r w:rsidRPr="00C3452F">
        <w:rPr>
          <w:szCs w:val="20"/>
        </w:rPr>
        <w:t xml:space="preserve">Uptake in the next three years will result in all of the at-risk population receiving testing as part of the initial diagnosis/classification process. </w:t>
      </w:r>
    </w:p>
    <w:p w14:paraId="7A3AFA76" w14:textId="1196E5F6" w:rsidR="00C3452F" w:rsidRPr="00C3452F" w:rsidRDefault="00C3452F" w:rsidP="000E1848">
      <w:pPr>
        <w:spacing w:before="0" w:after="0"/>
        <w:ind w:left="426"/>
        <w:rPr>
          <w:szCs w:val="20"/>
        </w:rPr>
      </w:pPr>
      <w:r w:rsidRPr="00C3452F">
        <w:rPr>
          <w:szCs w:val="20"/>
        </w:rPr>
        <w:t>Rates of brain cancer have risen from 5.6 per 100,000 in 1982 to 7.7 per 100,000 in 2011 (AIHW). Therefore, it is reasonable to estimate a 1% increase per year indicating that the projected number of patients with gliomas would remain at less</w:t>
      </w:r>
      <w:r>
        <w:rPr>
          <w:szCs w:val="20"/>
        </w:rPr>
        <w:t xml:space="preserve"> than 800 in three years’ time whilst </w:t>
      </w:r>
      <w:r w:rsidRPr="00C3452F">
        <w:rPr>
          <w:szCs w:val="20"/>
        </w:rPr>
        <w:t xml:space="preserve">patients with </w:t>
      </w:r>
      <w:r w:rsidR="000E1848">
        <w:t>glioblastomas</w:t>
      </w:r>
      <w:r w:rsidR="000E1848" w:rsidRPr="00C3452F">
        <w:rPr>
          <w:szCs w:val="20"/>
        </w:rPr>
        <w:t xml:space="preserve"> </w:t>
      </w:r>
      <w:r w:rsidRPr="00C3452F">
        <w:rPr>
          <w:szCs w:val="20"/>
        </w:rPr>
        <w:t xml:space="preserve">would remain at less than 300 in three years’ time. </w:t>
      </w:r>
    </w:p>
    <w:p w14:paraId="62F303AB" w14:textId="5D6E6C89" w:rsidR="00C3452F" w:rsidRDefault="00C3452F" w:rsidP="00C3452F">
      <w:pPr>
        <w:spacing w:before="0" w:after="0"/>
        <w:ind w:left="426"/>
        <w:rPr>
          <w:szCs w:val="20"/>
        </w:rPr>
      </w:pPr>
      <w:r w:rsidRPr="00C3452F">
        <w:rPr>
          <w:szCs w:val="20"/>
        </w:rPr>
        <w:t>Leakage to populations not targeted by the service will be constrained by the MBS item number descriptors to ensure testing is applied only where clinically indicated. Leakage to populations not targeted by the service will be constrained by the MBS item number descriptors to ensure testing is applied only where clinically indicated.</w:t>
      </w:r>
    </w:p>
    <w:p w14:paraId="24269EDE" w14:textId="77777777" w:rsidR="00C3452F" w:rsidRPr="00145404" w:rsidRDefault="00C3452F" w:rsidP="00C3452F">
      <w:pPr>
        <w:spacing w:before="0" w:after="0"/>
        <w:ind w:left="426"/>
        <w:rPr>
          <w:b/>
          <w:szCs w:val="20"/>
        </w:rPr>
      </w:pPr>
      <w:r w:rsidRPr="00145404">
        <w:rPr>
          <w:b/>
          <w:szCs w:val="20"/>
        </w:rPr>
        <w:t>Soft Tissue and Bone Tumours</w:t>
      </w:r>
    </w:p>
    <w:p w14:paraId="76D336DC" w14:textId="77777777" w:rsidR="00C3452F" w:rsidRPr="00C3452F" w:rsidRDefault="00C3452F" w:rsidP="00C3452F">
      <w:pPr>
        <w:spacing w:before="0" w:after="0"/>
        <w:ind w:left="426"/>
        <w:rPr>
          <w:szCs w:val="20"/>
        </w:rPr>
      </w:pPr>
      <w:r w:rsidRPr="00C3452F">
        <w:rPr>
          <w:szCs w:val="20"/>
        </w:rPr>
        <w:t xml:space="preserve">Uptake in the next three years will result in all of the at risk population using the test in diagnosis. </w:t>
      </w:r>
    </w:p>
    <w:p w14:paraId="1FEC9A53" w14:textId="77777777" w:rsidR="00C3452F" w:rsidRPr="00C3452F" w:rsidRDefault="00C3452F" w:rsidP="00C3452F">
      <w:pPr>
        <w:spacing w:before="0" w:after="0"/>
        <w:ind w:left="426"/>
        <w:rPr>
          <w:szCs w:val="20"/>
        </w:rPr>
      </w:pPr>
      <w:r w:rsidRPr="00C3452F">
        <w:rPr>
          <w:szCs w:val="20"/>
        </w:rPr>
        <w:t>AIHW statistics indicate that rates of soft tissue and bone cancers are relatively stable. Therefore, the projected number of patients will remain at less than 1000 per year for the next three years.</w:t>
      </w:r>
    </w:p>
    <w:p w14:paraId="16797233" w14:textId="52E91421" w:rsidR="003433D1" w:rsidRDefault="00C3452F" w:rsidP="00C3452F">
      <w:pPr>
        <w:spacing w:before="0" w:after="0"/>
        <w:ind w:left="426"/>
        <w:rPr>
          <w:b/>
          <w:sz w:val="32"/>
          <w:szCs w:val="32"/>
        </w:rPr>
      </w:pPr>
      <w:r w:rsidRPr="00C3452F">
        <w:rPr>
          <w:szCs w:val="20"/>
        </w:rPr>
        <w:t xml:space="preserve">Leakage to populations not targeted by the service would be restricted by the item descriptor. </w:t>
      </w:r>
      <w:r w:rsidR="003433D1">
        <w:rPr>
          <w:b/>
          <w:sz w:val="32"/>
          <w:szCs w:val="32"/>
        </w:rPr>
        <w:br w:type="page"/>
      </w:r>
    </w:p>
    <w:p w14:paraId="4C1EBD22"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524A9A71" w14:textId="14537989" w:rsidR="006A649A"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B6CB64E" w14:textId="584DAEF1" w:rsidR="004F103F" w:rsidRPr="004F103F" w:rsidRDefault="004F103F" w:rsidP="004F103F">
      <w:r>
        <w:tab/>
      </w:r>
    </w:p>
    <w:tbl>
      <w:tblPr>
        <w:tblStyle w:val="TableGrid8"/>
        <w:tblW w:w="0" w:type="auto"/>
        <w:tblInd w:w="279" w:type="dxa"/>
        <w:tblLook w:val="04A0" w:firstRow="1" w:lastRow="0" w:firstColumn="1" w:lastColumn="0" w:noHBand="0" w:noVBand="1"/>
        <w:tblCaption w:val="Table outlining likely costs"/>
        <w:tblDescription w:val="."/>
      </w:tblPr>
      <w:tblGrid>
        <w:gridCol w:w="3472"/>
        <w:gridCol w:w="1299"/>
        <w:gridCol w:w="1862"/>
        <w:gridCol w:w="2104"/>
      </w:tblGrid>
      <w:tr w:rsidR="000E1848" w:rsidRPr="004F103F" w14:paraId="5E602FAC" w14:textId="68F91C4E" w:rsidTr="00FF46CE">
        <w:trPr>
          <w:tblHeader/>
        </w:trPr>
        <w:tc>
          <w:tcPr>
            <w:tcW w:w="3472" w:type="dxa"/>
            <w:tcBorders>
              <w:top w:val="single" w:sz="4" w:space="0" w:color="auto"/>
              <w:left w:val="single" w:sz="4" w:space="0" w:color="auto"/>
              <w:bottom w:val="single" w:sz="4" w:space="0" w:color="auto"/>
              <w:right w:val="single" w:sz="4" w:space="0" w:color="auto"/>
            </w:tcBorders>
          </w:tcPr>
          <w:p w14:paraId="5D3CD637" w14:textId="5B8D0D8B" w:rsidR="000E1848" w:rsidRPr="004F103F" w:rsidRDefault="004F103F" w:rsidP="00CF668D">
            <w:pPr>
              <w:spacing w:before="0" w:after="0"/>
              <w:rPr>
                <w:b/>
                <w:szCs w:val="20"/>
              </w:rPr>
            </w:pPr>
            <w:r w:rsidRPr="004F103F">
              <w:rPr>
                <w:b/>
                <w:szCs w:val="20"/>
              </w:rPr>
              <w:t>Equipment and resources</w:t>
            </w:r>
          </w:p>
        </w:tc>
        <w:tc>
          <w:tcPr>
            <w:tcW w:w="1299" w:type="dxa"/>
            <w:tcBorders>
              <w:top w:val="single" w:sz="4" w:space="0" w:color="auto"/>
              <w:left w:val="single" w:sz="4" w:space="0" w:color="auto"/>
              <w:bottom w:val="single" w:sz="4" w:space="0" w:color="auto"/>
              <w:right w:val="single" w:sz="4" w:space="0" w:color="auto"/>
            </w:tcBorders>
          </w:tcPr>
          <w:p w14:paraId="01F2E5A2" w14:textId="5EE54AA1" w:rsidR="000E1848" w:rsidRPr="004F103F" w:rsidRDefault="000E1848" w:rsidP="00CF668D">
            <w:pPr>
              <w:spacing w:before="0" w:after="0"/>
              <w:ind w:right="341"/>
              <w:jc w:val="right"/>
              <w:rPr>
                <w:b/>
                <w:szCs w:val="20"/>
              </w:rPr>
            </w:pPr>
            <w:proofErr w:type="spellStart"/>
            <w:r w:rsidRPr="004F103F">
              <w:rPr>
                <w:b/>
                <w:szCs w:val="20"/>
              </w:rPr>
              <w:t>Gilomas</w:t>
            </w:r>
            <w:proofErr w:type="spellEnd"/>
          </w:p>
        </w:tc>
        <w:tc>
          <w:tcPr>
            <w:tcW w:w="1862" w:type="dxa"/>
            <w:tcBorders>
              <w:top w:val="single" w:sz="4" w:space="0" w:color="auto"/>
              <w:left w:val="single" w:sz="4" w:space="0" w:color="auto"/>
              <w:bottom w:val="single" w:sz="4" w:space="0" w:color="auto"/>
              <w:right w:val="single" w:sz="4" w:space="0" w:color="auto"/>
            </w:tcBorders>
          </w:tcPr>
          <w:p w14:paraId="37BFD45F" w14:textId="37D12542" w:rsidR="000E1848" w:rsidRPr="004F103F" w:rsidRDefault="000E1848" w:rsidP="00CF668D">
            <w:pPr>
              <w:spacing w:before="0" w:after="0"/>
              <w:ind w:right="341"/>
              <w:jc w:val="right"/>
              <w:rPr>
                <w:b/>
                <w:szCs w:val="20"/>
              </w:rPr>
            </w:pPr>
            <w:r w:rsidRPr="004F103F">
              <w:rPr>
                <w:b/>
                <w:szCs w:val="20"/>
              </w:rPr>
              <w:t>Glioblastomas</w:t>
            </w:r>
          </w:p>
        </w:tc>
        <w:tc>
          <w:tcPr>
            <w:tcW w:w="2104" w:type="dxa"/>
            <w:tcBorders>
              <w:top w:val="single" w:sz="4" w:space="0" w:color="auto"/>
              <w:left w:val="single" w:sz="4" w:space="0" w:color="auto"/>
              <w:bottom w:val="single" w:sz="4" w:space="0" w:color="auto"/>
              <w:right w:val="single" w:sz="4" w:space="0" w:color="auto"/>
            </w:tcBorders>
          </w:tcPr>
          <w:p w14:paraId="554319E6" w14:textId="3FB4E153" w:rsidR="000E1848" w:rsidRPr="004F103F" w:rsidRDefault="000E1848" w:rsidP="00CF668D">
            <w:pPr>
              <w:spacing w:before="0" w:after="0"/>
              <w:ind w:right="341"/>
              <w:jc w:val="right"/>
              <w:rPr>
                <w:b/>
                <w:szCs w:val="20"/>
              </w:rPr>
            </w:pPr>
            <w:r w:rsidRPr="004F103F">
              <w:rPr>
                <w:b/>
                <w:szCs w:val="20"/>
              </w:rPr>
              <w:t>Soft Tissue and Bone Tumours</w:t>
            </w:r>
          </w:p>
        </w:tc>
      </w:tr>
      <w:tr w:rsidR="004F103F" w:rsidRPr="004F103F" w14:paraId="249F6FA3" w14:textId="7C31FBF5" w:rsidTr="004F103F">
        <w:tc>
          <w:tcPr>
            <w:tcW w:w="3472" w:type="dxa"/>
            <w:tcBorders>
              <w:top w:val="single" w:sz="4" w:space="0" w:color="auto"/>
              <w:left w:val="single" w:sz="4" w:space="0" w:color="auto"/>
              <w:bottom w:val="single" w:sz="4" w:space="0" w:color="auto"/>
              <w:right w:val="single" w:sz="4" w:space="0" w:color="auto"/>
            </w:tcBorders>
          </w:tcPr>
          <w:p w14:paraId="5B070A4A" w14:textId="77777777" w:rsidR="004F103F" w:rsidRPr="004F103F" w:rsidRDefault="004F103F" w:rsidP="004F103F">
            <w:pPr>
              <w:spacing w:before="0" w:after="0"/>
              <w:rPr>
                <w:b/>
                <w:szCs w:val="20"/>
              </w:rPr>
            </w:pPr>
            <w:bookmarkStart w:id="24" w:name="_Hlk503345470"/>
            <w:r w:rsidRPr="004F103F">
              <w:rPr>
                <w:szCs w:val="20"/>
              </w:rPr>
              <w:t>FISH kit, probes, reagents, ancillary reagents</w:t>
            </w:r>
          </w:p>
        </w:tc>
        <w:tc>
          <w:tcPr>
            <w:tcW w:w="1299" w:type="dxa"/>
            <w:tcBorders>
              <w:top w:val="single" w:sz="4" w:space="0" w:color="auto"/>
              <w:left w:val="single" w:sz="4" w:space="0" w:color="auto"/>
              <w:bottom w:val="single" w:sz="4" w:space="0" w:color="auto"/>
              <w:right w:val="single" w:sz="4" w:space="0" w:color="auto"/>
            </w:tcBorders>
          </w:tcPr>
          <w:p w14:paraId="3822A84D" w14:textId="77777777" w:rsidR="004F103F" w:rsidRPr="004F103F" w:rsidRDefault="004F103F" w:rsidP="004F103F">
            <w:pPr>
              <w:spacing w:before="0" w:after="0"/>
              <w:ind w:right="341"/>
              <w:jc w:val="right"/>
              <w:rPr>
                <w:b/>
                <w:szCs w:val="20"/>
              </w:rPr>
            </w:pPr>
            <w:r w:rsidRPr="004F103F">
              <w:rPr>
                <w:szCs w:val="20"/>
              </w:rPr>
              <w:t>$350.00</w:t>
            </w:r>
          </w:p>
        </w:tc>
        <w:tc>
          <w:tcPr>
            <w:tcW w:w="1862" w:type="dxa"/>
            <w:tcBorders>
              <w:top w:val="single" w:sz="4" w:space="0" w:color="auto"/>
              <w:left w:val="single" w:sz="4" w:space="0" w:color="auto"/>
              <w:bottom w:val="single" w:sz="4" w:space="0" w:color="auto"/>
              <w:right w:val="single" w:sz="4" w:space="0" w:color="auto"/>
            </w:tcBorders>
          </w:tcPr>
          <w:p w14:paraId="249BE0E3" w14:textId="4FD29740" w:rsidR="004F103F" w:rsidRPr="004F103F" w:rsidRDefault="004F103F" w:rsidP="004F103F">
            <w:pPr>
              <w:spacing w:before="0" w:after="0"/>
              <w:ind w:right="341"/>
              <w:jc w:val="right"/>
              <w:rPr>
                <w:szCs w:val="20"/>
              </w:rPr>
            </w:pPr>
            <w:r w:rsidRPr="004F103F">
              <w:rPr>
                <w:szCs w:val="20"/>
              </w:rPr>
              <w:t>$350.00</w:t>
            </w:r>
          </w:p>
        </w:tc>
        <w:tc>
          <w:tcPr>
            <w:tcW w:w="2104" w:type="dxa"/>
            <w:tcBorders>
              <w:top w:val="single" w:sz="4" w:space="0" w:color="auto"/>
              <w:left w:val="single" w:sz="4" w:space="0" w:color="auto"/>
              <w:bottom w:val="single" w:sz="4" w:space="0" w:color="auto"/>
              <w:right w:val="single" w:sz="4" w:space="0" w:color="auto"/>
            </w:tcBorders>
          </w:tcPr>
          <w:p w14:paraId="0B0F3A1D" w14:textId="7845F06C" w:rsidR="004F103F" w:rsidRPr="004F103F" w:rsidRDefault="004F103F" w:rsidP="004F103F">
            <w:pPr>
              <w:spacing w:before="0" w:after="0"/>
              <w:ind w:right="341"/>
              <w:jc w:val="right"/>
              <w:rPr>
                <w:szCs w:val="20"/>
              </w:rPr>
            </w:pPr>
            <w:r w:rsidRPr="004F103F">
              <w:rPr>
                <w:szCs w:val="20"/>
              </w:rPr>
              <w:t>$450.00</w:t>
            </w:r>
          </w:p>
        </w:tc>
      </w:tr>
      <w:tr w:rsidR="004F103F" w:rsidRPr="004F103F" w14:paraId="5E28D101" w14:textId="62350F40" w:rsidTr="004F103F">
        <w:tc>
          <w:tcPr>
            <w:tcW w:w="3472" w:type="dxa"/>
            <w:tcBorders>
              <w:top w:val="single" w:sz="4" w:space="0" w:color="auto"/>
              <w:left w:val="single" w:sz="4" w:space="0" w:color="auto"/>
              <w:bottom w:val="single" w:sz="4" w:space="0" w:color="auto"/>
              <w:right w:val="single" w:sz="4" w:space="0" w:color="auto"/>
            </w:tcBorders>
          </w:tcPr>
          <w:p w14:paraId="138A75A4" w14:textId="77777777" w:rsidR="004F103F" w:rsidRPr="004F103F" w:rsidRDefault="004F103F" w:rsidP="004F103F">
            <w:pPr>
              <w:spacing w:before="0" w:after="0"/>
              <w:rPr>
                <w:szCs w:val="20"/>
              </w:rPr>
            </w:pPr>
            <w:r w:rsidRPr="004F103F">
              <w:rPr>
                <w:szCs w:val="20"/>
              </w:rPr>
              <w:t>Labour medical (consultant pathologist)</w:t>
            </w:r>
          </w:p>
        </w:tc>
        <w:tc>
          <w:tcPr>
            <w:tcW w:w="1299" w:type="dxa"/>
            <w:tcBorders>
              <w:top w:val="single" w:sz="4" w:space="0" w:color="auto"/>
              <w:left w:val="single" w:sz="4" w:space="0" w:color="auto"/>
              <w:bottom w:val="single" w:sz="4" w:space="0" w:color="auto"/>
              <w:right w:val="single" w:sz="4" w:space="0" w:color="auto"/>
            </w:tcBorders>
          </w:tcPr>
          <w:p w14:paraId="41CFDB9C" w14:textId="77777777" w:rsidR="004F103F" w:rsidRPr="004F103F" w:rsidRDefault="004F103F" w:rsidP="004F103F">
            <w:pPr>
              <w:spacing w:before="0" w:after="0"/>
              <w:ind w:right="341"/>
              <w:jc w:val="right"/>
              <w:rPr>
                <w:szCs w:val="20"/>
              </w:rPr>
            </w:pPr>
            <w:r w:rsidRPr="004F103F">
              <w:rPr>
                <w:szCs w:val="20"/>
              </w:rPr>
              <w:t>$50.00</w:t>
            </w:r>
          </w:p>
        </w:tc>
        <w:tc>
          <w:tcPr>
            <w:tcW w:w="1862" w:type="dxa"/>
            <w:tcBorders>
              <w:top w:val="single" w:sz="4" w:space="0" w:color="auto"/>
              <w:left w:val="single" w:sz="4" w:space="0" w:color="auto"/>
              <w:bottom w:val="single" w:sz="4" w:space="0" w:color="auto"/>
              <w:right w:val="single" w:sz="4" w:space="0" w:color="auto"/>
            </w:tcBorders>
          </w:tcPr>
          <w:p w14:paraId="2896E43E" w14:textId="5D014964" w:rsidR="004F103F" w:rsidRPr="004F103F" w:rsidRDefault="004F103F" w:rsidP="004F103F">
            <w:pPr>
              <w:spacing w:before="0" w:after="0"/>
              <w:ind w:right="341"/>
              <w:jc w:val="right"/>
              <w:rPr>
                <w:szCs w:val="20"/>
              </w:rPr>
            </w:pPr>
            <w:r w:rsidRPr="004F103F">
              <w:rPr>
                <w:szCs w:val="20"/>
              </w:rPr>
              <w:t>$50.00</w:t>
            </w:r>
          </w:p>
        </w:tc>
        <w:tc>
          <w:tcPr>
            <w:tcW w:w="2104" w:type="dxa"/>
            <w:tcBorders>
              <w:top w:val="single" w:sz="4" w:space="0" w:color="auto"/>
              <w:left w:val="single" w:sz="4" w:space="0" w:color="auto"/>
              <w:bottom w:val="single" w:sz="4" w:space="0" w:color="auto"/>
              <w:right w:val="single" w:sz="4" w:space="0" w:color="auto"/>
            </w:tcBorders>
          </w:tcPr>
          <w:p w14:paraId="3FBED7C5" w14:textId="2E255DB7" w:rsidR="004F103F" w:rsidRPr="004F103F" w:rsidRDefault="004F103F" w:rsidP="004F103F">
            <w:pPr>
              <w:spacing w:before="0" w:after="0"/>
              <w:ind w:right="341"/>
              <w:jc w:val="right"/>
              <w:rPr>
                <w:szCs w:val="20"/>
              </w:rPr>
            </w:pPr>
            <w:r w:rsidRPr="004F103F">
              <w:rPr>
                <w:szCs w:val="20"/>
              </w:rPr>
              <w:t>$75.00</w:t>
            </w:r>
          </w:p>
        </w:tc>
      </w:tr>
      <w:tr w:rsidR="004F103F" w:rsidRPr="004F103F" w14:paraId="0F2FD770" w14:textId="176871B7" w:rsidTr="004F103F">
        <w:tc>
          <w:tcPr>
            <w:tcW w:w="3472" w:type="dxa"/>
            <w:tcBorders>
              <w:top w:val="single" w:sz="4" w:space="0" w:color="auto"/>
              <w:left w:val="single" w:sz="4" w:space="0" w:color="auto"/>
              <w:bottom w:val="single" w:sz="4" w:space="0" w:color="auto"/>
              <w:right w:val="single" w:sz="4" w:space="0" w:color="auto"/>
            </w:tcBorders>
          </w:tcPr>
          <w:p w14:paraId="5EE6EB54" w14:textId="77777777" w:rsidR="004F103F" w:rsidRPr="004F103F" w:rsidRDefault="004F103F" w:rsidP="004F103F">
            <w:pPr>
              <w:spacing w:before="0" w:after="0"/>
              <w:rPr>
                <w:szCs w:val="20"/>
              </w:rPr>
            </w:pPr>
            <w:r w:rsidRPr="004F103F">
              <w:rPr>
                <w:szCs w:val="20"/>
              </w:rPr>
              <w:t>Labour scientific</w:t>
            </w:r>
          </w:p>
        </w:tc>
        <w:tc>
          <w:tcPr>
            <w:tcW w:w="1299" w:type="dxa"/>
            <w:tcBorders>
              <w:top w:val="single" w:sz="4" w:space="0" w:color="auto"/>
              <w:left w:val="single" w:sz="4" w:space="0" w:color="auto"/>
              <w:bottom w:val="single" w:sz="4" w:space="0" w:color="auto"/>
              <w:right w:val="single" w:sz="4" w:space="0" w:color="auto"/>
            </w:tcBorders>
          </w:tcPr>
          <w:p w14:paraId="5BDED8CB" w14:textId="77777777" w:rsidR="004F103F" w:rsidRPr="004F103F" w:rsidRDefault="004F103F" w:rsidP="004F103F">
            <w:pPr>
              <w:spacing w:before="0" w:after="0"/>
              <w:ind w:right="341"/>
              <w:jc w:val="right"/>
              <w:rPr>
                <w:szCs w:val="20"/>
              </w:rPr>
            </w:pPr>
            <w:r w:rsidRPr="004F103F">
              <w:rPr>
                <w:szCs w:val="20"/>
              </w:rPr>
              <w:t>$40.00</w:t>
            </w:r>
          </w:p>
        </w:tc>
        <w:tc>
          <w:tcPr>
            <w:tcW w:w="1862" w:type="dxa"/>
            <w:tcBorders>
              <w:top w:val="single" w:sz="4" w:space="0" w:color="auto"/>
              <w:left w:val="single" w:sz="4" w:space="0" w:color="auto"/>
              <w:bottom w:val="single" w:sz="4" w:space="0" w:color="auto"/>
              <w:right w:val="single" w:sz="4" w:space="0" w:color="auto"/>
            </w:tcBorders>
          </w:tcPr>
          <w:p w14:paraId="1CDF4875" w14:textId="156964B0" w:rsidR="004F103F" w:rsidRPr="004F103F" w:rsidRDefault="004F103F" w:rsidP="004F103F">
            <w:pPr>
              <w:spacing w:before="0" w:after="0"/>
              <w:ind w:right="341"/>
              <w:jc w:val="right"/>
              <w:rPr>
                <w:szCs w:val="20"/>
              </w:rPr>
            </w:pPr>
            <w:r w:rsidRPr="004F103F">
              <w:rPr>
                <w:szCs w:val="20"/>
              </w:rPr>
              <w:t>$40.00</w:t>
            </w:r>
          </w:p>
        </w:tc>
        <w:tc>
          <w:tcPr>
            <w:tcW w:w="2104" w:type="dxa"/>
            <w:tcBorders>
              <w:top w:val="single" w:sz="4" w:space="0" w:color="auto"/>
              <w:left w:val="single" w:sz="4" w:space="0" w:color="auto"/>
              <w:bottom w:val="single" w:sz="4" w:space="0" w:color="auto"/>
              <w:right w:val="single" w:sz="4" w:space="0" w:color="auto"/>
            </w:tcBorders>
          </w:tcPr>
          <w:p w14:paraId="3CEB7537" w14:textId="6A890055" w:rsidR="004F103F" w:rsidRPr="004F103F" w:rsidRDefault="004F103F" w:rsidP="004F103F">
            <w:pPr>
              <w:spacing w:before="0" w:after="0"/>
              <w:ind w:right="341"/>
              <w:jc w:val="right"/>
              <w:rPr>
                <w:szCs w:val="20"/>
              </w:rPr>
            </w:pPr>
            <w:r w:rsidRPr="004F103F">
              <w:rPr>
                <w:szCs w:val="20"/>
              </w:rPr>
              <w:t>$60.00</w:t>
            </w:r>
          </w:p>
        </w:tc>
      </w:tr>
      <w:tr w:rsidR="004F103F" w:rsidRPr="004F103F" w14:paraId="2AB3357C" w14:textId="2FFC881D" w:rsidTr="004F103F">
        <w:tc>
          <w:tcPr>
            <w:tcW w:w="3472" w:type="dxa"/>
            <w:tcBorders>
              <w:top w:val="single" w:sz="4" w:space="0" w:color="auto"/>
              <w:left w:val="single" w:sz="4" w:space="0" w:color="auto"/>
              <w:bottom w:val="single" w:sz="4" w:space="0" w:color="auto"/>
              <w:right w:val="single" w:sz="4" w:space="0" w:color="auto"/>
            </w:tcBorders>
          </w:tcPr>
          <w:p w14:paraId="3968A88C" w14:textId="77777777" w:rsidR="004F103F" w:rsidRPr="004F103F" w:rsidRDefault="004F103F" w:rsidP="004F103F">
            <w:pPr>
              <w:spacing w:before="0" w:after="0"/>
              <w:rPr>
                <w:szCs w:val="20"/>
              </w:rPr>
            </w:pPr>
            <w:r w:rsidRPr="004F103F">
              <w:rPr>
                <w:szCs w:val="20"/>
              </w:rPr>
              <w:t>Labour on costs</w:t>
            </w:r>
          </w:p>
        </w:tc>
        <w:tc>
          <w:tcPr>
            <w:tcW w:w="1299" w:type="dxa"/>
            <w:tcBorders>
              <w:top w:val="single" w:sz="4" w:space="0" w:color="auto"/>
              <w:left w:val="single" w:sz="4" w:space="0" w:color="auto"/>
              <w:bottom w:val="single" w:sz="4" w:space="0" w:color="auto"/>
              <w:right w:val="single" w:sz="4" w:space="0" w:color="auto"/>
            </w:tcBorders>
          </w:tcPr>
          <w:p w14:paraId="7F16D9EC" w14:textId="77777777" w:rsidR="004F103F" w:rsidRPr="004F103F" w:rsidRDefault="004F103F" w:rsidP="004F103F">
            <w:pPr>
              <w:spacing w:before="0" w:after="0"/>
              <w:ind w:right="341"/>
              <w:jc w:val="right"/>
              <w:rPr>
                <w:szCs w:val="20"/>
              </w:rPr>
            </w:pPr>
            <w:r w:rsidRPr="004F103F">
              <w:rPr>
                <w:szCs w:val="20"/>
              </w:rPr>
              <w:t>$14.00</w:t>
            </w:r>
          </w:p>
        </w:tc>
        <w:tc>
          <w:tcPr>
            <w:tcW w:w="1862" w:type="dxa"/>
            <w:tcBorders>
              <w:top w:val="single" w:sz="4" w:space="0" w:color="auto"/>
              <w:left w:val="single" w:sz="4" w:space="0" w:color="auto"/>
              <w:bottom w:val="single" w:sz="4" w:space="0" w:color="auto"/>
              <w:right w:val="single" w:sz="4" w:space="0" w:color="auto"/>
            </w:tcBorders>
          </w:tcPr>
          <w:p w14:paraId="05FE7ECE" w14:textId="074861DF" w:rsidR="004F103F" w:rsidRPr="004F103F" w:rsidRDefault="004F103F" w:rsidP="004F103F">
            <w:pPr>
              <w:spacing w:before="0" w:after="0"/>
              <w:ind w:right="341"/>
              <w:jc w:val="right"/>
              <w:rPr>
                <w:szCs w:val="20"/>
              </w:rPr>
            </w:pPr>
            <w:r w:rsidRPr="004F103F">
              <w:rPr>
                <w:szCs w:val="20"/>
              </w:rPr>
              <w:t>$14.00</w:t>
            </w:r>
          </w:p>
        </w:tc>
        <w:tc>
          <w:tcPr>
            <w:tcW w:w="2104" w:type="dxa"/>
            <w:tcBorders>
              <w:top w:val="single" w:sz="4" w:space="0" w:color="auto"/>
              <w:left w:val="single" w:sz="4" w:space="0" w:color="auto"/>
              <w:bottom w:val="single" w:sz="4" w:space="0" w:color="auto"/>
              <w:right w:val="single" w:sz="4" w:space="0" w:color="auto"/>
            </w:tcBorders>
          </w:tcPr>
          <w:p w14:paraId="0F535624" w14:textId="24DEA854" w:rsidR="004F103F" w:rsidRPr="004F103F" w:rsidRDefault="004F103F" w:rsidP="004F103F">
            <w:pPr>
              <w:spacing w:before="0" w:after="0"/>
              <w:ind w:right="341"/>
              <w:jc w:val="right"/>
              <w:rPr>
                <w:szCs w:val="20"/>
              </w:rPr>
            </w:pPr>
            <w:r w:rsidRPr="004F103F">
              <w:rPr>
                <w:szCs w:val="20"/>
              </w:rPr>
              <w:t>$15.00</w:t>
            </w:r>
          </w:p>
        </w:tc>
      </w:tr>
      <w:tr w:rsidR="004F103F" w:rsidRPr="004F103F" w14:paraId="45B1CB13" w14:textId="0B1C6A7D" w:rsidTr="004F103F">
        <w:tc>
          <w:tcPr>
            <w:tcW w:w="3472" w:type="dxa"/>
            <w:tcBorders>
              <w:top w:val="single" w:sz="4" w:space="0" w:color="auto"/>
              <w:left w:val="single" w:sz="4" w:space="0" w:color="auto"/>
              <w:bottom w:val="single" w:sz="4" w:space="0" w:color="auto"/>
              <w:right w:val="single" w:sz="4" w:space="0" w:color="auto"/>
            </w:tcBorders>
          </w:tcPr>
          <w:p w14:paraId="3817AE8A" w14:textId="3CE07C61" w:rsidR="004F103F" w:rsidRPr="004F103F" w:rsidRDefault="004F103F" w:rsidP="004F103F">
            <w:pPr>
              <w:spacing w:before="0" w:after="0"/>
              <w:rPr>
                <w:szCs w:val="20"/>
              </w:rPr>
            </w:pPr>
            <w:r>
              <w:t>Total costs per Test</w:t>
            </w:r>
          </w:p>
        </w:tc>
        <w:tc>
          <w:tcPr>
            <w:tcW w:w="1299" w:type="dxa"/>
            <w:tcBorders>
              <w:top w:val="single" w:sz="4" w:space="0" w:color="auto"/>
              <w:left w:val="single" w:sz="4" w:space="0" w:color="auto"/>
              <w:bottom w:val="single" w:sz="4" w:space="0" w:color="auto"/>
              <w:right w:val="single" w:sz="4" w:space="0" w:color="auto"/>
            </w:tcBorders>
          </w:tcPr>
          <w:p w14:paraId="7F8FAB76" w14:textId="77777777" w:rsidR="004F103F" w:rsidRPr="004F103F" w:rsidRDefault="004F103F" w:rsidP="004F103F">
            <w:pPr>
              <w:spacing w:before="0" w:after="0"/>
              <w:ind w:right="341"/>
              <w:jc w:val="right"/>
              <w:rPr>
                <w:szCs w:val="20"/>
              </w:rPr>
            </w:pPr>
            <w:r w:rsidRPr="004F103F">
              <w:rPr>
                <w:b/>
                <w:szCs w:val="20"/>
              </w:rPr>
              <w:t>$454.00</w:t>
            </w:r>
          </w:p>
        </w:tc>
        <w:tc>
          <w:tcPr>
            <w:tcW w:w="1862" w:type="dxa"/>
            <w:tcBorders>
              <w:top w:val="single" w:sz="4" w:space="0" w:color="auto"/>
              <w:left w:val="single" w:sz="4" w:space="0" w:color="auto"/>
              <w:bottom w:val="single" w:sz="4" w:space="0" w:color="auto"/>
              <w:right w:val="single" w:sz="4" w:space="0" w:color="auto"/>
            </w:tcBorders>
          </w:tcPr>
          <w:p w14:paraId="5C2DF4DB" w14:textId="7EDF68BF" w:rsidR="004F103F" w:rsidRPr="004F103F" w:rsidRDefault="004F103F" w:rsidP="004F103F">
            <w:pPr>
              <w:spacing w:before="0" w:after="0"/>
              <w:ind w:right="341"/>
              <w:jc w:val="right"/>
              <w:rPr>
                <w:b/>
                <w:szCs w:val="20"/>
              </w:rPr>
            </w:pPr>
            <w:r w:rsidRPr="004F103F">
              <w:rPr>
                <w:b/>
                <w:szCs w:val="20"/>
              </w:rPr>
              <w:t>$454.00</w:t>
            </w:r>
          </w:p>
        </w:tc>
        <w:tc>
          <w:tcPr>
            <w:tcW w:w="2104" w:type="dxa"/>
            <w:tcBorders>
              <w:top w:val="single" w:sz="4" w:space="0" w:color="auto"/>
              <w:left w:val="single" w:sz="4" w:space="0" w:color="auto"/>
              <w:bottom w:val="single" w:sz="4" w:space="0" w:color="auto"/>
              <w:right w:val="single" w:sz="4" w:space="0" w:color="auto"/>
            </w:tcBorders>
          </w:tcPr>
          <w:p w14:paraId="6A175F48" w14:textId="0CEC6421" w:rsidR="004F103F" w:rsidRPr="004F103F" w:rsidRDefault="004F103F" w:rsidP="004F103F">
            <w:pPr>
              <w:spacing w:before="0" w:after="0"/>
              <w:ind w:right="341"/>
              <w:jc w:val="right"/>
              <w:rPr>
                <w:b/>
                <w:szCs w:val="20"/>
              </w:rPr>
            </w:pPr>
            <w:r w:rsidRPr="004F103F">
              <w:rPr>
                <w:b/>
                <w:szCs w:val="20"/>
              </w:rPr>
              <w:t>$600.00</w:t>
            </w:r>
          </w:p>
        </w:tc>
      </w:tr>
      <w:bookmarkEnd w:id="24"/>
    </w:tbl>
    <w:p w14:paraId="0D03A072" w14:textId="2652238E" w:rsidR="00CF668D" w:rsidRDefault="00CF668D" w:rsidP="00AE1188">
      <w:pPr>
        <w:ind w:left="426"/>
        <w:rPr>
          <w:szCs w:val="20"/>
        </w:rPr>
      </w:pPr>
    </w:p>
    <w:p w14:paraId="76CA7070"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4F486987" w14:textId="5C3D75A0" w:rsidR="00951933" w:rsidRDefault="00CF668D" w:rsidP="00AE1188">
      <w:pPr>
        <w:ind w:left="426"/>
        <w:rPr>
          <w:b/>
          <w:szCs w:val="20"/>
        </w:rPr>
      </w:pPr>
      <w:r w:rsidRPr="00486AAC">
        <w:rPr>
          <w:szCs w:val="20"/>
        </w:rPr>
        <w:t>7 -10 working days</w:t>
      </w:r>
    </w:p>
    <w:p w14:paraId="28054F2A" w14:textId="6E1A3505"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7E70F759" w14:textId="7CD67434" w:rsidR="00A53259" w:rsidRDefault="00A53259" w:rsidP="00A53259"/>
    <w:tbl>
      <w:tblPr>
        <w:tblW w:w="0" w:type="auto"/>
        <w:tblInd w:w="392" w:type="dxa"/>
        <w:tblCellMar>
          <w:left w:w="0" w:type="dxa"/>
          <w:right w:w="0" w:type="dxa"/>
        </w:tblCellMar>
        <w:tblLook w:val="04A0" w:firstRow="1" w:lastRow="0" w:firstColumn="1" w:lastColumn="0" w:noHBand="0" w:noVBand="1"/>
      </w:tblPr>
      <w:tblGrid>
        <w:gridCol w:w="8850"/>
      </w:tblGrid>
      <w:tr w:rsidR="00A53259" w:rsidRPr="00A53259" w14:paraId="4AA97E2E" w14:textId="77777777" w:rsidTr="00A53259">
        <w:tc>
          <w:tcPr>
            <w:tcW w:w="8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7EAC6C" w14:textId="77777777" w:rsidR="00A53259" w:rsidRPr="00A53259" w:rsidRDefault="00A53259" w:rsidP="00A53259">
            <w:pPr>
              <w:spacing w:before="0" w:after="0"/>
              <w:jc w:val="right"/>
              <w:rPr>
                <w:szCs w:val="20"/>
              </w:rPr>
            </w:pPr>
            <w:r w:rsidRPr="00A53259">
              <w:rPr>
                <w:szCs w:val="20"/>
              </w:rPr>
              <w:t>Category 6 –Genetics P7</w:t>
            </w:r>
          </w:p>
        </w:tc>
      </w:tr>
      <w:tr w:rsidR="00A53259" w:rsidRPr="00A53259" w14:paraId="68E8C61A" w14:textId="77777777" w:rsidTr="004F2E65">
        <w:tc>
          <w:tcPr>
            <w:tcW w:w="8850" w:type="dxa"/>
            <w:tcBorders>
              <w:top w:val="nil"/>
              <w:left w:val="single" w:sz="8" w:space="0" w:color="auto"/>
              <w:bottom w:val="nil"/>
              <w:right w:val="single" w:sz="8" w:space="0" w:color="auto"/>
            </w:tcBorders>
            <w:tcMar>
              <w:top w:w="0" w:type="dxa"/>
              <w:left w:w="108" w:type="dxa"/>
              <w:bottom w:w="0" w:type="dxa"/>
              <w:right w:w="108" w:type="dxa"/>
            </w:tcMar>
            <w:hideMark/>
          </w:tcPr>
          <w:p w14:paraId="5C6C8DE4" w14:textId="77777777" w:rsidR="0031451E" w:rsidRDefault="0031451E" w:rsidP="0031451E">
            <w:pPr>
              <w:spacing w:before="0" w:after="0"/>
            </w:pPr>
            <w:r>
              <w:t>Proposed item descriptor</w:t>
            </w:r>
          </w:p>
          <w:p w14:paraId="4B8C3F8A" w14:textId="66144F37" w:rsidR="0031451E" w:rsidRDefault="0031451E" w:rsidP="0031451E">
            <w:pPr>
              <w:spacing w:before="0" w:after="0"/>
            </w:pPr>
            <w:r>
              <w:t xml:space="preserve">Detection of chromosome co-deletion 1p/19q in the assessment of CNS tumours </w:t>
            </w:r>
            <w:r w:rsidR="008766C0">
              <w:t>(</w:t>
            </w:r>
            <w:r>
              <w:t xml:space="preserve">gliomas </w:t>
            </w:r>
            <w:r w:rsidR="008766C0" w:rsidRPr="008766C0">
              <w:t xml:space="preserve">and </w:t>
            </w:r>
            <w:proofErr w:type="spellStart"/>
            <w:r w:rsidR="008766C0" w:rsidRPr="008766C0">
              <w:t>glioneuronal</w:t>
            </w:r>
            <w:proofErr w:type="spellEnd"/>
            <w:r w:rsidR="008766C0" w:rsidRPr="008766C0">
              <w:t xml:space="preserve"> tumours)</w:t>
            </w:r>
          </w:p>
          <w:p w14:paraId="5E6E778F" w14:textId="77777777" w:rsidR="0031451E" w:rsidRDefault="0031451E" w:rsidP="0031451E">
            <w:pPr>
              <w:spacing w:before="0" w:after="0"/>
            </w:pPr>
            <w:r>
              <w:t>Fee: $454</w:t>
            </w:r>
          </w:p>
          <w:p w14:paraId="4EED8E67" w14:textId="77777777" w:rsidR="0031451E" w:rsidRPr="0031451E" w:rsidRDefault="0031451E" w:rsidP="0031451E">
            <w:pPr>
              <w:spacing w:before="0" w:after="0"/>
              <w:rPr>
                <w:b/>
              </w:rPr>
            </w:pPr>
            <w:r w:rsidRPr="0031451E">
              <w:rPr>
                <w:b/>
              </w:rPr>
              <w:t>OR</w:t>
            </w:r>
          </w:p>
          <w:p w14:paraId="0A7CDD03" w14:textId="77777777" w:rsidR="0031451E" w:rsidRDefault="0031451E" w:rsidP="0031451E">
            <w:pPr>
              <w:spacing w:before="0" w:after="0"/>
            </w:pPr>
            <w:r>
              <w:t>In the assessment of CNS gliomas, identification of:</w:t>
            </w:r>
          </w:p>
          <w:p w14:paraId="73377C86" w14:textId="638D0AE8" w:rsidR="0031451E" w:rsidRDefault="008766C0" w:rsidP="0031451E">
            <w:pPr>
              <w:spacing w:before="0" w:after="0"/>
            </w:pPr>
            <w:r>
              <w:t>•</w:t>
            </w:r>
            <w:r>
              <w:tab/>
              <w:t xml:space="preserve">IDH1/2 mutation status </w:t>
            </w:r>
            <w:r w:rsidR="0031451E">
              <w:t>if IDH</w:t>
            </w:r>
            <w:r>
              <w:t xml:space="preserve">1 </w:t>
            </w:r>
            <w:r w:rsidR="0031451E">
              <w:t xml:space="preserve"> </w:t>
            </w:r>
            <w:r>
              <w:t>(R132H) IHC is negative</w:t>
            </w:r>
            <w:r w:rsidRPr="008766C0">
              <w:t xml:space="preserve"> </w:t>
            </w:r>
            <w:r w:rsidR="0031451E" w:rsidRPr="008766C0">
              <w:rPr>
                <w:b/>
              </w:rPr>
              <w:t xml:space="preserve">AND/OR </w:t>
            </w:r>
          </w:p>
          <w:p w14:paraId="32B128FA" w14:textId="5E37450E" w:rsidR="0031451E" w:rsidRDefault="0031451E" w:rsidP="0031451E">
            <w:pPr>
              <w:spacing w:before="0" w:after="0"/>
            </w:pPr>
            <w:r>
              <w:t>•</w:t>
            </w:r>
            <w:r>
              <w:tab/>
              <w:t xml:space="preserve">MGMT promoter methylation </w:t>
            </w:r>
            <w:r w:rsidR="008766C0">
              <w:t xml:space="preserve">status in the assessment of </w:t>
            </w:r>
            <w:r>
              <w:t xml:space="preserve">glioblastomas.  </w:t>
            </w:r>
          </w:p>
          <w:p w14:paraId="517DC1E1" w14:textId="77777777" w:rsidR="0031451E" w:rsidRDefault="0031451E" w:rsidP="0031451E">
            <w:pPr>
              <w:spacing w:before="0" w:after="0"/>
            </w:pPr>
            <w:r>
              <w:t>Fee: $454 (for each)</w:t>
            </w:r>
          </w:p>
          <w:p w14:paraId="6083C461" w14:textId="77777777" w:rsidR="0031451E" w:rsidRPr="0031451E" w:rsidRDefault="0031451E" w:rsidP="0031451E">
            <w:pPr>
              <w:spacing w:before="0" w:after="0"/>
              <w:rPr>
                <w:b/>
              </w:rPr>
            </w:pPr>
            <w:r w:rsidRPr="0031451E">
              <w:rPr>
                <w:b/>
              </w:rPr>
              <w:t>OR</w:t>
            </w:r>
          </w:p>
          <w:p w14:paraId="3A11AFCE" w14:textId="16B27FE1" w:rsidR="0031451E" w:rsidRDefault="0031451E" w:rsidP="0031451E">
            <w:pPr>
              <w:spacing w:before="0" w:after="0"/>
            </w:pPr>
            <w:r>
              <w:t>In the assessment of Soft Tissue and Bone Tumours, identification of MDM2, FUS, DDIT3, EWSR1</w:t>
            </w:r>
            <w:r w:rsidR="008766C0">
              <w:t>,</w:t>
            </w:r>
            <w:r>
              <w:t xml:space="preserve"> ETV6, NTRK2</w:t>
            </w:r>
            <w:r w:rsidR="008766C0">
              <w:t>,</w:t>
            </w:r>
            <w:r>
              <w:t xml:space="preserve"> COL1A1 and PDGF rearrangement or cop</w:t>
            </w:r>
            <w:bookmarkStart w:id="25" w:name="_GoBack"/>
            <w:bookmarkEnd w:id="25"/>
            <w:r>
              <w:t>y number changes</w:t>
            </w:r>
          </w:p>
          <w:p w14:paraId="2B195FB7" w14:textId="77777777" w:rsidR="00A53259" w:rsidRDefault="0031451E" w:rsidP="0031451E">
            <w:pPr>
              <w:spacing w:before="0" w:after="0"/>
            </w:pPr>
            <w:r>
              <w:t xml:space="preserve">Fee: $1,200 (as a panel) </w:t>
            </w:r>
            <w:r w:rsidRPr="0031451E">
              <w:rPr>
                <w:b/>
              </w:rPr>
              <w:t>OR</w:t>
            </w:r>
            <w:r>
              <w:t xml:space="preserve"> $454 (for each)</w:t>
            </w:r>
          </w:p>
          <w:p w14:paraId="00200EEA" w14:textId="03CEAEED" w:rsidR="006768D0" w:rsidRPr="00A53259" w:rsidRDefault="006768D0" w:rsidP="0031451E">
            <w:pPr>
              <w:spacing w:before="0" w:after="0"/>
            </w:pPr>
          </w:p>
        </w:tc>
      </w:tr>
      <w:tr w:rsidR="004F2E65" w:rsidRPr="00A53259" w14:paraId="734E8B55" w14:textId="77777777" w:rsidTr="004F2E65">
        <w:tc>
          <w:tcPr>
            <w:tcW w:w="8850" w:type="dxa"/>
            <w:tcBorders>
              <w:top w:val="nil"/>
              <w:left w:val="single" w:sz="8" w:space="0" w:color="auto"/>
              <w:bottom w:val="nil"/>
              <w:right w:val="single" w:sz="8" w:space="0" w:color="auto"/>
            </w:tcBorders>
            <w:tcMar>
              <w:top w:w="0" w:type="dxa"/>
              <w:left w:w="108" w:type="dxa"/>
              <w:bottom w:w="0" w:type="dxa"/>
              <w:right w:w="108" w:type="dxa"/>
            </w:tcMar>
          </w:tcPr>
          <w:p w14:paraId="56A782B7" w14:textId="77777777" w:rsidR="004F2E65" w:rsidRDefault="004F2E65" w:rsidP="0031451E">
            <w:pPr>
              <w:spacing w:before="0" w:after="0"/>
            </w:pPr>
          </w:p>
        </w:tc>
      </w:tr>
      <w:tr w:rsidR="004F2E65" w:rsidRPr="00A53259" w14:paraId="105109B1" w14:textId="77777777" w:rsidTr="00A53259">
        <w:tc>
          <w:tcPr>
            <w:tcW w:w="8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10887E" w14:textId="77777777" w:rsidR="004F2E65" w:rsidRDefault="004F2E65" w:rsidP="0031451E">
            <w:pPr>
              <w:spacing w:before="0" w:after="0"/>
            </w:pPr>
          </w:p>
        </w:tc>
      </w:tr>
    </w:tbl>
    <w:p w14:paraId="780B247F" w14:textId="77777777" w:rsidR="004F2E65" w:rsidRDefault="004F2E65" w:rsidP="00A53259">
      <w:pPr>
        <w:sectPr w:rsidR="004F2E65" w:rsidSect="00DD308E">
          <w:pgSz w:w="11906" w:h="16838"/>
          <w:pgMar w:top="1440" w:right="1440" w:bottom="1440" w:left="1440" w:header="708" w:footer="708" w:gutter="0"/>
          <w:cols w:space="708"/>
          <w:docGrid w:linePitch="360"/>
        </w:sectPr>
      </w:pPr>
    </w:p>
    <w:p w14:paraId="54EE93DA" w14:textId="3E9BB97D" w:rsidR="00A53259" w:rsidRDefault="00A53259" w:rsidP="00AE1188">
      <w:pPr>
        <w:pStyle w:val="Heading1"/>
      </w:pPr>
    </w:p>
    <w:p w14:paraId="0C18CB63" w14:textId="1EC05E4E" w:rsidR="00E058F2" w:rsidRPr="00C776B1" w:rsidRDefault="001B5169" w:rsidP="00AE1188">
      <w:pPr>
        <w:pStyle w:val="Heading1"/>
      </w:pPr>
      <w:r>
        <w:t>PART 9</w:t>
      </w:r>
      <w:r w:rsidR="00F93784">
        <w:t xml:space="preserve"> – </w:t>
      </w:r>
      <w:r w:rsidR="00E058F2" w:rsidRPr="00C776B1">
        <w:t>FEEDBACK</w:t>
      </w:r>
    </w:p>
    <w:p w14:paraId="2E3F587A"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4F320D0C" w14:textId="77777777" w:rsidR="00E058F2" w:rsidRPr="00AE1188" w:rsidRDefault="00E058F2" w:rsidP="001B5169">
      <w:pPr>
        <w:pStyle w:val="Heading2"/>
      </w:pPr>
      <w:r w:rsidRPr="00AE1188">
        <w:t>How long did it take to complete the Application Form?</w:t>
      </w:r>
    </w:p>
    <w:p w14:paraId="4E2B5F33"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70EFF932"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4137F2E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F46CE">
        <w:rPr>
          <w:szCs w:val="20"/>
        </w:rPr>
      </w:r>
      <w:r w:rsidR="00FF46CE">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A6EEFAC"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F46CE">
        <w:rPr>
          <w:szCs w:val="20"/>
        </w:rPr>
      </w:r>
      <w:r w:rsidR="00FF46CE">
        <w:rPr>
          <w:szCs w:val="20"/>
        </w:rPr>
        <w:fldChar w:fldCharType="separate"/>
      </w:r>
      <w:r w:rsidRPr="001B29A1">
        <w:rPr>
          <w:szCs w:val="20"/>
        </w:rPr>
        <w:fldChar w:fldCharType="end"/>
      </w:r>
      <w:r w:rsidRPr="001B29A1">
        <w:rPr>
          <w:szCs w:val="20"/>
        </w:rPr>
        <w:t xml:space="preserve"> </w:t>
      </w:r>
      <w:r>
        <w:rPr>
          <w:szCs w:val="20"/>
        </w:rPr>
        <w:t>No</w:t>
      </w:r>
    </w:p>
    <w:p w14:paraId="2CED6C35" w14:textId="77777777" w:rsidR="003D6DE1" w:rsidRPr="00154B00" w:rsidRDefault="00603D04" w:rsidP="001B5169">
      <w:pPr>
        <w:pStyle w:val="Heading2"/>
        <w:numPr>
          <w:ilvl w:val="0"/>
          <w:numId w:val="31"/>
        </w:numPr>
      </w:pPr>
      <w:r>
        <w:t>If no, provide areas of concern:</w:t>
      </w:r>
    </w:p>
    <w:p w14:paraId="2B5CF51D"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2834146E"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710090F5"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F46CE">
        <w:rPr>
          <w:szCs w:val="20"/>
        </w:rPr>
      </w:r>
      <w:r w:rsidR="00FF46CE">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3DC5EE68"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F46CE">
        <w:rPr>
          <w:szCs w:val="20"/>
        </w:rPr>
      </w:r>
      <w:r w:rsidR="00FF46CE">
        <w:rPr>
          <w:szCs w:val="20"/>
        </w:rPr>
        <w:fldChar w:fldCharType="separate"/>
      </w:r>
      <w:r w:rsidRPr="001B29A1">
        <w:rPr>
          <w:szCs w:val="20"/>
        </w:rPr>
        <w:fldChar w:fldCharType="end"/>
      </w:r>
      <w:r w:rsidRPr="001B29A1">
        <w:rPr>
          <w:szCs w:val="20"/>
        </w:rPr>
        <w:t xml:space="preserve"> </w:t>
      </w:r>
      <w:r>
        <w:rPr>
          <w:szCs w:val="20"/>
        </w:rPr>
        <w:t>No</w:t>
      </w:r>
    </w:p>
    <w:p w14:paraId="6D57D8BB" w14:textId="77777777" w:rsidR="003D6DE1" w:rsidRPr="00154B00" w:rsidRDefault="003D6DE1" w:rsidP="001B5169">
      <w:pPr>
        <w:pStyle w:val="Heading2"/>
        <w:numPr>
          <w:ilvl w:val="0"/>
          <w:numId w:val="32"/>
        </w:numPr>
      </w:pPr>
      <w:r>
        <w:t>If no, what areas did you find not to be useful?</w:t>
      </w:r>
    </w:p>
    <w:p w14:paraId="5E226CAD"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69B014AB"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2315CC9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F46CE">
        <w:rPr>
          <w:szCs w:val="20"/>
        </w:rPr>
      </w:r>
      <w:r w:rsidR="00FF46CE">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655DED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F46CE">
        <w:rPr>
          <w:szCs w:val="20"/>
        </w:rPr>
      </w:r>
      <w:r w:rsidR="00FF46CE">
        <w:rPr>
          <w:szCs w:val="20"/>
        </w:rPr>
        <w:fldChar w:fldCharType="separate"/>
      </w:r>
      <w:r w:rsidRPr="001B29A1">
        <w:rPr>
          <w:szCs w:val="20"/>
        </w:rPr>
        <w:fldChar w:fldCharType="end"/>
      </w:r>
      <w:r w:rsidRPr="001B29A1">
        <w:rPr>
          <w:szCs w:val="20"/>
        </w:rPr>
        <w:t xml:space="preserve"> </w:t>
      </w:r>
      <w:r>
        <w:rPr>
          <w:szCs w:val="20"/>
        </w:rPr>
        <w:t>No</w:t>
      </w:r>
    </w:p>
    <w:p w14:paraId="7751F9B3"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1EE538F2" w14:textId="588A1121" w:rsidR="00451840" w:rsidRDefault="00603D04" w:rsidP="00603D04">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3325E7BD" w14:textId="77777777" w:rsidR="00DB17B0" w:rsidRDefault="00DB17B0" w:rsidP="00603D04">
      <w:pPr>
        <w:ind w:left="426"/>
        <w:rPr>
          <w:szCs w:val="20"/>
        </w:rPr>
        <w:sectPr w:rsidR="00DB17B0" w:rsidSect="00DD308E">
          <w:pgSz w:w="11906" w:h="16838"/>
          <w:pgMar w:top="1440" w:right="1440" w:bottom="1440" w:left="1440" w:header="708" w:footer="708" w:gutter="0"/>
          <w:cols w:space="708"/>
          <w:docGrid w:linePitch="360"/>
        </w:sectPr>
      </w:pPr>
    </w:p>
    <w:p w14:paraId="7BF23C19" w14:textId="77777777" w:rsidR="00DB17B0" w:rsidRPr="00DB17B0" w:rsidRDefault="00DB17B0" w:rsidP="00DB17B0">
      <w:pPr>
        <w:ind w:left="426"/>
        <w:rPr>
          <w:szCs w:val="20"/>
        </w:rPr>
      </w:pPr>
      <w:r w:rsidRPr="00DB17B0">
        <w:rPr>
          <w:szCs w:val="20"/>
        </w:rPr>
        <w:lastRenderedPageBreak/>
        <w:t xml:space="preserve">Appendix </w:t>
      </w:r>
      <w:proofErr w:type="gramStart"/>
      <w:r w:rsidRPr="00DB17B0">
        <w:rPr>
          <w:szCs w:val="20"/>
        </w:rPr>
        <w:t>A</w:t>
      </w:r>
      <w:proofErr w:type="gramEnd"/>
      <w:r w:rsidRPr="00DB17B0">
        <w:rPr>
          <w:szCs w:val="20"/>
        </w:rPr>
        <w:t xml:space="preserve"> Flowcharts</w:t>
      </w:r>
    </w:p>
    <w:p w14:paraId="16F89314" w14:textId="7F18847C" w:rsidR="00DB17B0" w:rsidRDefault="00DB17B0" w:rsidP="00DB17B0">
      <w:pPr>
        <w:ind w:left="426"/>
        <w:rPr>
          <w:szCs w:val="20"/>
        </w:rPr>
      </w:pPr>
      <w:r w:rsidRPr="00DB17B0">
        <w:rPr>
          <w:szCs w:val="20"/>
        </w:rPr>
        <w:t>Q26 Clinical pathway before intervention</w:t>
      </w:r>
    </w:p>
    <w:p w14:paraId="56A7EE25" w14:textId="66178BBC" w:rsidR="00DB17B0" w:rsidRPr="00DB17B0" w:rsidRDefault="00C44072" w:rsidP="00DB17B0">
      <w:pPr>
        <w:ind w:left="426"/>
        <w:rPr>
          <w:szCs w:val="20"/>
        </w:rPr>
      </w:pPr>
      <w:r>
        <w:rPr>
          <w:noProof/>
          <w:szCs w:val="20"/>
          <w:lang w:eastAsia="en-AU"/>
        </w:rPr>
        <w:drawing>
          <wp:inline distT="0" distB="0" distL="0" distR="0" wp14:anchorId="6D8B514E" wp14:editId="4F7D340A">
            <wp:extent cx="5257800" cy="3514725"/>
            <wp:effectExtent l="0" t="0" r="0" b="9525"/>
            <wp:docPr id="13" name="Picture 13" descr="Clinical pathway before intervention" title="Clinical pathway before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7800" cy="3514725"/>
                    </a:xfrm>
                    <a:prstGeom prst="rect">
                      <a:avLst/>
                    </a:prstGeom>
                    <a:noFill/>
                    <a:ln>
                      <a:noFill/>
                    </a:ln>
                  </pic:spPr>
                </pic:pic>
              </a:graphicData>
            </a:graphic>
          </wp:inline>
        </w:drawing>
      </w:r>
    </w:p>
    <w:p w14:paraId="71B3A622" w14:textId="77777777" w:rsidR="00DB17B0" w:rsidRDefault="00DB17B0" w:rsidP="00603D04">
      <w:pPr>
        <w:ind w:left="426"/>
        <w:rPr>
          <w:szCs w:val="20"/>
        </w:rPr>
        <w:sectPr w:rsidR="00DB17B0" w:rsidSect="00DB17B0">
          <w:pgSz w:w="16838" w:h="11906" w:orient="landscape"/>
          <w:pgMar w:top="1440" w:right="1440" w:bottom="1440" w:left="1440" w:header="708" w:footer="708" w:gutter="0"/>
          <w:cols w:space="708"/>
          <w:docGrid w:linePitch="360"/>
        </w:sectPr>
      </w:pPr>
    </w:p>
    <w:p w14:paraId="09F8F30C" w14:textId="77777777" w:rsidR="00DB17B0" w:rsidRPr="00DB17B0" w:rsidRDefault="00DB17B0" w:rsidP="00DB17B0">
      <w:pPr>
        <w:ind w:left="426"/>
        <w:rPr>
          <w:szCs w:val="20"/>
        </w:rPr>
      </w:pPr>
      <w:r w:rsidRPr="00DB17B0">
        <w:rPr>
          <w:szCs w:val="20"/>
        </w:rPr>
        <w:lastRenderedPageBreak/>
        <w:t xml:space="preserve">Appendix </w:t>
      </w:r>
      <w:proofErr w:type="gramStart"/>
      <w:r w:rsidRPr="00DB17B0">
        <w:rPr>
          <w:szCs w:val="20"/>
        </w:rPr>
        <w:t>A</w:t>
      </w:r>
      <w:proofErr w:type="gramEnd"/>
      <w:r w:rsidRPr="00DB17B0">
        <w:rPr>
          <w:szCs w:val="20"/>
        </w:rPr>
        <w:t xml:space="preserve"> Flowcharts</w:t>
      </w:r>
    </w:p>
    <w:p w14:paraId="2E90C9AF" w14:textId="380F1356" w:rsidR="00DB17B0" w:rsidRDefault="00DB17B0" w:rsidP="00DB17B0">
      <w:pPr>
        <w:ind w:left="426"/>
        <w:rPr>
          <w:szCs w:val="20"/>
        </w:rPr>
      </w:pPr>
      <w:r w:rsidRPr="00DB17B0">
        <w:rPr>
          <w:szCs w:val="20"/>
        </w:rPr>
        <w:t>Q26 Clinical pathway before intervention</w:t>
      </w:r>
    </w:p>
    <w:p w14:paraId="35659146" w14:textId="60E7AB6A" w:rsidR="00E20B7F" w:rsidRDefault="00E20B7F" w:rsidP="00DB17B0">
      <w:pPr>
        <w:ind w:left="426"/>
        <w:rPr>
          <w:szCs w:val="20"/>
        </w:rPr>
      </w:pPr>
      <w:r>
        <w:rPr>
          <w:noProof/>
          <w:szCs w:val="20"/>
          <w:lang w:eastAsia="en-AU"/>
        </w:rPr>
        <w:drawing>
          <wp:inline distT="0" distB="0" distL="0" distR="0" wp14:anchorId="4DDCB547" wp14:editId="26480DA1">
            <wp:extent cx="5210175" cy="4781550"/>
            <wp:effectExtent l="0" t="0" r="9525" b="0"/>
            <wp:docPr id="26" name="Picture 26" descr="Clinical pathway before intervention" title="Clinical pathway before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10175" cy="4781550"/>
                    </a:xfrm>
                    <a:prstGeom prst="rect">
                      <a:avLst/>
                    </a:prstGeom>
                    <a:noFill/>
                    <a:ln>
                      <a:noFill/>
                    </a:ln>
                  </pic:spPr>
                </pic:pic>
              </a:graphicData>
            </a:graphic>
          </wp:inline>
        </w:drawing>
      </w:r>
    </w:p>
    <w:p w14:paraId="0FE64ECB" w14:textId="77777777" w:rsidR="00DB17B0" w:rsidRDefault="00DB17B0" w:rsidP="00DB17B0">
      <w:pPr>
        <w:ind w:left="426"/>
        <w:rPr>
          <w:szCs w:val="20"/>
        </w:rPr>
        <w:sectPr w:rsidR="00DB17B0" w:rsidSect="00DB17B0">
          <w:pgSz w:w="16838" w:h="11906" w:orient="landscape"/>
          <w:pgMar w:top="1440" w:right="1440" w:bottom="1440" w:left="1440" w:header="708" w:footer="708" w:gutter="0"/>
          <w:cols w:space="708"/>
          <w:docGrid w:linePitch="360"/>
        </w:sectPr>
      </w:pPr>
    </w:p>
    <w:p w14:paraId="62D00429" w14:textId="4ED0C95C" w:rsidR="00DB17B0" w:rsidRDefault="00DB17B0" w:rsidP="00DB17B0">
      <w:pPr>
        <w:spacing w:before="0" w:after="200" w:line="276" w:lineRule="auto"/>
        <w:rPr>
          <w:sz w:val="22"/>
        </w:rPr>
      </w:pPr>
      <w:r w:rsidRPr="00DB17B0">
        <w:rPr>
          <w:sz w:val="22"/>
        </w:rPr>
        <w:lastRenderedPageBreak/>
        <w:t>Q40 Clinical pathway after comparator (current)</w:t>
      </w:r>
    </w:p>
    <w:p w14:paraId="4AAE35E0" w14:textId="0D383B5F" w:rsidR="00E20B7F" w:rsidRDefault="00E20B7F" w:rsidP="00DB17B0">
      <w:pPr>
        <w:spacing w:before="0" w:after="200" w:line="276" w:lineRule="auto"/>
        <w:rPr>
          <w:sz w:val="22"/>
        </w:rPr>
      </w:pPr>
      <w:r>
        <w:rPr>
          <w:noProof/>
          <w:sz w:val="22"/>
          <w:lang w:eastAsia="en-AU"/>
        </w:rPr>
        <w:drawing>
          <wp:inline distT="0" distB="0" distL="0" distR="0" wp14:anchorId="2DE318AB" wp14:editId="3D8F3EEA">
            <wp:extent cx="8858250" cy="4972050"/>
            <wp:effectExtent l="0" t="0" r="0" b="0"/>
            <wp:docPr id="29" name="Picture 29" descr="Clinical pathway after comparator (current)" title="Clinical pathway after comparator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58250" cy="4972050"/>
                    </a:xfrm>
                    <a:prstGeom prst="rect">
                      <a:avLst/>
                    </a:prstGeom>
                    <a:noFill/>
                    <a:ln>
                      <a:noFill/>
                    </a:ln>
                  </pic:spPr>
                </pic:pic>
              </a:graphicData>
            </a:graphic>
          </wp:inline>
        </w:drawing>
      </w:r>
    </w:p>
    <w:p w14:paraId="68E3D854" w14:textId="77777777" w:rsidR="00E20B7F" w:rsidRPr="00DB17B0" w:rsidRDefault="00E20B7F" w:rsidP="00DB17B0">
      <w:pPr>
        <w:spacing w:before="0" w:after="200" w:line="276" w:lineRule="auto"/>
        <w:rPr>
          <w:sz w:val="22"/>
        </w:rPr>
      </w:pPr>
    </w:p>
    <w:p w14:paraId="29E55D90" w14:textId="77777777" w:rsidR="00DB17B0" w:rsidRDefault="00DB17B0" w:rsidP="00DB17B0">
      <w:pPr>
        <w:ind w:left="426"/>
        <w:rPr>
          <w:szCs w:val="20"/>
        </w:rPr>
        <w:sectPr w:rsidR="00DB17B0" w:rsidSect="00DB17B0">
          <w:pgSz w:w="16838" w:h="11906" w:orient="landscape"/>
          <w:pgMar w:top="1440" w:right="1440" w:bottom="1440" w:left="1440" w:header="708" w:footer="708" w:gutter="0"/>
          <w:cols w:space="708"/>
          <w:docGrid w:linePitch="360"/>
        </w:sectPr>
      </w:pPr>
    </w:p>
    <w:p w14:paraId="3C2A607A" w14:textId="2A3364B6" w:rsidR="00DB17B0" w:rsidRDefault="00DB17B0" w:rsidP="00DB17B0">
      <w:pPr>
        <w:ind w:left="426"/>
        <w:rPr>
          <w:szCs w:val="20"/>
        </w:rPr>
      </w:pPr>
      <w:r w:rsidRPr="00DB17B0">
        <w:rPr>
          <w:szCs w:val="20"/>
        </w:rPr>
        <w:lastRenderedPageBreak/>
        <w:t>Q40 Clinical pathway after comparator (current)</w:t>
      </w:r>
    </w:p>
    <w:p w14:paraId="43C01141" w14:textId="7C5B46AA" w:rsidR="00C430E3" w:rsidRDefault="004F2E65" w:rsidP="004F2E65">
      <w:pPr>
        <w:ind w:left="426"/>
        <w:rPr>
          <w:szCs w:val="20"/>
        </w:rPr>
      </w:pPr>
      <w:r>
        <w:rPr>
          <w:noProof/>
          <w:szCs w:val="20"/>
          <w:lang w:eastAsia="en-AU"/>
        </w:rPr>
        <w:drawing>
          <wp:inline distT="0" distB="0" distL="0" distR="0" wp14:anchorId="38D6B0A6" wp14:editId="3045A6B4">
            <wp:extent cx="4505325" cy="5354295"/>
            <wp:effectExtent l="0" t="0" r="0" b="0"/>
            <wp:docPr id="30" name="Picture 30" descr="Clinical pathway after comparator (current)" title="Clinical pathway after comparator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10569" cy="5360527"/>
                    </a:xfrm>
                    <a:prstGeom prst="rect">
                      <a:avLst/>
                    </a:prstGeom>
                    <a:noFill/>
                    <a:ln>
                      <a:noFill/>
                    </a:ln>
                  </pic:spPr>
                </pic:pic>
              </a:graphicData>
            </a:graphic>
          </wp:inline>
        </w:drawing>
      </w:r>
    </w:p>
    <w:sectPr w:rsidR="00C430E3" w:rsidSect="00DB17B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C037D" w14:textId="77777777" w:rsidR="00C44072" w:rsidRDefault="00C44072" w:rsidP="00CF2DFA">
      <w:pPr>
        <w:spacing w:after="0"/>
      </w:pPr>
      <w:r>
        <w:separator/>
      </w:r>
    </w:p>
  </w:endnote>
  <w:endnote w:type="continuationSeparator" w:id="0">
    <w:p w14:paraId="29862011" w14:textId="77777777" w:rsidR="00C44072" w:rsidRDefault="00C4407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7E0C05E" w14:textId="7C87AAD0" w:rsidR="00C44072" w:rsidRDefault="00C4407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F46CE" w:rsidRPr="00FF46CE">
          <w:rPr>
            <w:b/>
            <w:bCs/>
            <w:noProof/>
            <w:sz w:val="18"/>
            <w:szCs w:val="18"/>
          </w:rPr>
          <w:t>25</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4440B109" w14:textId="77777777" w:rsidR="00C44072" w:rsidRPr="003F7CB9" w:rsidRDefault="00C4407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DA19C" w14:textId="77777777" w:rsidR="00C44072" w:rsidRDefault="00C44072" w:rsidP="00CF2DFA">
      <w:pPr>
        <w:spacing w:after="0"/>
      </w:pPr>
      <w:r>
        <w:separator/>
      </w:r>
    </w:p>
  </w:footnote>
  <w:footnote w:type="continuationSeparator" w:id="0">
    <w:p w14:paraId="339CEF6D" w14:textId="77777777" w:rsidR="00C44072" w:rsidRDefault="00C44072"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6A089E"/>
    <w:multiLevelType w:val="hybridMultilevel"/>
    <w:tmpl w:val="AFA61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3"/>
  </w:num>
  <w:num w:numId="28">
    <w:abstractNumId w:val="9"/>
  </w:num>
  <w:num w:numId="29">
    <w:abstractNumId w:val="18"/>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1588"/>
    <w:rsid w:val="000110DC"/>
    <w:rsid w:val="000158AA"/>
    <w:rsid w:val="000159B9"/>
    <w:rsid w:val="00016B6E"/>
    <w:rsid w:val="00023E21"/>
    <w:rsid w:val="00025ABC"/>
    <w:rsid w:val="00026412"/>
    <w:rsid w:val="00031F6F"/>
    <w:rsid w:val="00034D6E"/>
    <w:rsid w:val="0005089D"/>
    <w:rsid w:val="000525BC"/>
    <w:rsid w:val="00073222"/>
    <w:rsid w:val="000770BA"/>
    <w:rsid w:val="00092580"/>
    <w:rsid w:val="000955E7"/>
    <w:rsid w:val="000A110D"/>
    <w:rsid w:val="000A478F"/>
    <w:rsid w:val="000A5B32"/>
    <w:rsid w:val="000B3CD0"/>
    <w:rsid w:val="000D066E"/>
    <w:rsid w:val="000D0831"/>
    <w:rsid w:val="000E1848"/>
    <w:rsid w:val="000E47E7"/>
    <w:rsid w:val="000E5439"/>
    <w:rsid w:val="000F2F32"/>
    <w:rsid w:val="00102686"/>
    <w:rsid w:val="0011036E"/>
    <w:rsid w:val="001116A9"/>
    <w:rsid w:val="001130B0"/>
    <w:rsid w:val="0011369B"/>
    <w:rsid w:val="0011742E"/>
    <w:rsid w:val="00123D10"/>
    <w:rsid w:val="00126B33"/>
    <w:rsid w:val="00134A58"/>
    <w:rsid w:val="001366D2"/>
    <w:rsid w:val="00145404"/>
    <w:rsid w:val="00154B00"/>
    <w:rsid w:val="001644E9"/>
    <w:rsid w:val="00174F47"/>
    <w:rsid w:val="00176D82"/>
    <w:rsid w:val="001845D9"/>
    <w:rsid w:val="0018630F"/>
    <w:rsid w:val="001906CD"/>
    <w:rsid w:val="00191B99"/>
    <w:rsid w:val="0019694B"/>
    <w:rsid w:val="00197D29"/>
    <w:rsid w:val="001A02E3"/>
    <w:rsid w:val="001A1ADF"/>
    <w:rsid w:val="001A365C"/>
    <w:rsid w:val="001B171D"/>
    <w:rsid w:val="001B29A1"/>
    <w:rsid w:val="001B344F"/>
    <w:rsid w:val="001B5169"/>
    <w:rsid w:val="001B6164"/>
    <w:rsid w:val="001D0473"/>
    <w:rsid w:val="001D0B8B"/>
    <w:rsid w:val="001D77ED"/>
    <w:rsid w:val="001E1180"/>
    <w:rsid w:val="001E23EA"/>
    <w:rsid w:val="001E6919"/>
    <w:rsid w:val="001E6958"/>
    <w:rsid w:val="00201924"/>
    <w:rsid w:val="00202473"/>
    <w:rsid w:val="002053F2"/>
    <w:rsid w:val="00206D63"/>
    <w:rsid w:val="0021185D"/>
    <w:rsid w:val="00226777"/>
    <w:rsid w:val="00235BD1"/>
    <w:rsid w:val="00242B0E"/>
    <w:rsid w:val="00247DF0"/>
    <w:rsid w:val="00254813"/>
    <w:rsid w:val="00257FF2"/>
    <w:rsid w:val="00265822"/>
    <w:rsid w:val="0027105F"/>
    <w:rsid w:val="002711FB"/>
    <w:rsid w:val="00283318"/>
    <w:rsid w:val="00285525"/>
    <w:rsid w:val="0029063D"/>
    <w:rsid w:val="00294CD8"/>
    <w:rsid w:val="002A270B"/>
    <w:rsid w:val="002A50FD"/>
    <w:rsid w:val="002A6753"/>
    <w:rsid w:val="002B28D7"/>
    <w:rsid w:val="002B5FB6"/>
    <w:rsid w:val="002B7EB6"/>
    <w:rsid w:val="002C0B61"/>
    <w:rsid w:val="002C15E6"/>
    <w:rsid w:val="002C247D"/>
    <w:rsid w:val="002C3345"/>
    <w:rsid w:val="002D409A"/>
    <w:rsid w:val="002E748F"/>
    <w:rsid w:val="002F30E7"/>
    <w:rsid w:val="00300EEB"/>
    <w:rsid w:val="003013A9"/>
    <w:rsid w:val="003020B5"/>
    <w:rsid w:val="003027BB"/>
    <w:rsid w:val="00310A10"/>
    <w:rsid w:val="0031451E"/>
    <w:rsid w:val="00327D25"/>
    <w:rsid w:val="003319A7"/>
    <w:rsid w:val="00334FE3"/>
    <w:rsid w:val="003421AE"/>
    <w:rsid w:val="003433D1"/>
    <w:rsid w:val="00344B24"/>
    <w:rsid w:val="003456B9"/>
    <w:rsid w:val="0035067D"/>
    <w:rsid w:val="00353A16"/>
    <w:rsid w:val="0035776D"/>
    <w:rsid w:val="00364FD9"/>
    <w:rsid w:val="00367C1B"/>
    <w:rsid w:val="00376B61"/>
    <w:rsid w:val="00382407"/>
    <w:rsid w:val="00386A64"/>
    <w:rsid w:val="00386FA1"/>
    <w:rsid w:val="00390142"/>
    <w:rsid w:val="00392F00"/>
    <w:rsid w:val="00393AED"/>
    <w:rsid w:val="00397377"/>
    <w:rsid w:val="003A22DE"/>
    <w:rsid w:val="003A2860"/>
    <w:rsid w:val="003A3C35"/>
    <w:rsid w:val="003A7D30"/>
    <w:rsid w:val="003B3C5C"/>
    <w:rsid w:val="003B5729"/>
    <w:rsid w:val="003C3707"/>
    <w:rsid w:val="003C47CA"/>
    <w:rsid w:val="003D6DE1"/>
    <w:rsid w:val="003D795C"/>
    <w:rsid w:val="003E30FB"/>
    <w:rsid w:val="003F2711"/>
    <w:rsid w:val="003F6C70"/>
    <w:rsid w:val="003F7CB9"/>
    <w:rsid w:val="00403333"/>
    <w:rsid w:val="00411735"/>
    <w:rsid w:val="00415C74"/>
    <w:rsid w:val="00423481"/>
    <w:rsid w:val="0043654D"/>
    <w:rsid w:val="00451840"/>
    <w:rsid w:val="00456FC7"/>
    <w:rsid w:val="00460C9A"/>
    <w:rsid w:val="00464924"/>
    <w:rsid w:val="0047581D"/>
    <w:rsid w:val="00480289"/>
    <w:rsid w:val="00481279"/>
    <w:rsid w:val="00482559"/>
    <w:rsid w:val="00483368"/>
    <w:rsid w:val="00494011"/>
    <w:rsid w:val="004A0BF4"/>
    <w:rsid w:val="004A263B"/>
    <w:rsid w:val="004A6963"/>
    <w:rsid w:val="004B68AE"/>
    <w:rsid w:val="004C0CD9"/>
    <w:rsid w:val="004C35B0"/>
    <w:rsid w:val="004C49EF"/>
    <w:rsid w:val="004C4A19"/>
    <w:rsid w:val="004C5570"/>
    <w:rsid w:val="004D00C9"/>
    <w:rsid w:val="004D657E"/>
    <w:rsid w:val="004E16F5"/>
    <w:rsid w:val="004E3CC7"/>
    <w:rsid w:val="004E5B69"/>
    <w:rsid w:val="004F103F"/>
    <w:rsid w:val="004F2A87"/>
    <w:rsid w:val="004F2E65"/>
    <w:rsid w:val="00504D35"/>
    <w:rsid w:val="00507C56"/>
    <w:rsid w:val="00512231"/>
    <w:rsid w:val="00521D30"/>
    <w:rsid w:val="0052344E"/>
    <w:rsid w:val="00526478"/>
    <w:rsid w:val="00530204"/>
    <w:rsid w:val="00534C5F"/>
    <w:rsid w:val="00540257"/>
    <w:rsid w:val="0054192F"/>
    <w:rsid w:val="00544EB3"/>
    <w:rsid w:val="0054594B"/>
    <w:rsid w:val="0054749B"/>
    <w:rsid w:val="00551CC6"/>
    <w:rsid w:val="00560541"/>
    <w:rsid w:val="005672D0"/>
    <w:rsid w:val="00572CEB"/>
    <w:rsid w:val="005834C9"/>
    <w:rsid w:val="00586FCD"/>
    <w:rsid w:val="005A58BA"/>
    <w:rsid w:val="005A5D30"/>
    <w:rsid w:val="005A6AB9"/>
    <w:rsid w:val="005C333E"/>
    <w:rsid w:val="005C3AE7"/>
    <w:rsid w:val="005D0613"/>
    <w:rsid w:val="005D0677"/>
    <w:rsid w:val="005D6D1B"/>
    <w:rsid w:val="005E294C"/>
    <w:rsid w:val="005E2CE3"/>
    <w:rsid w:val="005F3F07"/>
    <w:rsid w:val="00603D04"/>
    <w:rsid w:val="00606857"/>
    <w:rsid w:val="00615F42"/>
    <w:rsid w:val="006258C2"/>
    <w:rsid w:val="00626365"/>
    <w:rsid w:val="00630E22"/>
    <w:rsid w:val="0064168C"/>
    <w:rsid w:val="00657B46"/>
    <w:rsid w:val="006764EC"/>
    <w:rsid w:val="006768D0"/>
    <w:rsid w:val="006835FE"/>
    <w:rsid w:val="00693BFD"/>
    <w:rsid w:val="00695065"/>
    <w:rsid w:val="006A1038"/>
    <w:rsid w:val="006A38EF"/>
    <w:rsid w:val="006A649A"/>
    <w:rsid w:val="006B1B49"/>
    <w:rsid w:val="006B6390"/>
    <w:rsid w:val="006C0356"/>
    <w:rsid w:val="006C0843"/>
    <w:rsid w:val="006C74B1"/>
    <w:rsid w:val="006E57AA"/>
    <w:rsid w:val="006F20CF"/>
    <w:rsid w:val="006F38ED"/>
    <w:rsid w:val="00707D4D"/>
    <w:rsid w:val="0071569B"/>
    <w:rsid w:val="00723503"/>
    <w:rsid w:val="00730C04"/>
    <w:rsid w:val="0073597B"/>
    <w:rsid w:val="00736D48"/>
    <w:rsid w:val="007378F6"/>
    <w:rsid w:val="0074545D"/>
    <w:rsid w:val="007522E3"/>
    <w:rsid w:val="0075335B"/>
    <w:rsid w:val="00753C44"/>
    <w:rsid w:val="00754383"/>
    <w:rsid w:val="007564D1"/>
    <w:rsid w:val="00757232"/>
    <w:rsid w:val="00757BC6"/>
    <w:rsid w:val="00760679"/>
    <w:rsid w:val="00763628"/>
    <w:rsid w:val="00767E99"/>
    <w:rsid w:val="00771440"/>
    <w:rsid w:val="00772E62"/>
    <w:rsid w:val="0077789B"/>
    <w:rsid w:val="00780D29"/>
    <w:rsid w:val="00781C8D"/>
    <w:rsid w:val="00791C8D"/>
    <w:rsid w:val="00794181"/>
    <w:rsid w:val="007A7F6F"/>
    <w:rsid w:val="007B4C76"/>
    <w:rsid w:val="007C2260"/>
    <w:rsid w:val="007D1E52"/>
    <w:rsid w:val="007D2358"/>
    <w:rsid w:val="007E39E4"/>
    <w:rsid w:val="007E6FB3"/>
    <w:rsid w:val="007F21B4"/>
    <w:rsid w:val="007F4262"/>
    <w:rsid w:val="0080025C"/>
    <w:rsid w:val="00802553"/>
    <w:rsid w:val="00803EAB"/>
    <w:rsid w:val="008046B5"/>
    <w:rsid w:val="008127C0"/>
    <w:rsid w:val="00812EDD"/>
    <w:rsid w:val="008139C5"/>
    <w:rsid w:val="0081650F"/>
    <w:rsid w:val="00832B31"/>
    <w:rsid w:val="008403E0"/>
    <w:rsid w:val="0084657B"/>
    <w:rsid w:val="00855944"/>
    <w:rsid w:val="00861B31"/>
    <w:rsid w:val="00864A18"/>
    <w:rsid w:val="00870833"/>
    <w:rsid w:val="00872E64"/>
    <w:rsid w:val="00874571"/>
    <w:rsid w:val="008766C0"/>
    <w:rsid w:val="00881F93"/>
    <w:rsid w:val="008828DC"/>
    <w:rsid w:val="00882CB5"/>
    <w:rsid w:val="00883641"/>
    <w:rsid w:val="00884E69"/>
    <w:rsid w:val="0088588F"/>
    <w:rsid w:val="00890082"/>
    <w:rsid w:val="008A48D2"/>
    <w:rsid w:val="008B2610"/>
    <w:rsid w:val="008B471D"/>
    <w:rsid w:val="008B49E4"/>
    <w:rsid w:val="008B729C"/>
    <w:rsid w:val="008C4A93"/>
    <w:rsid w:val="008E0E49"/>
    <w:rsid w:val="008E35FD"/>
    <w:rsid w:val="008E6227"/>
    <w:rsid w:val="008E78B9"/>
    <w:rsid w:val="0090543D"/>
    <w:rsid w:val="009056C5"/>
    <w:rsid w:val="009076BB"/>
    <w:rsid w:val="009149BF"/>
    <w:rsid w:val="009262F2"/>
    <w:rsid w:val="00933237"/>
    <w:rsid w:val="00937791"/>
    <w:rsid w:val="00951933"/>
    <w:rsid w:val="00954343"/>
    <w:rsid w:val="00955271"/>
    <w:rsid w:val="00963C9C"/>
    <w:rsid w:val="00965B6B"/>
    <w:rsid w:val="00971EDB"/>
    <w:rsid w:val="00974D50"/>
    <w:rsid w:val="00987ABE"/>
    <w:rsid w:val="00991EE4"/>
    <w:rsid w:val="009939DC"/>
    <w:rsid w:val="00993B9C"/>
    <w:rsid w:val="00995892"/>
    <w:rsid w:val="009B4E1E"/>
    <w:rsid w:val="009C03FB"/>
    <w:rsid w:val="009C4B4F"/>
    <w:rsid w:val="009F0C02"/>
    <w:rsid w:val="009F5758"/>
    <w:rsid w:val="00A0283F"/>
    <w:rsid w:val="00A04F4A"/>
    <w:rsid w:val="00A26343"/>
    <w:rsid w:val="00A31324"/>
    <w:rsid w:val="00A408B5"/>
    <w:rsid w:val="00A469D2"/>
    <w:rsid w:val="00A529E2"/>
    <w:rsid w:val="00A53259"/>
    <w:rsid w:val="00A539F8"/>
    <w:rsid w:val="00A6491A"/>
    <w:rsid w:val="00A6594E"/>
    <w:rsid w:val="00A7089A"/>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2006"/>
    <w:rsid w:val="00B1711E"/>
    <w:rsid w:val="00B17CBE"/>
    <w:rsid w:val="00B17E26"/>
    <w:rsid w:val="00B231A4"/>
    <w:rsid w:val="00B25D20"/>
    <w:rsid w:val="00B31C99"/>
    <w:rsid w:val="00B53BA6"/>
    <w:rsid w:val="00B55F59"/>
    <w:rsid w:val="00B5731D"/>
    <w:rsid w:val="00B6378B"/>
    <w:rsid w:val="00B63E3A"/>
    <w:rsid w:val="00B75965"/>
    <w:rsid w:val="00B771AD"/>
    <w:rsid w:val="00B814CB"/>
    <w:rsid w:val="00B83E18"/>
    <w:rsid w:val="00BA0CF8"/>
    <w:rsid w:val="00BA1ADF"/>
    <w:rsid w:val="00BA51FC"/>
    <w:rsid w:val="00BB003A"/>
    <w:rsid w:val="00BB3358"/>
    <w:rsid w:val="00BB3382"/>
    <w:rsid w:val="00BB3643"/>
    <w:rsid w:val="00BC3DA0"/>
    <w:rsid w:val="00BC424B"/>
    <w:rsid w:val="00BD79EC"/>
    <w:rsid w:val="00BE0FDE"/>
    <w:rsid w:val="00BE535B"/>
    <w:rsid w:val="00BF6AC5"/>
    <w:rsid w:val="00C01121"/>
    <w:rsid w:val="00C030A5"/>
    <w:rsid w:val="00C05A45"/>
    <w:rsid w:val="00C0796F"/>
    <w:rsid w:val="00C11B34"/>
    <w:rsid w:val="00C12C5C"/>
    <w:rsid w:val="00C171FB"/>
    <w:rsid w:val="00C209C2"/>
    <w:rsid w:val="00C2267F"/>
    <w:rsid w:val="00C22AD8"/>
    <w:rsid w:val="00C3452F"/>
    <w:rsid w:val="00C3557E"/>
    <w:rsid w:val="00C3594B"/>
    <w:rsid w:val="00C430E3"/>
    <w:rsid w:val="00C43102"/>
    <w:rsid w:val="00C44072"/>
    <w:rsid w:val="00C4696B"/>
    <w:rsid w:val="00C50513"/>
    <w:rsid w:val="00C54503"/>
    <w:rsid w:val="00C559C5"/>
    <w:rsid w:val="00C57AEC"/>
    <w:rsid w:val="00C63055"/>
    <w:rsid w:val="00C70B7D"/>
    <w:rsid w:val="00C73B62"/>
    <w:rsid w:val="00C776B1"/>
    <w:rsid w:val="00C815FE"/>
    <w:rsid w:val="00C847AE"/>
    <w:rsid w:val="00C847DE"/>
    <w:rsid w:val="00CA04C6"/>
    <w:rsid w:val="00CA26DD"/>
    <w:rsid w:val="00CB12EC"/>
    <w:rsid w:val="00CC09D7"/>
    <w:rsid w:val="00CC12B8"/>
    <w:rsid w:val="00CC1F28"/>
    <w:rsid w:val="00CD22E3"/>
    <w:rsid w:val="00CD4E44"/>
    <w:rsid w:val="00CD5AE4"/>
    <w:rsid w:val="00CD7A7D"/>
    <w:rsid w:val="00CE06C1"/>
    <w:rsid w:val="00CF2D8E"/>
    <w:rsid w:val="00CF2DFA"/>
    <w:rsid w:val="00CF5AD8"/>
    <w:rsid w:val="00CF668D"/>
    <w:rsid w:val="00D00122"/>
    <w:rsid w:val="00D01D2A"/>
    <w:rsid w:val="00D05C68"/>
    <w:rsid w:val="00D10B47"/>
    <w:rsid w:val="00D11EB1"/>
    <w:rsid w:val="00D129D8"/>
    <w:rsid w:val="00D17F17"/>
    <w:rsid w:val="00D23597"/>
    <w:rsid w:val="00D30BDC"/>
    <w:rsid w:val="00D41D7A"/>
    <w:rsid w:val="00D57F88"/>
    <w:rsid w:val="00D7105C"/>
    <w:rsid w:val="00D73646"/>
    <w:rsid w:val="00D777B4"/>
    <w:rsid w:val="00D77A90"/>
    <w:rsid w:val="00D82CC5"/>
    <w:rsid w:val="00D8360B"/>
    <w:rsid w:val="00D85676"/>
    <w:rsid w:val="00D96ADA"/>
    <w:rsid w:val="00DA2886"/>
    <w:rsid w:val="00DA5E50"/>
    <w:rsid w:val="00DA7D0C"/>
    <w:rsid w:val="00DB17B0"/>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0B7F"/>
    <w:rsid w:val="00E23E71"/>
    <w:rsid w:val="00E30F19"/>
    <w:rsid w:val="00E33C4A"/>
    <w:rsid w:val="00E357B9"/>
    <w:rsid w:val="00E4321E"/>
    <w:rsid w:val="00E44B80"/>
    <w:rsid w:val="00E47623"/>
    <w:rsid w:val="00E60529"/>
    <w:rsid w:val="00E70D86"/>
    <w:rsid w:val="00E7628E"/>
    <w:rsid w:val="00E82F54"/>
    <w:rsid w:val="00E84DF1"/>
    <w:rsid w:val="00E8649B"/>
    <w:rsid w:val="00E871CD"/>
    <w:rsid w:val="00E90990"/>
    <w:rsid w:val="00E95D3D"/>
    <w:rsid w:val="00EA0E25"/>
    <w:rsid w:val="00EA173C"/>
    <w:rsid w:val="00EC127A"/>
    <w:rsid w:val="00EC1FF9"/>
    <w:rsid w:val="00EC2737"/>
    <w:rsid w:val="00EC2B83"/>
    <w:rsid w:val="00EE2716"/>
    <w:rsid w:val="00EE6450"/>
    <w:rsid w:val="00F01C2C"/>
    <w:rsid w:val="00F10ED8"/>
    <w:rsid w:val="00F222BE"/>
    <w:rsid w:val="00F24179"/>
    <w:rsid w:val="00F2552D"/>
    <w:rsid w:val="00F301F1"/>
    <w:rsid w:val="00F30C22"/>
    <w:rsid w:val="00F33F1A"/>
    <w:rsid w:val="00F547F7"/>
    <w:rsid w:val="00F54CCF"/>
    <w:rsid w:val="00F61D7A"/>
    <w:rsid w:val="00F637B3"/>
    <w:rsid w:val="00F66CF7"/>
    <w:rsid w:val="00F67BCB"/>
    <w:rsid w:val="00F77C57"/>
    <w:rsid w:val="00F813C7"/>
    <w:rsid w:val="00F83566"/>
    <w:rsid w:val="00F83A9D"/>
    <w:rsid w:val="00F906B5"/>
    <w:rsid w:val="00F91393"/>
    <w:rsid w:val="00F93784"/>
    <w:rsid w:val="00F971CC"/>
    <w:rsid w:val="00FA2CAA"/>
    <w:rsid w:val="00FA3DA1"/>
    <w:rsid w:val="00FA6554"/>
    <w:rsid w:val="00FC3225"/>
    <w:rsid w:val="00FC3699"/>
    <w:rsid w:val="00FE16C1"/>
    <w:rsid w:val="00FE19FF"/>
    <w:rsid w:val="00FE33A6"/>
    <w:rsid w:val="00FE5452"/>
    <w:rsid w:val="00FF46CE"/>
    <w:rsid w:val="00FF59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67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8D"/>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table" w:customStyle="1" w:styleId="TableGrid2">
    <w:name w:val="Table Grid2"/>
    <w:basedOn w:val="TableNormal"/>
    <w:next w:val="TableGrid"/>
    <w:uiPriority w:val="59"/>
    <w:rsid w:val="0086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F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F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F668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C322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C322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3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8D"/>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table" w:customStyle="1" w:styleId="TableGrid2">
    <w:name w:val="Table Grid2"/>
    <w:basedOn w:val="TableNormal"/>
    <w:next w:val="TableGrid"/>
    <w:uiPriority w:val="59"/>
    <w:rsid w:val="0086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F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F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F668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C322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C322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3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79148302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111/bpa.12171/abstract;jsessionid=12633B1EB94E77CA2F1A08BCD9711FD7.f02t02" TargetMode="External"/><Relationship Id="rId18" Type="http://schemas.openxmlformats.org/officeDocument/2006/relationships/hyperlink" Target="https://engonetrca2.blob.core.windows.net/assets/uploads/files/JALMT%202016%20Update%20Report_electronic%20FINAL.pdf" TargetMode="External"/><Relationship Id="rId26" Type="http://schemas.openxmlformats.org/officeDocument/2006/relationships/hyperlink" Target="http://dx.doi.org/10.1016/S1470-2045(15)00583-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ell.com/cancer-cell/abstract/S1535-6108(12)00364-9" TargetMode="External"/><Relationship Id="rId34" Type="http://schemas.openxmlformats.org/officeDocument/2006/relationships/hyperlink" Target="http://www.braintumour.ca/4869/glioblastoma-multiform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linkinghub.elsevier.com/retrieve/pii/S2405-8033(16)30059-0" TargetMode="External"/><Relationship Id="rId25" Type="http://schemas.openxmlformats.org/officeDocument/2006/relationships/hyperlink" Target="http://www.sciencedirect.com/science/article/pii/S1525157816000532" TargetMode="External"/><Relationship Id="rId33" Type="http://schemas.openxmlformats.org/officeDocument/2006/relationships/hyperlink" Target="https://academic.oup.com/annonc/article-lookup/doi/10.1093/annonc/mdu050"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sciencedirect.com/science/article/pii/S2214751916300378" TargetMode="External"/><Relationship Id="rId20" Type="http://schemas.openxmlformats.org/officeDocument/2006/relationships/hyperlink" Target="http://onlinelibrary.wiley.com/doi/10.1111/bpa.12171/abstract;jsessionid=12633B1EB94E77CA2F1A08BCD9711FD7.f02t02" TargetMode="External"/><Relationship Id="rId29" Type="http://schemas.openxmlformats.org/officeDocument/2006/relationships/hyperlink" Target="https://engonetrca2.blob.core.windows.net/assets/uploads/files/JALMT%202016%20Update%20Report_electronic%20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s://engonetrca2.blob.core.windows.net/assets/uploads/files/JALMT%202016%20Update%20Report_electronic%20FINAL.pdf" TargetMode="External"/><Relationship Id="rId32" Type="http://schemas.openxmlformats.org/officeDocument/2006/relationships/hyperlink" Target="https://academic.oup.com/annonc/article-lookup/doi/10.1093/annonc/mdu050"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scopubs.org/doi/abs/10.1200/JCO.2012.43.2229?url_ver=Z39.88-2003&amp;rfr_id=ori:rid:crossref.org&amp;rfr_dat=cr_pub%3dpubmed" TargetMode="External"/><Relationship Id="rId23" Type="http://schemas.openxmlformats.org/officeDocument/2006/relationships/hyperlink" Target="https://linkinghub.elsevier.com/retrieve/pii/S2405-8033(16)30059-0" TargetMode="External"/><Relationship Id="rId28" Type="http://schemas.openxmlformats.org/officeDocument/2006/relationships/hyperlink" Target="http://onlinelibrary.wiley.com/doi/10.1111/his.13031/full" TargetMode="External"/><Relationship Id="rId36" Type="http://schemas.openxmlformats.org/officeDocument/2006/relationships/image" Target="media/image3.png"/><Relationship Id="rId10" Type="http://schemas.openxmlformats.org/officeDocument/2006/relationships/hyperlink" Target="mailto:hta@health.gov.au" TargetMode="External"/><Relationship Id="rId19" Type="http://schemas.openxmlformats.org/officeDocument/2006/relationships/hyperlink" Target="http://www.sciencedirect.com/science/article/pii/S1525157816000532" TargetMode="External"/><Relationship Id="rId31" Type="http://schemas.openxmlformats.org/officeDocument/2006/relationships/hyperlink" Target="http://oncologypro.esmo.org/Education-Library/Factsheets-on-Biomarkers/1p-19q-Co-deletion-in-Gliom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bi.nlm.nih.gov/pubmed/26545048" TargetMode="External"/><Relationship Id="rId22" Type="http://schemas.openxmlformats.org/officeDocument/2006/relationships/hyperlink" Target="http://www.ncbi.nlm.nih.gov/pubmed/26545048" TargetMode="External"/><Relationship Id="rId27" Type="http://schemas.openxmlformats.org/officeDocument/2006/relationships/hyperlink" Target="http://journals.lww.com/anatomicpathology/pages/articleviewer.aspx?year=2016&amp;issue=01000&amp;article=00001&amp;type=abstract" TargetMode="External"/><Relationship Id="rId30" Type="http://schemas.openxmlformats.org/officeDocument/2006/relationships/hyperlink" Target="http://www.sciencedirect.com/science/article/pii/S1525157816000532" TargetMode="Externa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CA43-D04A-4771-8C05-59B881D4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31</Pages>
  <Words>9099</Words>
  <Characters>51865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60843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Faraz Ghazi</cp:lastModifiedBy>
  <cp:revision>17</cp:revision>
  <cp:lastPrinted>2018-01-09T02:15:00Z</cp:lastPrinted>
  <dcterms:created xsi:type="dcterms:W3CDTF">2018-01-17T00:51:00Z</dcterms:created>
  <dcterms:modified xsi:type="dcterms:W3CDTF">2018-02-06T01:41:00Z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