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6FB9" w:rsidRPr="002218C7" w:rsidRDefault="005E7508" w:rsidP="00046FB9">
      <w:pPr>
        <w:pStyle w:val="Maintitle"/>
      </w:pPr>
      <w:r>
        <w:t xml:space="preserve">Cell Enrichment </w:t>
      </w:r>
      <w:r w:rsidR="006B1477">
        <w:t>Liquid-</w:t>
      </w:r>
      <w:r w:rsidR="00FD643C">
        <w:t>Based Cytology</w:t>
      </w:r>
    </w:p>
    <w:p w:rsidR="00FF05EE" w:rsidRDefault="00AC4D2D" w:rsidP="00046FB9">
      <w:pPr>
        <w:pStyle w:val="Mainsub2"/>
      </w:pPr>
      <w:proofErr w:type="gramStart"/>
      <w:r>
        <w:t>i</w:t>
      </w:r>
      <w:r w:rsidR="00C35076">
        <w:t>n</w:t>
      </w:r>
      <w:proofErr w:type="gramEnd"/>
      <w:r w:rsidR="00046FB9">
        <w:t xml:space="preserve"> </w:t>
      </w:r>
      <w:r w:rsidR="00FD643C">
        <w:t>routine screening</w:t>
      </w:r>
      <w:r w:rsidR="00C35076">
        <w:t xml:space="preserve"> for the prevention</w:t>
      </w:r>
      <w:r w:rsidR="00FD643C">
        <w:t xml:space="preserve"> of cervical cancer</w:t>
      </w:r>
    </w:p>
    <w:p w:rsidR="00117A16" w:rsidRDefault="00117A16" w:rsidP="00046FB9">
      <w:pPr>
        <w:pStyle w:val="Mainsub2"/>
      </w:pPr>
    </w:p>
    <w:p w:rsidR="00F77345" w:rsidRDefault="00FF05EE" w:rsidP="00F77345">
      <w:pPr>
        <w:pStyle w:val="Mainsub2"/>
        <w:rPr>
          <w:b/>
          <w:bCs/>
          <w:sz w:val="36"/>
        </w:rPr>
      </w:pPr>
      <w:r w:rsidRPr="00F77345">
        <w:rPr>
          <w:b/>
          <w:bCs/>
          <w:sz w:val="36"/>
        </w:rPr>
        <w:t xml:space="preserve">Submission to </w:t>
      </w:r>
      <w:r w:rsidR="00B65845" w:rsidRPr="00F77345">
        <w:rPr>
          <w:b/>
          <w:bCs/>
          <w:sz w:val="36"/>
        </w:rPr>
        <w:br/>
      </w:r>
      <w:r w:rsidR="00FA5500" w:rsidRPr="00F77345">
        <w:rPr>
          <w:b/>
          <w:bCs/>
          <w:sz w:val="36"/>
        </w:rPr>
        <w:t>MSAC</w:t>
      </w:r>
      <w:r w:rsidR="00F77345" w:rsidRPr="00F77345">
        <w:rPr>
          <w:b/>
          <w:bCs/>
          <w:sz w:val="36"/>
        </w:rPr>
        <w:t xml:space="preserve"> </w:t>
      </w:r>
    </w:p>
    <w:p w:rsidR="00F77345" w:rsidRDefault="00F77345" w:rsidP="00F77345">
      <w:pPr>
        <w:pStyle w:val="Mainsub2"/>
        <w:rPr>
          <w:b/>
          <w:bCs/>
          <w:sz w:val="36"/>
        </w:rPr>
      </w:pPr>
    </w:p>
    <w:p w:rsidR="00F77345" w:rsidRPr="00117A16" w:rsidRDefault="00F77345" w:rsidP="00F77345">
      <w:pPr>
        <w:pStyle w:val="Mainsub2"/>
        <w:rPr>
          <w:b/>
          <w:bCs/>
          <w:sz w:val="36"/>
        </w:rPr>
      </w:pPr>
      <w:r>
        <w:rPr>
          <w:b/>
          <w:bCs/>
          <w:sz w:val="36"/>
        </w:rPr>
        <w:t xml:space="preserve">MSAC </w:t>
      </w:r>
      <w:r w:rsidRPr="00117A16">
        <w:rPr>
          <w:b/>
          <w:bCs/>
          <w:sz w:val="36"/>
        </w:rPr>
        <w:t>Application 11</w:t>
      </w:r>
      <w:r w:rsidR="00FD643C">
        <w:rPr>
          <w:b/>
          <w:bCs/>
          <w:sz w:val="36"/>
        </w:rPr>
        <w:t>57</w:t>
      </w:r>
    </w:p>
    <w:p w:rsidR="00FF05EE" w:rsidRPr="00EF5F58" w:rsidRDefault="00FF05EE" w:rsidP="00046FB9">
      <w:pPr>
        <w:pStyle w:val="Mainsubtitle"/>
      </w:pPr>
    </w:p>
    <w:p w:rsidR="00FF05EE" w:rsidRPr="00EF5F58" w:rsidRDefault="00127975" w:rsidP="00046FB9">
      <w:pPr>
        <w:pStyle w:val="Mainsubtitle"/>
      </w:pPr>
      <w:r>
        <w:t>October</w:t>
      </w:r>
      <w:r w:rsidR="00FF05EE" w:rsidRPr="00EF5F58">
        <w:t xml:space="preserve"> 20</w:t>
      </w:r>
      <w:r w:rsidR="00326E4F">
        <w:t>1</w:t>
      </w:r>
      <w:r w:rsidR="00FA5500">
        <w:t>2</w:t>
      </w:r>
    </w:p>
    <w:p w:rsidR="00FF05EE" w:rsidRPr="00EF5F58" w:rsidRDefault="00B65845" w:rsidP="00046FB9">
      <w:pPr>
        <w:pStyle w:val="Mainsubtitle"/>
      </w:pPr>
      <w:r w:rsidRPr="00EF5F58">
        <w:t>MAIN BODY OF THE SUBMISSION</w:t>
      </w:r>
    </w:p>
    <w:p w:rsidR="00362526" w:rsidRDefault="00362526" w:rsidP="00362526"/>
    <w:p w:rsidR="00046FB9" w:rsidRPr="00560C71" w:rsidRDefault="00046FB9" w:rsidP="00B21043">
      <w:pPr>
        <w:pStyle w:val="Heading50"/>
      </w:pPr>
      <w:r w:rsidRPr="00560C71">
        <w:t>Submission prepared by:</w:t>
      </w:r>
    </w:p>
    <w:p w:rsidR="00362526" w:rsidRPr="00560C71" w:rsidRDefault="001C2E95" w:rsidP="00560C71">
      <w:pPr>
        <w:spacing w:after="0" w:line="240" w:lineRule="auto"/>
      </w:pPr>
      <w:r w:rsidRPr="00560C71">
        <w:t>Becton Dickinson Pty Limited</w:t>
      </w:r>
    </w:p>
    <w:p w:rsidR="00560C71" w:rsidRDefault="00560C71" w:rsidP="00560C71">
      <w:pPr>
        <w:spacing w:after="0" w:line="240" w:lineRule="auto"/>
      </w:pPr>
      <w:r w:rsidRPr="00560C71">
        <w:t xml:space="preserve">4 Research Park Drive, </w:t>
      </w:r>
    </w:p>
    <w:p w:rsidR="00BF722B" w:rsidRPr="00BF722B" w:rsidRDefault="00560C71" w:rsidP="00BF722B">
      <w:pPr>
        <w:spacing w:after="0" w:line="240" w:lineRule="auto"/>
      </w:pPr>
      <w:r w:rsidRPr="00560C71">
        <w:t>N</w:t>
      </w:r>
      <w:r w:rsidR="00F21E06">
        <w:t>orth Ryde, New South Wales 2113</w:t>
      </w:r>
    </w:p>
    <w:p w:rsidR="00BF722B" w:rsidRPr="00BF722B" w:rsidRDefault="00BF722B" w:rsidP="00BF722B">
      <w:pPr>
        <w:spacing w:after="0" w:line="240" w:lineRule="auto"/>
      </w:pPr>
    </w:p>
    <w:p w:rsidR="00BF722B" w:rsidRPr="006A54BE" w:rsidRDefault="00BF722B" w:rsidP="00B21043">
      <w:pPr>
        <w:pStyle w:val="Heading50"/>
        <w:rPr>
          <w:color w:val="000000"/>
        </w:rPr>
        <w:sectPr w:rsidR="00BF722B" w:rsidRPr="006A54BE" w:rsidSect="008846BA">
          <w:headerReference w:type="default" r:id="rId9"/>
          <w:pgSz w:w="11907" w:h="16839" w:code="9"/>
          <w:pgMar w:top="1440" w:right="1440" w:bottom="1440" w:left="1440" w:header="720" w:footer="720" w:gutter="0"/>
          <w:paperSrc w:first="7" w:other="7"/>
          <w:cols w:space="720"/>
          <w:noEndnote/>
          <w:docGrid w:linePitch="299"/>
        </w:sectPr>
      </w:pPr>
    </w:p>
    <w:p w:rsidR="00BF722B" w:rsidRDefault="00BF722B" w:rsidP="00BF722B">
      <w:pPr>
        <w:pStyle w:val="Heading1"/>
        <w:tabs>
          <w:tab w:val="right" w:pos="9027"/>
        </w:tabs>
      </w:pPr>
      <w:bookmarkStart w:id="0" w:name="_Toc335667776"/>
      <w:bookmarkStart w:id="1" w:name="_Toc335735587"/>
      <w:bookmarkStart w:id="2" w:name="_Toc335982475"/>
      <w:bookmarkStart w:id="3" w:name="_Toc336018324"/>
      <w:bookmarkStart w:id="4" w:name="_Toc336189651"/>
      <w:bookmarkStart w:id="5" w:name="_Toc336190190"/>
      <w:bookmarkStart w:id="6" w:name="_Toc161126711"/>
      <w:bookmarkStart w:id="7" w:name="_Toc170017599"/>
      <w:bookmarkStart w:id="8" w:name="_Toc258501752"/>
      <w:bookmarkStart w:id="9" w:name="_Toc337546857"/>
      <w:r>
        <w:lastRenderedPageBreak/>
        <w:t>Executive Summary</w:t>
      </w:r>
      <w:bookmarkEnd w:id="9"/>
    </w:p>
    <w:p w:rsidR="00BF722B" w:rsidRPr="00C62016" w:rsidRDefault="00BF722B" w:rsidP="00BF722B">
      <w:r w:rsidRPr="00C62016">
        <w:t>This application is seeking Medicare Benefits Schedule (MBS) listing of cell enrichment liquid-based cytology (LBC) for cervical cancer screening.</w:t>
      </w:r>
    </w:p>
    <w:p w:rsidR="00BF722B" w:rsidRPr="00C62016" w:rsidRDefault="00BF722B" w:rsidP="00BF722B">
      <w:r w:rsidRPr="00C62016">
        <w:t xml:space="preserve">In Australia, cervical cytology is routinely undertaken using the conventional Papanicolaou (Pap) smear or test (also referred to as conventional cytology, CC, in this document). The cell enrichment LBC test is an alternative method of preparing a Pap test. </w:t>
      </w:r>
    </w:p>
    <w:p w:rsidR="00BF722B" w:rsidRDefault="00BF722B" w:rsidP="00BF722B">
      <w:r w:rsidRPr="00C62016">
        <w:t>The Australian Medical Services Advisory Committee (MSAC) has reviewed LBC for cervical scre</w:t>
      </w:r>
      <w:r w:rsidR="00C13FD9">
        <w:t>ening twice before. The finding</w:t>
      </w:r>
      <w:r w:rsidRPr="00C62016">
        <w:t xml:space="preserve"> of the second review (MSAC 1122 assessment report March </w:t>
      </w:r>
      <w:r>
        <w:t>2009</w:t>
      </w:r>
      <w:r w:rsidRPr="00C62016">
        <w:t xml:space="preserve">) was </w:t>
      </w:r>
      <w:r>
        <w:t>that LBC was “</w:t>
      </w:r>
      <w:r w:rsidRPr="008C3202">
        <w:rPr>
          <w:i/>
        </w:rPr>
        <w:t>safe, at least as effective</w:t>
      </w:r>
      <w:proofErr w:type="gramStart"/>
      <w:r w:rsidRPr="008C3202">
        <w:rPr>
          <w:i/>
        </w:rPr>
        <w:t xml:space="preserve">, </w:t>
      </w:r>
      <w:r>
        <w:rPr>
          <w:i/>
        </w:rPr>
        <w:t xml:space="preserve"> </w:t>
      </w:r>
      <w:r w:rsidRPr="008C3202">
        <w:rPr>
          <w:i/>
        </w:rPr>
        <w:t>not</w:t>
      </w:r>
      <w:proofErr w:type="gramEnd"/>
      <w:r w:rsidRPr="008C3202">
        <w:rPr>
          <w:i/>
        </w:rPr>
        <w:t xml:space="preserve"> cost effective at the price requeste</w:t>
      </w:r>
      <w:r>
        <w:t xml:space="preserve">d”.  The 2009 review was </w:t>
      </w:r>
      <w:r w:rsidRPr="00C62016">
        <w:t xml:space="preserve">not based on randomised controlled trial evidence but rather the best evidence available at the time. The </w:t>
      </w:r>
      <w:r>
        <w:t>detailed conclusion</w:t>
      </w:r>
      <w:r w:rsidRPr="00C62016">
        <w:t xml:space="preserve"> drawn in the review was that LBC compared with conventional cytology was not statistically significantly different with the exception of reduced specificity for the detection of CIN 2+ at a threshold of </w:t>
      </w:r>
      <w:proofErr w:type="gramStart"/>
      <w:r w:rsidRPr="00C62016">
        <w:t>pLSIL,</w:t>
      </w:r>
      <w:proofErr w:type="gramEnd"/>
      <w:r w:rsidRPr="00C62016">
        <w:t xml:space="preserve"> more slides classified as positive for LSIL and reduced rates of unsatisfactory </w:t>
      </w:r>
      <w:r>
        <w:t>tests</w:t>
      </w:r>
      <w:r w:rsidRPr="00C62016">
        <w:t>. The cost-effectiveness ratio was high and unfavourable</w:t>
      </w:r>
      <w:r>
        <w:t xml:space="preserve"> at the price requested.</w:t>
      </w:r>
    </w:p>
    <w:p w:rsidR="00BF722B" w:rsidRDefault="00BF722B" w:rsidP="00BF722B">
      <w:r>
        <w:t>MSAC’s conclusions from the 2009 review were as follows: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tblGrid>
      <w:tr w:rsidR="00BF722B" w:rsidTr="008C3B7A">
        <w:tc>
          <w:tcPr>
            <w:tcW w:w="9004" w:type="dxa"/>
          </w:tcPr>
          <w:p w:rsidR="00BF722B" w:rsidRPr="008C3B7A" w:rsidRDefault="00BF722B" w:rsidP="008C3B7A">
            <w:pPr>
              <w:spacing w:after="0" w:line="240" w:lineRule="auto"/>
              <w:rPr>
                <w:rFonts w:ascii="Arial" w:hAnsi="Arial" w:cs="Arial"/>
                <w:sz w:val="20"/>
                <w:szCs w:val="20"/>
              </w:rPr>
            </w:pPr>
            <w:r w:rsidRPr="008C3B7A">
              <w:rPr>
                <w:rFonts w:ascii="Arial" w:hAnsi="Arial" w:cs="Arial"/>
                <w:sz w:val="20"/>
                <w:szCs w:val="20"/>
              </w:rPr>
              <w:t>“With respect to Liquid Based Cytology (LBC), MSAC finds that in comparison to the Papanicolaou (Pap) test that LBC:</w:t>
            </w:r>
          </w:p>
          <w:p w:rsidR="00BF722B" w:rsidRPr="00453545" w:rsidRDefault="00BF722B" w:rsidP="008C3B7A">
            <w:pPr>
              <w:pStyle w:val="ListParagraph"/>
              <w:numPr>
                <w:ilvl w:val="0"/>
                <w:numId w:val="56"/>
              </w:numPr>
              <w:spacing w:after="0" w:line="240" w:lineRule="auto"/>
              <w:rPr>
                <w:rFonts w:ascii="Arial" w:hAnsi="Arial" w:cs="Arial"/>
                <w:sz w:val="20"/>
                <w:szCs w:val="20"/>
                <w:lang w:val="en-AU"/>
              </w:rPr>
            </w:pPr>
            <w:r w:rsidRPr="00453545">
              <w:rPr>
                <w:rFonts w:ascii="Arial" w:hAnsi="Arial" w:cs="Arial"/>
                <w:sz w:val="20"/>
                <w:szCs w:val="20"/>
                <w:lang w:val="en-AU"/>
              </w:rPr>
              <w:t>is safe,</w:t>
            </w:r>
          </w:p>
          <w:p w:rsidR="00BF722B" w:rsidRPr="00453545" w:rsidRDefault="00BF722B" w:rsidP="008C3B7A">
            <w:pPr>
              <w:pStyle w:val="ListParagraph"/>
              <w:numPr>
                <w:ilvl w:val="0"/>
                <w:numId w:val="56"/>
              </w:numPr>
              <w:spacing w:after="0" w:line="240" w:lineRule="auto"/>
              <w:rPr>
                <w:rFonts w:ascii="Arial" w:hAnsi="Arial" w:cs="Arial"/>
                <w:sz w:val="20"/>
                <w:szCs w:val="20"/>
                <w:lang w:val="en-AU"/>
              </w:rPr>
            </w:pPr>
            <w:r w:rsidRPr="00453545">
              <w:rPr>
                <w:rFonts w:ascii="Arial" w:hAnsi="Arial" w:cs="Arial"/>
                <w:sz w:val="20"/>
                <w:szCs w:val="20"/>
                <w:lang w:val="en-AU"/>
              </w:rPr>
              <w:t>is at least as effective,</w:t>
            </w:r>
          </w:p>
          <w:p w:rsidR="00BF722B" w:rsidRPr="00453545" w:rsidRDefault="00BF722B" w:rsidP="008C3B7A">
            <w:pPr>
              <w:pStyle w:val="ListParagraph"/>
              <w:numPr>
                <w:ilvl w:val="0"/>
                <w:numId w:val="56"/>
              </w:numPr>
              <w:spacing w:after="0" w:line="240" w:lineRule="auto"/>
              <w:rPr>
                <w:lang w:val="en-AU"/>
              </w:rPr>
            </w:pPr>
            <w:proofErr w:type="gramStart"/>
            <w:r w:rsidRPr="00453545">
              <w:rPr>
                <w:rFonts w:ascii="Arial" w:hAnsi="Arial" w:cs="Arial"/>
                <w:sz w:val="20"/>
                <w:szCs w:val="20"/>
                <w:lang w:val="en-AU"/>
              </w:rPr>
              <w:t>is</w:t>
            </w:r>
            <w:proofErr w:type="gramEnd"/>
            <w:r w:rsidRPr="00453545">
              <w:rPr>
                <w:rFonts w:ascii="Arial" w:hAnsi="Arial" w:cs="Arial"/>
                <w:sz w:val="20"/>
                <w:szCs w:val="20"/>
                <w:lang w:val="en-AU"/>
              </w:rPr>
              <w:t xml:space="preserve"> not cost effective at the price requested.</w:t>
            </w:r>
            <w:r w:rsidR="0032066E">
              <w:rPr>
                <w:rFonts w:ascii="Arial" w:hAnsi="Arial" w:cs="Arial"/>
                <w:sz w:val="20"/>
                <w:szCs w:val="20"/>
                <w:lang w:val="en-AU"/>
              </w:rPr>
              <w:t>”</w:t>
            </w:r>
          </w:p>
        </w:tc>
      </w:tr>
    </w:tbl>
    <w:p w:rsidR="00BF722B" w:rsidRDefault="00BF722B" w:rsidP="00BF722B"/>
    <w:p w:rsidR="00BF722B" w:rsidRDefault="00BF722B" w:rsidP="00BF722B">
      <w:pPr>
        <w:pStyle w:val="StyleExecSumm"/>
      </w:pPr>
      <w:r>
        <w:t>The current submission contains new clinical evidence and also requests MBS listing at the same fee as for CC which represents a reduction in cost versus previous submissions.</w:t>
      </w:r>
    </w:p>
    <w:p w:rsidR="00BF722B" w:rsidRDefault="00BF722B" w:rsidP="00BF722B">
      <w:pPr>
        <w:pStyle w:val="StyleExecSumm"/>
      </w:pP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Description of new technology</w:t>
      </w:r>
    </w:p>
    <w:p w:rsidR="00BF722B" w:rsidRDefault="00BF722B" w:rsidP="00BF722B">
      <w:r w:rsidRPr="00C62016">
        <w:t xml:space="preserve">A conventional Pap </w:t>
      </w:r>
      <w:r w:rsidR="007E571E">
        <w:t xml:space="preserve">test </w:t>
      </w:r>
      <w:r w:rsidRPr="00C62016">
        <w:t xml:space="preserve">involves the collection of cells from the uterine cervix using a small cytobrush/broom or spatula </w:t>
      </w:r>
      <w:r>
        <w:t xml:space="preserve">which is then </w:t>
      </w:r>
      <w:r w:rsidRPr="00C62016">
        <w:t xml:space="preserve">smeared onto a glass slide. LBC uses a different method for </w:t>
      </w:r>
      <w:r>
        <w:t xml:space="preserve">collecting and </w:t>
      </w:r>
      <w:r w:rsidRPr="00C62016">
        <w:t>preparing cervical cells for cytological examination. The BD SurePath™ cell enrichment LBC is a proprietary, sample collection, preservation</w:t>
      </w:r>
      <w:r>
        <w:t>,</w:t>
      </w:r>
      <w:r w:rsidRPr="00C62016">
        <w:t xml:space="preserve"> transport</w:t>
      </w:r>
      <w:r>
        <w:t xml:space="preserve"> and slide preparation</w:t>
      </w:r>
      <w:r w:rsidRPr="00C62016">
        <w:t xml:space="preserve"> system that consists of the BD SurePath™ sample collection vial containing proprietary preservative solution and sample collection. Cells are collected using a brush, broom or spatula in the same way as they are collected for a conventional Pap </w:t>
      </w:r>
      <w:r>
        <w:t>test</w:t>
      </w:r>
      <w:r w:rsidRPr="00C62016">
        <w:t>, but the head of the brush or spatula is detached into a vial of preservative fluid to produce a cell suspension which is sent to the laboratory</w:t>
      </w:r>
      <w:r>
        <w:t xml:space="preserve"> where a large </w:t>
      </w:r>
      <w:r>
        <w:lastRenderedPageBreak/>
        <w:t>number of sl</w:t>
      </w:r>
      <w:r w:rsidR="0090784E">
        <w:t>id</w:t>
      </w:r>
      <w:r>
        <w:t>es are prepared together using standardise</w:t>
      </w:r>
      <w:r w:rsidR="007E571E">
        <w:t>d</w:t>
      </w:r>
      <w:r>
        <w:t xml:space="preserve"> protocols. Conversely, conventional cytology slides are prepared at the point of collection which inevitably introduces variability as to the quality of the specimen</w:t>
      </w:r>
      <w:r w:rsidRPr="00C62016">
        <w:t xml:space="preserve">. </w:t>
      </w:r>
      <w:r w:rsidR="007E571E">
        <w:t>Another</w:t>
      </w:r>
      <w:r w:rsidRPr="00C62016">
        <w:t xml:space="preserve"> benefit of cell enrichment LBC is that 100% of the sampled material is captured. The more material collected </w:t>
      </w:r>
      <w:r w:rsidR="007E571E">
        <w:t xml:space="preserve">and the better the standardisation in the quality of the specimen collected, </w:t>
      </w:r>
      <w:r w:rsidRPr="00C62016">
        <w:t xml:space="preserve">the greater the chance of </w:t>
      </w:r>
      <w:r>
        <w:t xml:space="preserve">both achieving a satisfactory sample for review and </w:t>
      </w:r>
      <w:r w:rsidRPr="00C62016">
        <w:t>finding any abnormal cells</w:t>
      </w:r>
      <w:r>
        <w:t xml:space="preserve">. </w:t>
      </w:r>
    </w:p>
    <w:p w:rsidR="00BF722B" w:rsidRDefault="00BF722B" w:rsidP="00BF722B">
      <w:r w:rsidRPr="00AA632C">
        <w:t xml:space="preserve">In the SurePath™ vial the ethanol-based preservative </w:t>
      </w:r>
      <w:r>
        <w:t xml:space="preserve">immediately fixes the cells, preserving the morphology (thereby removing air-drying artefact) as well as breaking down the </w:t>
      </w:r>
      <w:r w:rsidRPr="00AA632C">
        <w:t>mucus</w:t>
      </w:r>
      <w:r>
        <w:t xml:space="preserve"> </w:t>
      </w:r>
      <w:r w:rsidRPr="00AA632C">
        <w:t>releasing the cells. The sample is vortexed in the laboratory and the cells are released from the collection device. The cell enrichment LBC process consists of centrifugal sedimentation through Density Reagent, partially removing non-diagnostic debris such as blood, mucus and inflammatory cells</w:t>
      </w:r>
      <w:r>
        <w:t>.</w:t>
      </w:r>
      <w:r w:rsidRPr="00AA632C">
        <w:t xml:space="preserve"> The vial is then centrifuged</w:t>
      </w:r>
      <w:r>
        <w:t xml:space="preserve"> and</w:t>
      </w:r>
      <w:r w:rsidRPr="00AA632C">
        <w:t xml:space="preserve"> the </w:t>
      </w:r>
      <w:r>
        <w:t xml:space="preserve">resultant </w:t>
      </w:r>
      <w:r w:rsidRPr="00AA632C">
        <w:t xml:space="preserve">enriched cell pellet is then placed on the BD PrepStain™ </w:t>
      </w:r>
      <w:r>
        <w:t xml:space="preserve">where it is </w:t>
      </w:r>
      <w:r w:rsidRPr="00AA632C">
        <w:t xml:space="preserve">re-suspended in de-ionised water. </w:t>
      </w:r>
      <w:r>
        <w:t>An</w:t>
      </w:r>
      <w:r w:rsidRPr="00AA632C">
        <w:t xml:space="preserve"> aliquot is </w:t>
      </w:r>
      <w:r>
        <w:t xml:space="preserve">then </w:t>
      </w:r>
      <w:r w:rsidRPr="00AA632C">
        <w:t>transferred to a settling chamber</w:t>
      </w:r>
      <w:r>
        <w:t xml:space="preserve"> and t</w:t>
      </w:r>
      <w:r w:rsidRPr="00AA632C">
        <w:t>he suspension of cervical cells is allowed to settle via Gravity Sedimentation, producing a</w:t>
      </w:r>
      <w:r>
        <w:t xml:space="preserve"> homogenised, well-distributed </w:t>
      </w:r>
      <w:r w:rsidRPr="00AA632C">
        <w:t>thin layer slid</w:t>
      </w:r>
      <w:r>
        <w:t xml:space="preserve">e for cytologic interpretation. </w:t>
      </w:r>
    </w:p>
    <w:p w:rsidR="00BF722B" w:rsidRPr="00C62016" w:rsidRDefault="00BF722B" w:rsidP="00BF722B">
      <w:r>
        <w:t xml:space="preserve">The cell enrichment process results in a well distributed thin layer of cells on the slide which enables quicker visualisation of clinically relevant cells versus CC. The removal of non-diagnostic debris is achieved without the need for additional processing steps (which may be the case under cell filtrationLBC) and together with the initial high cell </w:t>
      </w:r>
      <w:proofErr w:type="gramStart"/>
      <w:r>
        <w:t>capture  results</w:t>
      </w:r>
      <w:proofErr w:type="gramEnd"/>
      <w:r>
        <w:t xml:space="preserve"> in a consistently low unsatisfactory test rate.</w:t>
      </w: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The main indication and proposed MBS item descriptions</w:t>
      </w:r>
    </w:p>
    <w:p w:rsidR="00BF722B" w:rsidRPr="00C62016" w:rsidRDefault="00BF722B" w:rsidP="00BF722B">
      <w:r w:rsidRPr="00C62016">
        <w:t>The final Decision Analytic Protocol</w:t>
      </w:r>
      <w:r>
        <w:t xml:space="preserve"> ‘DAP’</w:t>
      </w:r>
      <w:r w:rsidRPr="00C62016">
        <w:t xml:space="preserve"> (DAP, May 2012) stated that SurePath™ LBC Pap test will be an alternative method of preparing a conventional Pap </w:t>
      </w:r>
      <w:r>
        <w:t>test</w:t>
      </w:r>
      <w:r w:rsidRPr="00C62016">
        <w:t xml:space="preserve"> and would therefore be listed in category 6 Pathology Services, Group P6 Cytology of the MBS as is the conventional Pap </w:t>
      </w:r>
      <w:r>
        <w:t>test</w:t>
      </w:r>
      <w:r w:rsidRPr="00C62016">
        <w:t xml:space="preserve"> (MBS item number 73053, 73055 and 73057).</w:t>
      </w:r>
    </w:p>
    <w:p w:rsidR="00BF722B" w:rsidRPr="00C62016" w:rsidRDefault="00BF722B" w:rsidP="00BF722B">
      <w:r w:rsidRPr="00C62016">
        <w:t xml:space="preserve">As per the DAP the proposed change to the MBS items 73053, 73055 and 73057 allows cell enrichment LBC techniques to be used. </w:t>
      </w:r>
      <w:r>
        <w:t>Alternatively new item number</w:t>
      </w:r>
      <w:r w:rsidR="007E571E">
        <w:t>s</w:t>
      </w:r>
      <w:r>
        <w:t xml:space="preserve"> </w:t>
      </w:r>
      <w:r w:rsidR="007E571E">
        <w:t xml:space="preserve">specifically for LBC using cell enrichment could be used for </w:t>
      </w:r>
      <w:r>
        <w:t xml:space="preserve">for each circumstance. </w:t>
      </w:r>
      <w:r w:rsidRPr="00C62016">
        <w:t xml:space="preserve">As advised in the DAP, the following statement is proposed in the </w:t>
      </w:r>
      <w:r w:rsidR="00C34FE6">
        <w:t>listing</w:t>
      </w:r>
      <w:r w:rsidRPr="00C62016">
        <w:t xml:space="preserve"> to ensure that other methods cannot be claimed using the below item, “</w:t>
      </w:r>
      <w:r w:rsidRPr="0072211B">
        <w:t>cell enrichment liquid based techniques</w:t>
      </w:r>
      <w:r>
        <w:t xml:space="preserve"> utilising centrifugal sedimentation through density reagent</w:t>
      </w:r>
      <w:r w:rsidRPr="00C62016">
        <w:t>”. This application presents evidence to support the differentiation of cell enrichment from other methods of LBC (e.g. cell filtration) thereby justifying the explicit inclusion of cell enrichment on the MBS.</w:t>
      </w:r>
    </w:p>
    <w:p w:rsidR="00BF722B" w:rsidRPr="00C62016" w:rsidRDefault="00BF722B" w:rsidP="00BF722B">
      <w:r w:rsidRPr="00C62016">
        <w:lastRenderedPageBreak/>
        <w:t xml:space="preserve">Evidence is also presented in this submission to show that cell enrichment LBC can be reviewed “using manual or automated methods”. </w:t>
      </w:r>
    </w:p>
    <w:p w:rsidR="00BF722B" w:rsidRPr="00C62016" w:rsidRDefault="00BF722B" w:rsidP="00BF722B">
      <w:r w:rsidRPr="00C62016">
        <w:t xml:space="preserve">The explanatory notes reflect that on any one screening occasion only one of the </w:t>
      </w:r>
      <w:r>
        <w:t xml:space="preserve">available Pap test </w:t>
      </w:r>
      <w:r w:rsidRPr="00C62016">
        <w:t>techniques</w:t>
      </w:r>
      <w:r>
        <w:t>, cell enrichment or CC,</w:t>
      </w:r>
      <w:r w:rsidRPr="00C62016">
        <w:t xml:space="preserve"> should be used.</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BF722B" w:rsidRPr="0072211B" w:rsidTr="00BF722B">
        <w:trPr>
          <w:trHeight w:val="382"/>
        </w:trPr>
        <w:tc>
          <w:tcPr>
            <w:tcW w:w="8789" w:type="dxa"/>
            <w:tcBorders>
              <w:top w:val="single" w:sz="4" w:space="0" w:color="auto"/>
              <w:left w:val="single" w:sz="4" w:space="0" w:color="auto"/>
              <w:bottom w:val="single" w:sz="4" w:space="0" w:color="auto"/>
              <w:right w:val="single" w:sz="4" w:space="0" w:color="auto"/>
            </w:tcBorders>
          </w:tcPr>
          <w:p w:rsidR="00BF722B" w:rsidRPr="0072211B" w:rsidRDefault="00BF722B" w:rsidP="00BF722B">
            <w:pPr>
              <w:pStyle w:val="Tabletext"/>
              <w:keepLines/>
            </w:pPr>
            <w:r w:rsidRPr="0072211B">
              <w:t>Category 6—Pathology services (cytology)</w:t>
            </w:r>
          </w:p>
        </w:tc>
      </w:tr>
      <w:tr w:rsidR="00BF722B" w:rsidRPr="0072211B" w:rsidTr="00BF722B">
        <w:trPr>
          <w:trHeight w:val="382"/>
        </w:trPr>
        <w:tc>
          <w:tcPr>
            <w:tcW w:w="8789" w:type="dxa"/>
            <w:tcBorders>
              <w:top w:val="single" w:sz="4" w:space="0" w:color="auto"/>
              <w:left w:val="single" w:sz="4" w:space="0" w:color="auto"/>
              <w:bottom w:val="single" w:sz="4" w:space="0" w:color="auto"/>
              <w:right w:val="single" w:sz="4" w:space="0" w:color="auto"/>
            </w:tcBorders>
          </w:tcPr>
          <w:p w:rsidR="00BF722B" w:rsidRPr="0072211B" w:rsidRDefault="00BF722B" w:rsidP="00BF722B">
            <w:pPr>
              <w:pStyle w:val="Tabletext"/>
              <w:keepLines/>
            </w:pPr>
            <w:r w:rsidRPr="0072211B">
              <w:t xml:space="preserve">MBS </w:t>
            </w:r>
            <w:r w:rsidRPr="00C62016">
              <w:t>73053, 73055</w:t>
            </w:r>
            <w:r>
              <w:t>,</w:t>
            </w:r>
            <w:r w:rsidRPr="00C62016">
              <w:t xml:space="preserve"> 73057</w:t>
            </w:r>
            <w:r>
              <w:t xml:space="preserve"> (or alternatively a new item number for each circumstance)</w:t>
            </w:r>
          </w:p>
          <w:p w:rsidR="00BF722B" w:rsidRPr="0072211B" w:rsidRDefault="00BF722B" w:rsidP="00BF722B">
            <w:pPr>
              <w:pStyle w:val="Tabletext"/>
              <w:keepLines/>
            </w:pPr>
            <w:r w:rsidRPr="0072211B">
              <w:t>Cytology of a smear from cervix or vagina where the smear is prepared by direct application of the specimen to a slide</w:t>
            </w:r>
            <w:r>
              <w:t xml:space="preserve"> or</w:t>
            </w:r>
            <w:r w:rsidRPr="0072211B">
              <w:t xml:space="preserve"> using cell enrichment liquid based techniques</w:t>
            </w:r>
            <w:r>
              <w:t xml:space="preserve"> utilising centrifugal sedimentation through density reagent</w:t>
            </w:r>
            <w:r w:rsidRPr="0072211B">
              <w:t xml:space="preserve"> and the smear is microscopically examined by or on behalf of a pathologist </w:t>
            </w:r>
            <w:r>
              <w:t>using manual or automated methods.</w:t>
            </w:r>
          </w:p>
          <w:p w:rsidR="00BF722B" w:rsidRPr="0072211B" w:rsidRDefault="00BF722B" w:rsidP="00BF722B">
            <w:pPr>
              <w:pStyle w:val="Tabletext"/>
              <w:keepLines/>
            </w:pPr>
            <w:r w:rsidRPr="0072211B">
              <w:t>Fee: $19.60 Benefit: 75% = $14.70 85% = $16.70</w:t>
            </w:r>
          </w:p>
          <w:p w:rsidR="00BF722B" w:rsidRPr="0072211B" w:rsidRDefault="00BF722B" w:rsidP="00BF722B">
            <w:pPr>
              <w:pStyle w:val="Tabletext"/>
              <w:keepLines/>
            </w:pPr>
            <w:r w:rsidRPr="0072211B">
              <w:t>Explanatory notes for above items:</w:t>
            </w:r>
          </w:p>
          <w:p w:rsidR="00BF722B" w:rsidRDefault="00BF722B" w:rsidP="00BF722B">
            <w:pPr>
              <w:pStyle w:val="Tabletext"/>
              <w:keepLines/>
            </w:pPr>
            <w:r w:rsidRPr="0072211B">
              <w:t>P16.11: Item 73053 applies to the cytological examination of cervical smears collected from women with no symptoms, signs or recent history suggestive of cervical neoplasia as part of routine, biennial examination for the detection of pre-cancerous or cancerous changes. This item also applies to smears repeated due to an unsatisfactory routine smear, or if there is inadequate information provided to use item 73055.</w:t>
            </w:r>
          </w:p>
          <w:p w:rsidR="00BF722B" w:rsidRPr="0072211B" w:rsidRDefault="00BF722B" w:rsidP="00BF722B">
            <w:pPr>
              <w:pStyle w:val="Tabletext"/>
              <w:keepLines/>
            </w:pPr>
            <w:r w:rsidRPr="0072211B">
              <w:t>Cytological examinations carried out under item 73053 should be in accordance with the agreed National Policy on Screening for the Prevention of Cervical Cancer. This policy provides for:</w:t>
            </w:r>
          </w:p>
          <w:p w:rsidR="00BF722B" w:rsidRPr="0072211B" w:rsidRDefault="00BF722B" w:rsidP="00BF722B">
            <w:pPr>
              <w:pStyle w:val="Tabletext"/>
              <w:keepLines/>
            </w:pPr>
            <w:r w:rsidRPr="0072211B">
              <w:t>(i) an examination interval of two years for women who have no symptoms or history suggestive of abnormal cervical cytology, commencing between the ages of 18 to 20 years, or one to two years after first sexual intercourse, whichever is later; and</w:t>
            </w:r>
          </w:p>
          <w:p w:rsidR="00BF722B" w:rsidRPr="0072211B" w:rsidRDefault="00BF722B" w:rsidP="00BF722B">
            <w:pPr>
              <w:pStyle w:val="Tabletext"/>
              <w:keepLines/>
            </w:pPr>
            <w:r w:rsidRPr="0072211B">
              <w:t xml:space="preserve">(ii) </w:t>
            </w:r>
            <w:proofErr w:type="gramStart"/>
            <w:r w:rsidRPr="0072211B">
              <w:t>cessation</w:t>
            </w:r>
            <w:proofErr w:type="gramEnd"/>
            <w:r w:rsidRPr="0072211B">
              <w:t xml:space="preserve"> of cervical smears at 70 years for women who have had two normal results within the last five years. Women over 70 who have never been examined, or who request a cervical smear, should be examined.</w:t>
            </w:r>
          </w:p>
          <w:p w:rsidR="00BF722B" w:rsidRPr="0072211B" w:rsidRDefault="00BF722B" w:rsidP="00BF722B">
            <w:pPr>
              <w:pStyle w:val="Tabletext"/>
              <w:keepLines/>
            </w:pPr>
            <w:r w:rsidRPr="0072211B">
              <w:t>(iii) that on any one occasion only a direct application of the specimen to a slide or a cell enrichment liquid based technique should be used</w:t>
            </w:r>
          </w:p>
          <w:p w:rsidR="00BF722B" w:rsidRPr="0072211B" w:rsidRDefault="00BF722B" w:rsidP="00BF722B">
            <w:pPr>
              <w:pStyle w:val="Tabletext"/>
              <w:keepLines/>
            </w:pPr>
            <w:r w:rsidRPr="0072211B">
              <w:t>The Health Insurance Act 1973 excludes payment of Medicare benefits for health screening services except where Ministerial directions have been issued to enable benefits to be paid, such as the Papanicolaou test. As there is now an established policy which has the support of the relevant professional bodies, routine screening in accordance with the policy will be regarded as good medical practice.</w:t>
            </w:r>
          </w:p>
          <w:p w:rsidR="00BF722B" w:rsidRPr="0072211B" w:rsidRDefault="00BF722B" w:rsidP="00BF722B">
            <w:pPr>
              <w:pStyle w:val="Tabletext"/>
              <w:keepLines/>
            </w:pPr>
            <w:r w:rsidRPr="0072211B">
              <w:t>The screening policy will not be used as a basis for determining eligibility for benefits. However, the policy will be used as a guide for reviewing practitioner profiles.</w:t>
            </w:r>
          </w:p>
          <w:p w:rsidR="00BF722B" w:rsidRPr="0072211B" w:rsidRDefault="00BF722B" w:rsidP="00BF722B">
            <w:pPr>
              <w:pStyle w:val="Tabletext"/>
              <w:keepLines/>
            </w:pPr>
            <w:r w:rsidRPr="0072211B">
              <w:t>Item 73055 applies to cervical cytological examinations where the smear has been collected for the purpose of management, follow up or investigation of a previous abnormal cytology report, or collected from women with symptoms, signs or recent history suggestive of abnormal cervical cytology.</w:t>
            </w:r>
          </w:p>
          <w:p w:rsidR="00BF722B" w:rsidRPr="0072211B" w:rsidRDefault="00BF722B" w:rsidP="00BF722B">
            <w:pPr>
              <w:pStyle w:val="Tabletext"/>
              <w:keepLines/>
            </w:pPr>
            <w:r w:rsidRPr="0072211B">
              <w:t>Items 73057 applies to all vaginal cytological examinations, whether for a routine examination or for the follow up or management of a previously detected abnormal smear.</w:t>
            </w:r>
          </w:p>
          <w:p w:rsidR="00BF722B" w:rsidRPr="0072211B" w:rsidRDefault="00BF722B" w:rsidP="00BF722B">
            <w:pPr>
              <w:pStyle w:val="Tabletext"/>
              <w:keepLines/>
            </w:pPr>
            <w:r w:rsidRPr="0072211B">
              <w:t>For cervical smears, treating practitioners are asked to clearly identify on the request form to the pathologist, by item number, if the smear has been taken as a routine examination or for the management of a previously detected abnormality.</w:t>
            </w:r>
          </w:p>
          <w:p w:rsidR="00BF722B" w:rsidRPr="0072211B" w:rsidRDefault="00BF722B" w:rsidP="00BF722B">
            <w:pPr>
              <w:pStyle w:val="Tabletext"/>
              <w:keepLines/>
            </w:pPr>
            <w:r w:rsidRPr="0072211B">
              <w:t>Related Items: 73053, 73055, 73057</w:t>
            </w:r>
          </w:p>
        </w:tc>
      </w:tr>
    </w:tbl>
    <w:p w:rsidR="00BF722B" w:rsidRPr="00C62016" w:rsidRDefault="00BF722B" w:rsidP="00BF722B">
      <w:pPr>
        <w:pStyle w:val="StyleExecSumm"/>
        <w:rPr>
          <w:rFonts w:ascii="Gill Sans MT" w:hAnsi="Gill Sans MT"/>
          <w:b/>
          <w:bCs/>
          <w:i/>
          <w:szCs w:val="32"/>
        </w:rPr>
      </w:pP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Rationale for the proposed listing and clinical management algorithm</w:t>
      </w:r>
    </w:p>
    <w:p w:rsidR="00BF722B" w:rsidRDefault="00BF722B" w:rsidP="00BF722B">
      <w:r>
        <w:t xml:space="preserve">Liquid based cytology by any method is not reimbursed by the MBS, and is currently explicitly excluded. </w:t>
      </w:r>
    </w:p>
    <w:p w:rsidR="00BF722B" w:rsidRPr="0072211B" w:rsidRDefault="00BF722B" w:rsidP="00BF722B">
      <w:r>
        <w:t xml:space="preserve">LBC is commonly offered to women as an additional test performed on the same occasion as the conventional Pap test using the split sample technique whereby a slide is prepared for CC and the </w:t>
      </w:r>
      <w:r>
        <w:lastRenderedPageBreak/>
        <w:t xml:space="preserve">remainder of the same sample is then used for LBC. In this case the laboratories receive the MBS schedule fee for CC and charge the patient out-of-pocket for the LBC test. The LBC out-of-pocket charge varies however </w:t>
      </w:r>
      <w:r w:rsidR="007E571E">
        <w:t xml:space="preserve">the average charge </w:t>
      </w:r>
      <w:r>
        <w:t>is</w:t>
      </w:r>
      <w:r w:rsidR="007E571E">
        <w:t xml:space="preserve"> </w:t>
      </w:r>
      <w:r>
        <w:t xml:space="preserve">$45. Approximately 18% of the population receiving MBS </w:t>
      </w:r>
      <w:r w:rsidR="007E571E">
        <w:t>funded</w:t>
      </w:r>
      <w:r>
        <w:t xml:space="preserve"> cervical cancer screening services also pay for an LBC Pap test. It is of note that in the case of discordant results from split sample testing </w:t>
      </w:r>
      <w:r w:rsidR="006105D8">
        <w:t xml:space="preserve">the LBC result </w:t>
      </w:r>
      <w:r w:rsidR="007E571E">
        <w:t xml:space="preserve">is likely to </w:t>
      </w:r>
      <w:r>
        <w:t>inform the treatment algorithm. Hence a proportion of the population already receives follow</w:t>
      </w:r>
      <w:r w:rsidR="009E148E">
        <w:t>-</w:t>
      </w:r>
      <w:r>
        <w:t>up under the National Cervical Screening Program based on a technology only available to those women with access to LBC.</w:t>
      </w:r>
    </w:p>
    <w:p w:rsidR="00BF722B" w:rsidRPr="00C62016" w:rsidRDefault="00BF722B" w:rsidP="00BF722B">
      <w:r>
        <w:t xml:space="preserve">Although cell enrichment LBC </w:t>
      </w:r>
      <w:r w:rsidRPr="00C62016">
        <w:t>offer</w:t>
      </w:r>
      <w:r>
        <w:t>s</w:t>
      </w:r>
      <w:r w:rsidRPr="00C62016">
        <w:t xml:space="preserve"> </w:t>
      </w:r>
      <w:r>
        <w:t>benefits over conventional Pap test</w:t>
      </w:r>
      <w:r w:rsidRPr="00C62016">
        <w:t xml:space="preserve"> in terms of lower unsatisfactory rates, a conservative position has been taken in this application with the requested MBS item fee being the same as that for conventional cytology.</w:t>
      </w:r>
    </w:p>
    <w:p w:rsidR="00BF722B" w:rsidRPr="00C62016" w:rsidRDefault="00BF722B" w:rsidP="00BF722B">
      <w:r w:rsidRPr="00C62016">
        <w:t xml:space="preserve">Cell enrichment LBC is proposed to be a direct substitute for the current conventional Pap smear (see Figure 1). It is not proposed that cell enrichment LBC be used in conjunction with conventional cytology. </w:t>
      </w:r>
      <w:r>
        <w:t>The c</w:t>
      </w:r>
      <w:r w:rsidRPr="00C62016">
        <w:t xml:space="preserve">onventional Pap </w:t>
      </w:r>
      <w:r>
        <w:t>test</w:t>
      </w:r>
      <w:r w:rsidRPr="00C62016">
        <w:t xml:space="preserve"> would still be available on the MBS however its utilisation would be expected to decrease with the introduction of cell enrichment LBC.</w:t>
      </w:r>
    </w:p>
    <w:p w:rsidR="00BF722B" w:rsidRDefault="00CB6A66" w:rsidP="00BF722B">
      <w:pPr>
        <w:pStyle w:val="StyleExecSumm"/>
        <w:keepNext/>
      </w:pPr>
      <w:r>
        <w:rPr>
          <w:noProof/>
          <w:lang w:eastAsia="en-AU"/>
        </w:rPr>
        <w:lastRenderedPageBreak/>
        <w:drawing>
          <wp:inline distT="0" distB="0" distL="0" distR="0">
            <wp:extent cx="5581650" cy="73329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1650" cy="7332980"/>
                    </a:xfrm>
                    <a:prstGeom prst="rect">
                      <a:avLst/>
                    </a:prstGeom>
                    <a:noFill/>
                    <a:ln>
                      <a:noFill/>
                    </a:ln>
                  </pic:spPr>
                </pic:pic>
              </a:graphicData>
            </a:graphic>
          </wp:inline>
        </w:drawing>
      </w:r>
    </w:p>
    <w:p w:rsidR="00BF722B" w:rsidRPr="00C62016" w:rsidRDefault="00BF722B" w:rsidP="00BF722B">
      <w:pPr>
        <w:pStyle w:val="Caption"/>
        <w:jc w:val="both"/>
        <w:rPr>
          <w:i/>
          <w:szCs w:val="32"/>
        </w:rPr>
      </w:pPr>
      <w:bookmarkStart w:id="10" w:name="_Toc337547051"/>
      <w:r>
        <w:t xml:space="preserve">Figure </w:t>
      </w:r>
      <w:fldSimple w:instr=" SEQ Figure \* ARABIC ">
        <w:r w:rsidR="003361A8">
          <w:rPr>
            <w:noProof/>
          </w:rPr>
          <w:t>1</w:t>
        </w:r>
      </w:fldSimple>
      <w:r>
        <w:tab/>
      </w:r>
      <w:r w:rsidRPr="00C62016">
        <w:t>Current practice on the MBS compared with the proposed practice for cervical cancer screening</w:t>
      </w:r>
      <w:bookmarkEnd w:id="10"/>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 xml:space="preserve"> </w:t>
      </w: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 xml:space="preserve">Comparator </w:t>
      </w:r>
    </w:p>
    <w:p w:rsidR="00BF722B" w:rsidRPr="00C62016" w:rsidRDefault="00BF722B" w:rsidP="00BF722B">
      <w:r w:rsidRPr="00C62016">
        <w:lastRenderedPageBreak/>
        <w:t>The most appropriate test to inform the comparative effectiveness and cost-effectiveness of cell enrichment LBC is manual screening of conventional Pap smear cytology. The conventional Pap test is the primary comparator required by the final DAP recommendations (May 2012).</w:t>
      </w:r>
    </w:p>
    <w:p w:rsidR="00BF722B" w:rsidRPr="00C62016" w:rsidRDefault="00BF722B" w:rsidP="00BF722B">
      <w:r w:rsidRPr="00C62016">
        <w:t>Individual laboratories currently make the decision about whether to review slides using manual or automated methods</w:t>
      </w:r>
      <w:r>
        <w:t xml:space="preserve"> and both methods </w:t>
      </w:r>
      <w:r w:rsidR="009E148E">
        <w:t xml:space="preserve">are </w:t>
      </w:r>
      <w:r>
        <w:t>currentl</w:t>
      </w:r>
      <w:r w:rsidR="009E148E">
        <w:t>y</w:t>
      </w:r>
      <w:r>
        <w:t xml:space="preserve"> use</w:t>
      </w:r>
      <w:r w:rsidR="009E148E">
        <w:t>d</w:t>
      </w:r>
      <w:r>
        <w:t xml:space="preserve"> in </w:t>
      </w:r>
      <w:r w:rsidR="001A3CFB">
        <w:t xml:space="preserve">Australia. </w:t>
      </w:r>
      <w:r w:rsidRPr="00C62016">
        <w:t xml:space="preserve">Whichever method of review is implemented, laboratories are still required to meet quality standards. Nevertheless, the final DAP (May 2012) requires that a secondary comparison be “undertaken to examine the issue of automated versus manual reading of slides” as in the 2009 MSAC review of LBC. </w:t>
      </w:r>
    </w:p>
    <w:p w:rsidR="00BF722B" w:rsidRPr="00C62016" w:rsidRDefault="00BF722B" w:rsidP="00BF722B">
      <w:r w:rsidRPr="00C62016">
        <w:t>As recommended in the DAP, cell enrichment LBC will also be compared with cell filtration LBC in order to justify the explicit inclusion of cell enrichment LBC in the MBS item descriptor.</w:t>
      </w: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Source of clinical evidence</w:t>
      </w:r>
    </w:p>
    <w:p w:rsidR="00BF722B" w:rsidRDefault="00BF722B" w:rsidP="00BF722B">
      <w:r w:rsidRPr="00C62016">
        <w:t>Ten direct head to head randomised controlled trials (RCTs) in a cervical cancer screening population provide the pivotal evidence for the submission (Table 1). There were no RCTs that compared cell enrichment LBC and cell filtration LBC, therefore indirect comparisons are provided w</w:t>
      </w:r>
      <w:r>
        <w:t>h</w:t>
      </w:r>
      <w:r w:rsidRPr="00C62016">
        <w:t xml:space="preserve">ere possible. </w:t>
      </w:r>
    </w:p>
    <w:p w:rsidR="00BF722B" w:rsidRDefault="00BF722B" w:rsidP="00BF722B">
      <w:pPr>
        <w:pStyle w:val="Caption"/>
      </w:pPr>
      <w:bookmarkStart w:id="11" w:name="_Toc337546938"/>
      <w:r>
        <w:lastRenderedPageBreak/>
        <w:t xml:space="preserve">Table </w:t>
      </w:r>
      <w:fldSimple w:instr=" SEQ Table \* ARABIC ">
        <w:r w:rsidR="003361A8">
          <w:rPr>
            <w:noProof/>
          </w:rPr>
          <w:t>1</w:t>
        </w:r>
      </w:fldSimple>
      <w:r>
        <w:t xml:space="preserve"> </w:t>
      </w:r>
      <w:r w:rsidRPr="00C62016">
        <w:t>Summary of RCT evidence</w:t>
      </w:r>
      <w:r>
        <w:t xml:space="preserve"> and limitations</w:t>
      </w:r>
      <w:bookmarkEnd w:id="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50"/>
        <w:gridCol w:w="1550"/>
        <w:gridCol w:w="3904"/>
      </w:tblGrid>
      <w:tr w:rsidR="00BF722B" w:rsidRPr="0072211B" w:rsidTr="008C3B7A">
        <w:tc>
          <w:tcPr>
            <w:tcW w:w="3550" w:type="dxa"/>
          </w:tcPr>
          <w:p w:rsidR="00BF722B" w:rsidRPr="0072211B" w:rsidRDefault="00BF722B" w:rsidP="00BF722B">
            <w:pPr>
              <w:pStyle w:val="Tabletext"/>
            </w:pPr>
            <w:r w:rsidRPr="0072211B">
              <w:t>Trial</w:t>
            </w:r>
          </w:p>
        </w:tc>
        <w:tc>
          <w:tcPr>
            <w:tcW w:w="1550" w:type="dxa"/>
          </w:tcPr>
          <w:p w:rsidR="00BF722B" w:rsidRPr="0072211B" w:rsidRDefault="00BF722B" w:rsidP="00BF722B">
            <w:pPr>
              <w:pStyle w:val="Tabletext"/>
            </w:pPr>
            <w:r w:rsidRPr="0072211B">
              <w:t>Sample size</w:t>
            </w:r>
          </w:p>
        </w:tc>
        <w:tc>
          <w:tcPr>
            <w:tcW w:w="3904" w:type="dxa"/>
          </w:tcPr>
          <w:p w:rsidR="00BF722B" w:rsidRPr="0072211B" w:rsidRDefault="00BF722B" w:rsidP="00BF722B">
            <w:pPr>
              <w:pStyle w:val="Tabletext"/>
            </w:pPr>
            <w:r w:rsidRPr="0072211B">
              <w:t>Study limitations</w:t>
            </w:r>
          </w:p>
        </w:tc>
      </w:tr>
      <w:tr w:rsidR="00BF722B" w:rsidRPr="0072211B" w:rsidTr="008C3B7A">
        <w:tc>
          <w:tcPr>
            <w:tcW w:w="9004" w:type="dxa"/>
            <w:gridSpan w:val="3"/>
          </w:tcPr>
          <w:p w:rsidR="00BF722B" w:rsidRPr="0072211B" w:rsidRDefault="00BF722B" w:rsidP="00BF722B">
            <w:pPr>
              <w:pStyle w:val="Tabletext"/>
            </w:pPr>
            <w:r w:rsidRPr="008C3B7A">
              <w:rPr>
                <w:b/>
              </w:rPr>
              <w:t>Cell enrichment versus conventional cytology</w:t>
            </w:r>
          </w:p>
        </w:tc>
      </w:tr>
      <w:tr w:rsidR="00BF722B" w:rsidRPr="0072211B" w:rsidTr="008C3B7A">
        <w:tc>
          <w:tcPr>
            <w:tcW w:w="3550" w:type="dxa"/>
          </w:tcPr>
          <w:p w:rsidR="00BF722B" w:rsidRPr="0072211B" w:rsidRDefault="00BF722B" w:rsidP="00BF722B">
            <w:pPr>
              <w:pStyle w:val="Tabletext"/>
            </w:pPr>
            <w:r w:rsidRPr="0072211B">
              <w:t>Beerman 2009 (Netherlands)</w:t>
            </w:r>
            <w:r w:rsidRPr="0072211B">
              <w:br/>
              <w:t>July 1997—June 2002</w:t>
            </w:r>
          </w:p>
        </w:tc>
        <w:tc>
          <w:tcPr>
            <w:tcW w:w="1550" w:type="dxa"/>
          </w:tcPr>
          <w:p w:rsidR="00BF722B" w:rsidRPr="0072211B" w:rsidRDefault="00BF722B" w:rsidP="00BF722B">
            <w:pPr>
              <w:pStyle w:val="Tabletext"/>
            </w:pPr>
            <w:r w:rsidRPr="0072211B">
              <w:t>CC=51,154</w:t>
            </w:r>
            <w:r w:rsidRPr="0072211B">
              <w:br/>
              <w:t>LBC=35,315</w:t>
            </w:r>
          </w:p>
        </w:tc>
        <w:tc>
          <w:tcPr>
            <w:tcW w:w="3904" w:type="dxa"/>
          </w:tcPr>
          <w:p w:rsidR="00BF722B" w:rsidRPr="0072211B" w:rsidRDefault="00BF722B" w:rsidP="00BF722B">
            <w:pPr>
              <w:pStyle w:val="Tabletext"/>
            </w:pPr>
            <w:r w:rsidRPr="0072211B">
              <w:t>Reference standard not described</w:t>
            </w:r>
            <w:r w:rsidRPr="0072211B">
              <w:br/>
              <w:t>Uneven distribution of patients within trial</w:t>
            </w:r>
          </w:p>
        </w:tc>
      </w:tr>
      <w:tr w:rsidR="00BF722B" w:rsidRPr="0072211B" w:rsidTr="008C3B7A">
        <w:tc>
          <w:tcPr>
            <w:tcW w:w="3550" w:type="dxa"/>
          </w:tcPr>
          <w:p w:rsidR="00BF722B" w:rsidRPr="0072211B" w:rsidRDefault="00BF722B" w:rsidP="00BF722B">
            <w:pPr>
              <w:pStyle w:val="Tabletext"/>
            </w:pPr>
            <w:r w:rsidRPr="0072211B">
              <w:t>RODEO Study (Brazil)</w:t>
            </w:r>
            <w:r w:rsidRPr="0072211B">
              <w:br/>
              <w:t>May 2010–December 2010</w:t>
            </w:r>
          </w:p>
        </w:tc>
        <w:tc>
          <w:tcPr>
            <w:tcW w:w="1550" w:type="dxa"/>
          </w:tcPr>
          <w:p w:rsidR="00BF722B" w:rsidRPr="0072211B" w:rsidRDefault="00BF722B" w:rsidP="00BF722B">
            <w:pPr>
              <w:pStyle w:val="Tabletext"/>
            </w:pPr>
            <w:r w:rsidRPr="0072211B">
              <w:t>CC=6047</w:t>
            </w:r>
            <w:r w:rsidRPr="0072211B">
              <w:br/>
              <w:t>LBC=6001</w:t>
            </w:r>
          </w:p>
        </w:tc>
        <w:tc>
          <w:tcPr>
            <w:tcW w:w="3904" w:type="dxa"/>
          </w:tcPr>
          <w:p w:rsidR="00BF722B" w:rsidRPr="0072211B" w:rsidRDefault="00BF722B" w:rsidP="00691CE3">
            <w:pPr>
              <w:pStyle w:val="Tabletext"/>
            </w:pPr>
            <w:r w:rsidRPr="0072211B">
              <w:t>Reference standard not described</w:t>
            </w:r>
            <w:r w:rsidRPr="0072211B">
              <w:br/>
              <w:t>Represents a different geographical location and type of health service (recruitment through mobile units)</w:t>
            </w:r>
          </w:p>
        </w:tc>
      </w:tr>
      <w:tr w:rsidR="00BF722B" w:rsidRPr="0072211B" w:rsidTr="008C3B7A">
        <w:tc>
          <w:tcPr>
            <w:tcW w:w="9004" w:type="dxa"/>
            <w:gridSpan w:val="3"/>
          </w:tcPr>
          <w:p w:rsidR="00BF722B" w:rsidRPr="0072211B" w:rsidRDefault="00BF722B" w:rsidP="00BF722B">
            <w:pPr>
              <w:pStyle w:val="Tabletext"/>
            </w:pPr>
            <w:r w:rsidRPr="008C3B7A">
              <w:rPr>
                <w:b/>
                <w:bCs/>
              </w:rPr>
              <w:t>Cell filtration versus conventional cytology</w:t>
            </w:r>
          </w:p>
        </w:tc>
      </w:tr>
      <w:tr w:rsidR="00BF722B" w:rsidRPr="0072211B" w:rsidTr="008C3B7A">
        <w:tc>
          <w:tcPr>
            <w:tcW w:w="3550" w:type="dxa"/>
          </w:tcPr>
          <w:p w:rsidR="00BF722B" w:rsidRPr="0072211B" w:rsidRDefault="00BF722B" w:rsidP="00BF722B">
            <w:pPr>
              <w:pStyle w:val="Tabletext"/>
            </w:pPr>
            <w:r w:rsidRPr="0072211B">
              <w:t>NTCC trial (Ronco 2006a, b) (Italy)</w:t>
            </w:r>
            <w:r w:rsidRPr="0072211B">
              <w:br/>
              <w:t>2002–2003</w:t>
            </w:r>
          </w:p>
        </w:tc>
        <w:tc>
          <w:tcPr>
            <w:tcW w:w="1550" w:type="dxa"/>
          </w:tcPr>
          <w:p w:rsidR="00BF722B" w:rsidRPr="0072211B" w:rsidRDefault="00BF722B" w:rsidP="00BF722B">
            <w:pPr>
              <w:pStyle w:val="Tabletext"/>
            </w:pPr>
            <w:r w:rsidRPr="0072211B">
              <w:t>CC=22,547</w:t>
            </w:r>
            <w:r w:rsidRPr="0072211B">
              <w:br/>
              <w:t>LBC=22,760</w:t>
            </w:r>
          </w:p>
        </w:tc>
        <w:tc>
          <w:tcPr>
            <w:tcW w:w="3904" w:type="dxa"/>
          </w:tcPr>
          <w:p w:rsidR="00BF722B" w:rsidRPr="0072211B" w:rsidRDefault="00BF722B" w:rsidP="00BF722B">
            <w:pPr>
              <w:pStyle w:val="Tabletext"/>
            </w:pPr>
            <w:r w:rsidRPr="0072211B">
              <w:t>Performed HPV triage on LBC samples only</w:t>
            </w:r>
          </w:p>
        </w:tc>
      </w:tr>
      <w:tr w:rsidR="00BF722B" w:rsidRPr="0072211B" w:rsidTr="008C3B7A">
        <w:tc>
          <w:tcPr>
            <w:tcW w:w="3550" w:type="dxa"/>
          </w:tcPr>
          <w:p w:rsidR="00BF722B" w:rsidRPr="0072211B" w:rsidRDefault="00BF722B" w:rsidP="00BF722B">
            <w:pPr>
              <w:pStyle w:val="Tabletext"/>
            </w:pPr>
            <w:r w:rsidRPr="0072211B">
              <w:t>NETHCON Trial (Siebers 2008, 2009)</w:t>
            </w:r>
            <w:r w:rsidRPr="0072211B">
              <w:br/>
              <w:t>(Netherlands) April 2003–July 2006</w:t>
            </w:r>
          </w:p>
        </w:tc>
        <w:tc>
          <w:tcPr>
            <w:tcW w:w="1550" w:type="dxa"/>
          </w:tcPr>
          <w:p w:rsidR="00BF722B" w:rsidRPr="0072211B" w:rsidRDefault="00BF722B" w:rsidP="00BF722B">
            <w:pPr>
              <w:pStyle w:val="Tabletext"/>
            </w:pPr>
            <w:r w:rsidRPr="0072211B">
              <w:t>CC=40,047</w:t>
            </w:r>
            <w:r w:rsidRPr="0072211B">
              <w:br/>
              <w:t>LBC=48,941</w:t>
            </w:r>
          </w:p>
        </w:tc>
        <w:tc>
          <w:tcPr>
            <w:tcW w:w="3904" w:type="dxa"/>
          </w:tcPr>
          <w:p w:rsidR="00BF722B" w:rsidRPr="0072211B" w:rsidRDefault="00BF722B" w:rsidP="00BF722B">
            <w:pPr>
              <w:pStyle w:val="Tabletext"/>
            </w:pPr>
            <w:r w:rsidRPr="0072211B">
              <w:t>Uneven distribution of patients within trial</w:t>
            </w:r>
          </w:p>
        </w:tc>
      </w:tr>
      <w:tr w:rsidR="00BF722B" w:rsidRPr="0072211B" w:rsidTr="008C3B7A">
        <w:tc>
          <w:tcPr>
            <w:tcW w:w="3550" w:type="dxa"/>
          </w:tcPr>
          <w:p w:rsidR="00BF722B" w:rsidRPr="0072211B" w:rsidRDefault="00BF722B" w:rsidP="00BF722B">
            <w:pPr>
              <w:pStyle w:val="Tabletext"/>
            </w:pPr>
            <w:r w:rsidRPr="0072211B">
              <w:t>Strander 2007(Sweden)</w:t>
            </w:r>
            <w:r w:rsidRPr="0072211B">
              <w:br/>
              <w:t>May 2002–Dec 2003</w:t>
            </w:r>
          </w:p>
        </w:tc>
        <w:tc>
          <w:tcPr>
            <w:tcW w:w="1550" w:type="dxa"/>
          </w:tcPr>
          <w:p w:rsidR="00BF722B" w:rsidRPr="0072211B" w:rsidRDefault="00BF722B" w:rsidP="00BF722B">
            <w:pPr>
              <w:pStyle w:val="Tabletext"/>
            </w:pPr>
            <w:r w:rsidRPr="0072211B">
              <w:t>CC=8810</w:t>
            </w:r>
            <w:r w:rsidRPr="0072211B">
              <w:br/>
              <w:t>LBC=4676</w:t>
            </w:r>
          </w:p>
        </w:tc>
        <w:tc>
          <w:tcPr>
            <w:tcW w:w="3904" w:type="dxa"/>
          </w:tcPr>
          <w:p w:rsidR="00BF722B" w:rsidRPr="0072211B" w:rsidRDefault="00BF722B" w:rsidP="00BF722B">
            <w:pPr>
              <w:pStyle w:val="Tabletext"/>
            </w:pPr>
            <w:r w:rsidRPr="0072211B">
              <w:t>Uneven distribution of patients within trial</w:t>
            </w:r>
          </w:p>
        </w:tc>
      </w:tr>
      <w:tr w:rsidR="00BF722B" w:rsidRPr="0072211B" w:rsidTr="008C3B7A">
        <w:tc>
          <w:tcPr>
            <w:tcW w:w="3550" w:type="dxa"/>
          </w:tcPr>
          <w:p w:rsidR="00BF722B" w:rsidRPr="0072211B" w:rsidRDefault="00BF722B" w:rsidP="00BF722B">
            <w:pPr>
              <w:pStyle w:val="Tabletext"/>
            </w:pPr>
            <w:r w:rsidRPr="0072211B">
              <w:t>Maccallini 2008 (Italy)</w:t>
            </w:r>
            <w:r w:rsidRPr="0072211B">
              <w:br/>
              <w:t>2001–2002</w:t>
            </w:r>
          </w:p>
        </w:tc>
        <w:tc>
          <w:tcPr>
            <w:tcW w:w="1550" w:type="dxa"/>
          </w:tcPr>
          <w:p w:rsidR="00BF722B" w:rsidRPr="0072211B" w:rsidRDefault="00BF722B" w:rsidP="00BF722B">
            <w:pPr>
              <w:pStyle w:val="Tabletext"/>
            </w:pPr>
            <w:r w:rsidRPr="0072211B">
              <w:t>CC=4299</w:t>
            </w:r>
            <w:r w:rsidRPr="0072211B">
              <w:br/>
              <w:t>LBC=4355</w:t>
            </w:r>
          </w:p>
        </w:tc>
        <w:tc>
          <w:tcPr>
            <w:tcW w:w="3904" w:type="dxa"/>
          </w:tcPr>
          <w:p w:rsidR="00BF722B" w:rsidRPr="0072211B" w:rsidRDefault="00BF722B" w:rsidP="00BF722B">
            <w:pPr>
              <w:pStyle w:val="Tabletext"/>
            </w:pPr>
          </w:p>
        </w:tc>
      </w:tr>
      <w:tr w:rsidR="00BF722B" w:rsidRPr="0072211B" w:rsidTr="008C3B7A">
        <w:tc>
          <w:tcPr>
            <w:tcW w:w="3550" w:type="dxa"/>
          </w:tcPr>
          <w:p w:rsidR="00BF722B" w:rsidRPr="0072211B" w:rsidRDefault="00BF722B" w:rsidP="00BF722B">
            <w:pPr>
              <w:pStyle w:val="Tabletext"/>
            </w:pPr>
            <w:r w:rsidRPr="0072211B">
              <w:t>Obwegeser 2001 (Switzerland)</w:t>
            </w:r>
            <w:r w:rsidRPr="0072211B">
              <w:br/>
              <w:t>July 1998–Sep 1998</w:t>
            </w:r>
          </w:p>
        </w:tc>
        <w:tc>
          <w:tcPr>
            <w:tcW w:w="1550" w:type="dxa"/>
          </w:tcPr>
          <w:p w:rsidR="00BF722B" w:rsidRPr="0072211B" w:rsidRDefault="00BF722B" w:rsidP="00BF722B">
            <w:pPr>
              <w:pStyle w:val="Tabletext"/>
            </w:pPr>
            <w:r w:rsidRPr="0072211B">
              <w:t>CC=1002</w:t>
            </w:r>
            <w:r w:rsidRPr="0072211B">
              <w:br/>
              <w:t>LBC=997</w:t>
            </w:r>
          </w:p>
        </w:tc>
        <w:tc>
          <w:tcPr>
            <w:tcW w:w="3904" w:type="dxa"/>
          </w:tcPr>
          <w:p w:rsidR="00BF722B" w:rsidRPr="0072211B" w:rsidRDefault="00BF722B" w:rsidP="00BF722B">
            <w:pPr>
              <w:pStyle w:val="Tabletext"/>
            </w:pPr>
            <w:r w:rsidRPr="0072211B">
              <w:t xml:space="preserve">Used different collection instruments between arms </w:t>
            </w:r>
          </w:p>
        </w:tc>
      </w:tr>
      <w:tr w:rsidR="00BF722B" w:rsidRPr="0072211B" w:rsidTr="008C3B7A">
        <w:tc>
          <w:tcPr>
            <w:tcW w:w="3550" w:type="dxa"/>
          </w:tcPr>
          <w:p w:rsidR="00BF722B" w:rsidRPr="0072211B" w:rsidRDefault="00BF722B" w:rsidP="00BF722B">
            <w:pPr>
              <w:pStyle w:val="Tabletext"/>
            </w:pPr>
            <w:r w:rsidRPr="0072211B">
              <w:t>RHINE-SAAR Study (Germany)</w:t>
            </w:r>
            <w:r w:rsidRPr="0072211B">
              <w:br/>
              <w:t>August 2007 –October 2008</w:t>
            </w:r>
          </w:p>
        </w:tc>
        <w:tc>
          <w:tcPr>
            <w:tcW w:w="1550" w:type="dxa"/>
          </w:tcPr>
          <w:p w:rsidR="00BF722B" w:rsidRPr="0072211B" w:rsidRDefault="00BF722B" w:rsidP="00BF722B">
            <w:pPr>
              <w:pStyle w:val="Tabletext"/>
            </w:pPr>
            <w:r w:rsidRPr="0072211B">
              <w:t>CC=9296</w:t>
            </w:r>
            <w:r w:rsidRPr="0072211B">
              <w:br/>
              <w:t>LBC=11,331</w:t>
            </w:r>
          </w:p>
        </w:tc>
        <w:tc>
          <w:tcPr>
            <w:tcW w:w="3904" w:type="dxa"/>
          </w:tcPr>
          <w:p w:rsidR="00BF722B" w:rsidRPr="0072211B" w:rsidRDefault="00BF722B" w:rsidP="00BF722B">
            <w:pPr>
              <w:pStyle w:val="Tabletext"/>
            </w:pPr>
            <w:r w:rsidRPr="0072211B">
              <w:t>Uneven distribution of patients within trial</w:t>
            </w:r>
          </w:p>
        </w:tc>
      </w:tr>
      <w:tr w:rsidR="00BF722B" w:rsidRPr="0072211B" w:rsidTr="008C3B7A">
        <w:tc>
          <w:tcPr>
            <w:tcW w:w="9004" w:type="dxa"/>
            <w:gridSpan w:val="3"/>
          </w:tcPr>
          <w:p w:rsidR="00BF722B" w:rsidRPr="0072211B" w:rsidRDefault="00BF722B" w:rsidP="00BF722B">
            <w:pPr>
              <w:pStyle w:val="Tabletext"/>
            </w:pPr>
            <w:r w:rsidRPr="008C3B7A">
              <w:rPr>
                <w:b/>
              </w:rPr>
              <w:t>Manual verses automated</w:t>
            </w:r>
          </w:p>
        </w:tc>
      </w:tr>
      <w:tr w:rsidR="00BF722B" w:rsidRPr="0072211B" w:rsidTr="008C3B7A">
        <w:tc>
          <w:tcPr>
            <w:tcW w:w="3550" w:type="dxa"/>
          </w:tcPr>
          <w:p w:rsidR="00BF722B" w:rsidRPr="0072211B" w:rsidRDefault="00BF722B" w:rsidP="00BF722B">
            <w:pPr>
              <w:pStyle w:val="Tabletext"/>
            </w:pPr>
            <w:r w:rsidRPr="0072211B">
              <w:t>MAVARIC Study (Kitchener 2011a, b)</w:t>
            </w:r>
            <w:r w:rsidRPr="0072211B">
              <w:br/>
              <w:t>(UK) Mar 2006–Feb 2009</w:t>
            </w:r>
          </w:p>
        </w:tc>
        <w:tc>
          <w:tcPr>
            <w:tcW w:w="1550" w:type="dxa"/>
          </w:tcPr>
          <w:p w:rsidR="00BF722B" w:rsidRPr="0072211B" w:rsidRDefault="00BF722B" w:rsidP="00BF722B">
            <w:pPr>
              <w:pStyle w:val="Tabletext"/>
            </w:pPr>
            <w:r w:rsidRPr="0072211B">
              <w:t>Manual=24,668</w:t>
            </w:r>
            <w:r w:rsidRPr="0072211B">
              <w:br/>
              <w:t>Auto=48,578</w:t>
            </w:r>
          </w:p>
        </w:tc>
        <w:tc>
          <w:tcPr>
            <w:tcW w:w="3904" w:type="dxa"/>
          </w:tcPr>
          <w:p w:rsidR="00BF722B" w:rsidRPr="0072211B" w:rsidRDefault="00BF722B" w:rsidP="00BF722B">
            <w:pPr>
              <w:pStyle w:val="Tabletext"/>
            </w:pPr>
            <w:r w:rsidRPr="0072211B">
              <w:t>performed HPV triage on LBC samples only</w:t>
            </w:r>
          </w:p>
        </w:tc>
      </w:tr>
      <w:tr w:rsidR="00BF722B" w:rsidRPr="0072211B" w:rsidTr="008C3B7A">
        <w:tc>
          <w:tcPr>
            <w:tcW w:w="3550" w:type="dxa"/>
          </w:tcPr>
          <w:p w:rsidR="00BF722B" w:rsidRPr="0072211B" w:rsidRDefault="00BF722B" w:rsidP="00BF722B">
            <w:pPr>
              <w:pStyle w:val="Tabletext"/>
            </w:pPr>
            <w:r w:rsidRPr="0072211B">
              <w:t>Palmer 2012(Scotland) Oct 2008+</w:t>
            </w:r>
          </w:p>
        </w:tc>
        <w:tc>
          <w:tcPr>
            <w:tcW w:w="1550" w:type="dxa"/>
          </w:tcPr>
          <w:p w:rsidR="00BF722B" w:rsidRPr="0072211B" w:rsidRDefault="00BF722B" w:rsidP="00BF722B">
            <w:pPr>
              <w:pStyle w:val="Tabletext"/>
            </w:pPr>
            <w:r w:rsidRPr="0072211B">
              <w:t>Manual=90,551</w:t>
            </w:r>
            <w:r w:rsidRPr="0072211B">
              <w:br/>
              <w:t>Auto=79,366</w:t>
            </w:r>
          </w:p>
        </w:tc>
        <w:tc>
          <w:tcPr>
            <w:tcW w:w="3904" w:type="dxa"/>
          </w:tcPr>
          <w:p w:rsidR="00BF722B" w:rsidRPr="0072211B" w:rsidRDefault="00BF722B" w:rsidP="00BF722B">
            <w:pPr>
              <w:pStyle w:val="Tabletext"/>
            </w:pPr>
            <w:r w:rsidRPr="0072211B">
              <w:t>Uneven distribution of patients within trial</w:t>
            </w:r>
          </w:p>
        </w:tc>
      </w:tr>
    </w:tbl>
    <w:p w:rsidR="00BF722B" w:rsidRPr="00C62016" w:rsidRDefault="00BF722B" w:rsidP="00BF722B"/>
    <w:p w:rsidR="00BF722B" w:rsidRPr="00902BC8" w:rsidRDefault="00BF722B" w:rsidP="00BF722B">
      <w:r w:rsidRPr="00902BC8">
        <w:t xml:space="preserve">Across all trials, where reported, colposcopy and/or biopsy were used as the reference standard. The test threshold at which the reference standard was uniformly applied was either ASCUS+ or </w:t>
      </w:r>
      <w:r w:rsidR="001A3CFB" w:rsidRPr="00902BC8">
        <w:t>HSIL+.</w:t>
      </w:r>
      <w:r w:rsidR="001A3CFB">
        <w:t xml:space="preserve"> </w:t>
      </w:r>
      <w:r w:rsidR="001A3CFB" w:rsidRPr="00902BC8">
        <w:t>Generally</w:t>
      </w:r>
      <w:r w:rsidRPr="00902BC8">
        <w:t xml:space="preserve"> the outcome assessor, colposcopist and where relevant histologist, were not blinded to the index/screening test result. Although in four trials—NETHCON; Strander 2009, Maccallini 2008; MAVARIC—the outcome assessors were blinded to the cytology test type. </w:t>
      </w:r>
    </w:p>
    <w:p w:rsidR="00BF722B" w:rsidRPr="00902BC8" w:rsidRDefault="00BF722B" w:rsidP="00BF722B">
      <w:r w:rsidRPr="00902BC8">
        <w:t xml:space="preserve">Beerman 2009 and Strander 2007 were the only trials to follow up all randomised patients by review of any histology results in a national database and report the true false negative rates. </w:t>
      </w:r>
    </w:p>
    <w:p w:rsidR="00BF722B" w:rsidRPr="00902BC8" w:rsidRDefault="00BF722B" w:rsidP="00BF722B">
      <w:r w:rsidRPr="00902BC8">
        <w:t xml:space="preserve">The mean age of participants across the trials ranged from 37 to 44 years of age. Similar collection tools were used between the arms within each trial except Obwegeser 2001. </w:t>
      </w:r>
    </w:p>
    <w:p w:rsidR="00BF722B" w:rsidRPr="00C62016" w:rsidRDefault="00BF722B" w:rsidP="00BF722B">
      <w:r w:rsidRPr="00902BC8">
        <w:t>For most trials the implementation of LBC was new and as such training was reportedly provided to collectors of the LBC specimen and cytology reviewers.</w:t>
      </w:r>
      <w:r w:rsidRPr="00C62016">
        <w:t xml:space="preserve"> </w:t>
      </w: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Comparative clinical efficacy</w:t>
      </w:r>
    </w:p>
    <w:p w:rsidR="00BF722B" w:rsidRPr="00C62016" w:rsidRDefault="00BF722B" w:rsidP="00BF722B">
      <w:r w:rsidRPr="00C62016">
        <w:lastRenderedPageBreak/>
        <w:t xml:space="preserve">Despite variation in baseline rates of unsatisfactory slides across the </w:t>
      </w:r>
      <w:r>
        <w:t xml:space="preserve">studies </w:t>
      </w:r>
      <w:r w:rsidRPr="00C62016">
        <w:t>LBC consistently results in:</w:t>
      </w:r>
    </w:p>
    <w:p w:rsidR="00BF722B" w:rsidRDefault="00BF722B" w:rsidP="00BF722B">
      <w:pPr>
        <w:pStyle w:val="ListParagraph"/>
        <w:numPr>
          <w:ilvl w:val="0"/>
          <w:numId w:val="53"/>
        </w:numPr>
      </w:pPr>
      <w:r w:rsidRPr="00C62016">
        <w:t xml:space="preserve">less unsatisfactory tests </w:t>
      </w:r>
      <w:r>
        <w:t>versus CC</w:t>
      </w:r>
    </w:p>
    <w:p w:rsidR="00BF722B" w:rsidRPr="00C62016" w:rsidRDefault="00BF722B" w:rsidP="00BF722B">
      <w:pPr>
        <w:pStyle w:val="ListParagraph"/>
        <w:numPr>
          <w:ilvl w:val="0"/>
          <w:numId w:val="53"/>
        </w:numPr>
      </w:pPr>
      <w:r>
        <w:t xml:space="preserve">significantly decreased </w:t>
      </w:r>
      <w:r w:rsidRPr="00C62016">
        <w:t xml:space="preserve"> rate of unsatisfactory tests </w:t>
      </w:r>
      <w:r>
        <w:t xml:space="preserve">occur with cell enrichment LBC </w:t>
      </w:r>
      <w:r w:rsidRPr="00C62016">
        <w:t>than cell filtration</w:t>
      </w:r>
      <w:r>
        <w:t xml:space="preserve"> LBC</w:t>
      </w:r>
    </w:p>
    <w:p w:rsidR="00BF722B" w:rsidRPr="00C62016" w:rsidRDefault="00BF722B" w:rsidP="00BF722B">
      <w:r w:rsidRPr="00C62016">
        <w:t>There was substantial variation the baseline rated of normal, ASCUS, LSIL and HSIL cytological test yield results</w:t>
      </w:r>
      <w:r>
        <w:t xml:space="preserve"> </w:t>
      </w:r>
      <w:r w:rsidRPr="00C62016">
        <w:t xml:space="preserve">across the </w:t>
      </w:r>
      <w:r>
        <w:t>studies</w:t>
      </w:r>
      <w:r w:rsidRPr="00C62016">
        <w:t xml:space="preserve">. Nonetheless cell </w:t>
      </w:r>
      <w:r>
        <w:t>enrichment</w:t>
      </w:r>
      <w:r w:rsidRPr="00C62016">
        <w:t xml:space="preserve"> was consistently associated with:</w:t>
      </w:r>
    </w:p>
    <w:p w:rsidR="00BF722B" w:rsidRDefault="00BF722B" w:rsidP="00BF722B">
      <w:pPr>
        <w:pStyle w:val="ListParagraph"/>
        <w:numPr>
          <w:ilvl w:val="0"/>
          <w:numId w:val="53"/>
        </w:numPr>
      </w:pPr>
      <w:r>
        <w:t>decreased rates of normal outcomes and-increased</w:t>
      </w:r>
      <w:r w:rsidRPr="00C62016">
        <w:t xml:space="preserve"> rates of ASCUS outcomes</w:t>
      </w:r>
      <w:r>
        <w:t xml:space="preserve">. </w:t>
      </w:r>
    </w:p>
    <w:p w:rsidR="00BF722B" w:rsidRPr="00C62016" w:rsidRDefault="00BF722B" w:rsidP="00BF722B">
      <w:r>
        <w:t>T</w:t>
      </w:r>
      <w:r w:rsidRPr="00C62016">
        <w:t xml:space="preserve">he direction of the point estimates for each cytological outcome is more variable with the six cell filtration LBC trials, although there is a trend for more LSIL detected with cell filtration LBC compared with </w:t>
      </w:r>
      <w:r>
        <w:t>CC</w:t>
      </w:r>
      <w:r w:rsidRPr="00C62016">
        <w:t>. No indirect comparison was able to be performed.</w:t>
      </w:r>
    </w:p>
    <w:p w:rsidR="00BF722B" w:rsidRPr="00C62016" w:rsidRDefault="00BF722B" w:rsidP="00BF722B">
      <w:r w:rsidRPr="00C62016">
        <w:t xml:space="preserve">Sensitivity and specificity traditionally represent diagnostic accuracy </w:t>
      </w:r>
      <w:r w:rsidR="001A3CFB" w:rsidRPr="00C62016">
        <w:t>but</w:t>
      </w:r>
      <w:r w:rsidR="001A3CFB">
        <w:t xml:space="preserve"> are only</w:t>
      </w:r>
      <w:r w:rsidRPr="00C62016">
        <w:t xml:space="preserve"> available from two trials and for CIN1+ </w:t>
      </w:r>
      <w:r>
        <w:t>endpoint</w:t>
      </w:r>
      <w:r w:rsidRPr="00C62016">
        <w:t>. Therefore positive predictive value fo</w:t>
      </w:r>
      <w:r w:rsidR="00872B81">
        <w:t xml:space="preserve">r CIN 2+ </w:t>
      </w:r>
      <w:r w:rsidRPr="00C62016">
        <w:t>and CIN 3+, are relied on for the assessment of diagnostic accuracy.</w:t>
      </w:r>
    </w:p>
    <w:p w:rsidR="00BF722B" w:rsidRPr="00C62016" w:rsidRDefault="00BF722B" w:rsidP="00BF722B">
      <w:r w:rsidRPr="00C62016">
        <w:t xml:space="preserve">Upon application of the reference standard, compared to </w:t>
      </w:r>
      <w:r>
        <w:t>CC</w:t>
      </w:r>
      <w:r w:rsidRPr="00C62016">
        <w:t xml:space="preserve">, cell enrichment liquid based cytology </w:t>
      </w:r>
      <w:r>
        <w:t>LBC demonstrates:</w:t>
      </w:r>
    </w:p>
    <w:p w:rsidR="00BF722B" w:rsidRPr="00C62016" w:rsidRDefault="00BF722B" w:rsidP="00BF722B">
      <w:pPr>
        <w:pStyle w:val="ListParagraph"/>
        <w:numPr>
          <w:ilvl w:val="0"/>
          <w:numId w:val="53"/>
        </w:numPr>
      </w:pPr>
      <w:r w:rsidRPr="00C62016">
        <w:t>a significantly greater sensitivity to detect CIN 1+ at a test threshold of ASCUS (pLSIL)</w:t>
      </w:r>
      <w:r w:rsidRPr="002E2A50">
        <w:t xml:space="preserve"> (96.3% vs. 92.0%, P=0.0244</w:t>
      </w:r>
      <w:r>
        <w:t>; an absolute increa</w:t>
      </w:r>
      <w:r w:rsidR="009E148E">
        <w:t>s</w:t>
      </w:r>
      <w:r>
        <w:t>e of 4.3%)</w:t>
      </w:r>
    </w:p>
    <w:p w:rsidR="00BF722B" w:rsidRDefault="00BF722B" w:rsidP="00BF722B">
      <w:pPr>
        <w:pStyle w:val="ListParagraph"/>
        <w:numPr>
          <w:ilvl w:val="0"/>
          <w:numId w:val="53"/>
        </w:numPr>
      </w:pPr>
      <w:r w:rsidRPr="00C62016">
        <w:t>a significantly reduced specificity to detect CIN 1+ at a test threshold of ASCUS (pLSIL)</w:t>
      </w:r>
      <w:r w:rsidRPr="002E2A50">
        <w:t xml:space="preserve"> (97.7% vs. 98.</w:t>
      </w:r>
      <w:r w:rsidR="009E148E">
        <w:t>2</w:t>
      </w:r>
      <w:r w:rsidRPr="002E2A50">
        <w:t>%, P &lt; 0.0001</w:t>
      </w:r>
      <w:r>
        <w:t xml:space="preserve">, an absolute decrease of </w:t>
      </w:r>
      <w:r w:rsidR="009E148E">
        <w:t>0.5</w:t>
      </w:r>
      <w:r>
        <w:t>%</w:t>
      </w:r>
      <w:r w:rsidRPr="002E2A50">
        <w:t>).</w:t>
      </w:r>
    </w:p>
    <w:p w:rsidR="00DD2F21" w:rsidRDefault="00BF722B" w:rsidP="00DD2F21">
      <w:r w:rsidRPr="00DC6EEA">
        <w:t>CIN 1</w:t>
      </w:r>
      <w:r>
        <w:t xml:space="preserve"> </w:t>
      </w:r>
      <w:r w:rsidRPr="00DC6EEA">
        <w:t>is the histopathologic manifestation of a carcinogenic or non-carcinogenic HPV infection that rarely progresses to cancer</w:t>
      </w:r>
      <w:r>
        <w:t xml:space="preserve"> (Arbyn 2009).</w:t>
      </w:r>
      <w:r w:rsidRPr="00DC6EEA">
        <w:t xml:space="preserve"> </w:t>
      </w:r>
      <w:r>
        <w:t>The Australian cervical screening guidelines</w:t>
      </w:r>
      <w:r w:rsidR="009E148E">
        <w:t xml:space="preserve"> </w:t>
      </w:r>
      <w:r w:rsidR="009E148E" w:rsidRPr="009E148E">
        <w:t>take the conservative approach whereby the clinical investigation for a pL</w:t>
      </w:r>
      <w:r w:rsidR="009E148E">
        <w:t xml:space="preserve">SIL outcome is follow up CC </w:t>
      </w:r>
      <w:r w:rsidR="009E148E" w:rsidRPr="009E148E">
        <w:t>in 12 months</w:t>
      </w:r>
      <w:r w:rsidR="009E148E">
        <w:t xml:space="preserve"> </w:t>
      </w:r>
      <w:r>
        <w:t xml:space="preserve">(NHMRC 2005). </w:t>
      </w:r>
      <w:r w:rsidR="00DD2F21" w:rsidRPr="00A075C2">
        <w:t>Although false positives are undesirable in a screening program, the follow up investigation in this circumstance does not expose patients to a high risk of adverse outcome.</w:t>
      </w:r>
    </w:p>
    <w:p w:rsidR="00BF722B" w:rsidRDefault="009E148E" w:rsidP="00BF722B">
      <w:pPr>
        <w:pStyle w:val="ListParagraph"/>
      </w:pPr>
      <w:r>
        <w:t xml:space="preserve">Given </w:t>
      </w:r>
      <w:r w:rsidR="00BF722B">
        <w:t>the transient nature of much CIN1</w:t>
      </w:r>
      <w:r>
        <w:t>,</w:t>
      </w:r>
      <w:r w:rsidR="00BF722B">
        <w:t xml:space="preserve"> Arbyn recommends that</w:t>
      </w:r>
      <w:r w:rsidR="00BF722B" w:rsidRPr="00CD45C5">
        <w:t xml:space="preserve"> surrogate outcomes such as reduction of incidence of CIN 3</w:t>
      </w:r>
      <w:r w:rsidR="00BF722B">
        <w:t>+</w:t>
      </w:r>
      <w:r w:rsidR="00BF722B" w:rsidRPr="00CD45C5">
        <w:t>, increased detection rate of CIN 3+ or CIN 2+, or increased, similar or hardly reduced positi</w:t>
      </w:r>
      <w:r w:rsidR="00BF722B">
        <w:t>ve predictive provide more robust comparative assessment of the screening technology</w:t>
      </w:r>
      <w:r w:rsidR="00BF722B" w:rsidRPr="00CD45C5">
        <w:t xml:space="preserve">. CIN 3 </w:t>
      </w:r>
      <w:r w:rsidR="00BF722B">
        <w:t xml:space="preserve">in particular is </w:t>
      </w:r>
      <w:r w:rsidR="00BF722B" w:rsidRPr="00CD45C5">
        <w:t xml:space="preserve">the direct precursor of invasive cancer, and therefore a </w:t>
      </w:r>
      <w:r w:rsidR="00BF722B">
        <w:t xml:space="preserve">good </w:t>
      </w:r>
      <w:r w:rsidR="00BF722B" w:rsidRPr="00CD45C5">
        <w:t xml:space="preserve">proxy outcome of trials evaluating new </w:t>
      </w:r>
      <w:r w:rsidR="00BF722B">
        <w:t>technologies.</w:t>
      </w:r>
    </w:p>
    <w:p w:rsidR="00BF722B" w:rsidRDefault="00BF722B" w:rsidP="00BF722B">
      <w:r>
        <w:lastRenderedPageBreak/>
        <w:t xml:space="preserve">Cell enrichment LBC demonstrated no significant difference </w:t>
      </w:r>
      <w:r w:rsidRPr="00C62016">
        <w:t>in the detection of CIN2+ or CIN3+ at a test threshold of ASCUS+ (pLSIL), LSIL+ or HSIL+</w:t>
      </w:r>
      <w:r>
        <w:t>compared with conventional cytology.</w:t>
      </w:r>
    </w:p>
    <w:p w:rsidR="00BF722B" w:rsidRDefault="00BF722B" w:rsidP="00BF722B">
      <w:r w:rsidRPr="00C62016">
        <w:t xml:space="preserve">These conclusions are similar to those reached in MSAC’s second review of LBC in 2009 (MSAC </w:t>
      </w:r>
      <w:r>
        <w:t>2009</w:t>
      </w:r>
      <w:r w:rsidRPr="00C62016">
        <w:t>).</w:t>
      </w:r>
    </w:p>
    <w:p w:rsidR="00BF722B" w:rsidRDefault="00BF722B" w:rsidP="00BF722B">
      <w:r>
        <w:t>Importantly given the level of evidence and the number of trials now available it was possible to pool the numbers of cervical cancers or CIN 3+ detected thereby increasing the power to detect any difference between LBC and CC. The pooled OR (OR 0.69, 95% CI 0.50 to -0.95) indicates that the odds of detecting CIN3+ with conventional cytology is 31% lower than with LBC.</w:t>
      </w:r>
    </w:p>
    <w:p w:rsidR="00BF722B" w:rsidRDefault="00BF722B" w:rsidP="00BF722B">
      <w:r>
        <w:t>The DAP requires review of outcomes including those related to glandular abnormalities however the trial evidence did not distinguish cervical glandular abnormalities. Retrospective evidence provides data to support the increased detection of glandular abnormalities with cell enrichment LBC. Technical features of cell enrichment LBC provide a plausible rationale supporting this claim.</w:t>
      </w:r>
    </w:p>
    <w:p w:rsidR="00BF722B" w:rsidRDefault="00BF722B" w:rsidP="00BF722B">
      <w:pPr>
        <w:pStyle w:val="Caption"/>
      </w:pPr>
      <w:bookmarkStart w:id="12" w:name="_Toc337546939"/>
      <w:r>
        <w:lastRenderedPageBreak/>
        <w:t xml:space="preserve">Table </w:t>
      </w:r>
      <w:fldSimple w:instr=" SEQ Table \* ARABIC ">
        <w:r w:rsidR="003361A8">
          <w:rPr>
            <w:noProof/>
          </w:rPr>
          <w:t>2</w:t>
        </w:r>
      </w:fldSimple>
      <w:r>
        <w:t xml:space="preserve"> </w:t>
      </w:r>
      <w:r w:rsidRPr="00C62016">
        <w:t>Summary of the evidence base supporting the therapeutic claims</w:t>
      </w:r>
      <w:bookmarkEnd w:id="1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25"/>
        <w:gridCol w:w="1749"/>
        <w:gridCol w:w="1578"/>
        <w:gridCol w:w="2326"/>
        <w:gridCol w:w="2265"/>
      </w:tblGrid>
      <w:tr w:rsidR="00BF722B" w:rsidRPr="0072211B" w:rsidTr="00BF722B">
        <w:trPr>
          <w:cantSplit/>
          <w:tblHeader/>
        </w:trPr>
        <w:tc>
          <w:tcPr>
            <w:tcW w:w="0" w:type="auto"/>
          </w:tcPr>
          <w:p w:rsidR="00BF722B" w:rsidRPr="0072211B" w:rsidRDefault="00BF722B" w:rsidP="00BF722B">
            <w:pPr>
              <w:pStyle w:val="Tabletext"/>
              <w:rPr>
                <w:b/>
              </w:rPr>
            </w:pPr>
            <w:r w:rsidRPr="0072211B">
              <w:rPr>
                <w:b/>
              </w:rPr>
              <w:t>Comparison</w:t>
            </w:r>
          </w:p>
        </w:tc>
        <w:tc>
          <w:tcPr>
            <w:tcW w:w="0" w:type="auto"/>
          </w:tcPr>
          <w:p w:rsidR="00BF722B" w:rsidRPr="0072211B" w:rsidRDefault="00BF722B" w:rsidP="00BF722B">
            <w:pPr>
              <w:pStyle w:val="Tabletext"/>
              <w:rPr>
                <w:b/>
              </w:rPr>
            </w:pPr>
            <w:r w:rsidRPr="0072211B">
              <w:rPr>
                <w:b/>
              </w:rPr>
              <w:t>Therapeutic claim</w:t>
            </w:r>
          </w:p>
        </w:tc>
        <w:tc>
          <w:tcPr>
            <w:tcW w:w="0" w:type="auto"/>
          </w:tcPr>
          <w:p w:rsidR="00BF722B" w:rsidRPr="0072211B" w:rsidRDefault="00BF722B" w:rsidP="00BF722B">
            <w:pPr>
              <w:pStyle w:val="Tabletext"/>
              <w:rPr>
                <w:b/>
              </w:rPr>
            </w:pPr>
            <w:r w:rsidRPr="0072211B">
              <w:rPr>
                <w:b/>
              </w:rPr>
              <w:t>The level and quality of the evidence</w:t>
            </w:r>
          </w:p>
        </w:tc>
        <w:tc>
          <w:tcPr>
            <w:tcW w:w="0" w:type="auto"/>
          </w:tcPr>
          <w:p w:rsidR="00BF722B" w:rsidRPr="0072211B" w:rsidRDefault="00BF722B" w:rsidP="00BF722B">
            <w:pPr>
              <w:pStyle w:val="Tabletext"/>
              <w:rPr>
                <w:b/>
              </w:rPr>
            </w:pPr>
            <w:r w:rsidRPr="0072211B">
              <w:rPr>
                <w:b/>
              </w:rPr>
              <w:t>Statistical precision and size of the effect</w:t>
            </w:r>
          </w:p>
        </w:tc>
        <w:tc>
          <w:tcPr>
            <w:tcW w:w="0" w:type="auto"/>
          </w:tcPr>
          <w:p w:rsidR="00BF722B" w:rsidRPr="0072211B" w:rsidRDefault="00BF722B" w:rsidP="00BF722B">
            <w:pPr>
              <w:pStyle w:val="Tabletext"/>
              <w:rPr>
                <w:b/>
              </w:rPr>
            </w:pPr>
            <w:r w:rsidRPr="0072211B">
              <w:rPr>
                <w:b/>
              </w:rPr>
              <w:t>Consistency of the results over the trials presented</w:t>
            </w:r>
          </w:p>
        </w:tc>
      </w:tr>
      <w:tr w:rsidR="00BF722B" w:rsidRPr="0072211B" w:rsidTr="00BF722B">
        <w:trPr>
          <w:cantSplit/>
        </w:trPr>
        <w:tc>
          <w:tcPr>
            <w:tcW w:w="0" w:type="auto"/>
          </w:tcPr>
          <w:p w:rsidR="00BF722B" w:rsidRPr="0072211B" w:rsidRDefault="00BF722B" w:rsidP="00BF722B">
            <w:pPr>
              <w:pStyle w:val="Tabletext"/>
            </w:pPr>
            <w:r w:rsidRPr="0072211B">
              <w:t>Cell enrichment LBC v conventional cytology</w:t>
            </w:r>
          </w:p>
        </w:tc>
        <w:tc>
          <w:tcPr>
            <w:tcW w:w="0" w:type="auto"/>
          </w:tcPr>
          <w:p w:rsidR="00BF722B" w:rsidRPr="0072211B" w:rsidRDefault="00BF722B" w:rsidP="00BF722B">
            <w:pPr>
              <w:pStyle w:val="Tabletext"/>
            </w:pPr>
            <w:r w:rsidRPr="0072211B">
              <w:t>Cell enrichment LBC results in less unsatisfactory tests</w:t>
            </w:r>
          </w:p>
        </w:tc>
        <w:tc>
          <w:tcPr>
            <w:tcW w:w="0" w:type="auto"/>
          </w:tcPr>
          <w:p w:rsidR="00BF722B" w:rsidRPr="0072211B" w:rsidRDefault="00BF722B" w:rsidP="00BF722B">
            <w:pPr>
              <w:pStyle w:val="Tabletext"/>
            </w:pPr>
            <w:r w:rsidRPr="0072211B">
              <w:t>Single head-to-head RCT of over 80,000 slides</w:t>
            </w:r>
          </w:p>
          <w:p w:rsidR="00BF722B" w:rsidRPr="0072211B" w:rsidRDefault="00BF722B" w:rsidP="00BF722B">
            <w:pPr>
              <w:pStyle w:val="Tabletext"/>
            </w:pPr>
            <w:r w:rsidRPr="0072211B">
              <w:t>(Beerman 2009)</w:t>
            </w:r>
          </w:p>
        </w:tc>
        <w:tc>
          <w:tcPr>
            <w:tcW w:w="0" w:type="auto"/>
          </w:tcPr>
          <w:p w:rsidR="00BF722B" w:rsidRPr="0072211B" w:rsidRDefault="00BF722B" w:rsidP="00BF722B">
            <w:pPr>
              <w:pStyle w:val="Tabletext"/>
            </w:pPr>
            <w:r w:rsidRPr="0072211B">
              <w:t>% of tests (n/N)</w:t>
            </w:r>
            <w:r w:rsidRPr="0072211B">
              <w:br/>
              <w:t>LBC: 0.1% (46/35315)</w:t>
            </w:r>
            <w:r w:rsidRPr="0072211B">
              <w:br/>
              <w:t>CC: 0.9% (435/51132)</w:t>
            </w:r>
          </w:p>
          <w:p w:rsidR="00BF722B" w:rsidRPr="0072211B" w:rsidRDefault="00BF722B" w:rsidP="00BF722B">
            <w:pPr>
              <w:pStyle w:val="Tabletext"/>
            </w:pPr>
            <w:r w:rsidRPr="0072211B">
              <w:t>OR (95%CI):</w:t>
            </w:r>
            <w:r w:rsidRPr="0072211B">
              <w:br/>
              <w:t>0.15 (0.11, 0.21) (</w:t>
            </w:r>
            <w:r>
              <w:fldChar w:fldCharType="begin"/>
            </w:r>
            <w:r>
              <w:instrText xml:space="preserve"> REF _Ref333993174 \h  \* MERGEFORMAT </w:instrText>
            </w:r>
            <w:r>
              <w:fldChar w:fldCharType="separate"/>
            </w:r>
            <w:r w:rsidR="003361A8">
              <w:t xml:space="preserve">Table </w:t>
            </w:r>
            <w:r w:rsidR="003361A8">
              <w:rPr>
                <w:noProof/>
              </w:rPr>
              <w:t>24</w:t>
            </w:r>
            <w:r>
              <w:fldChar w:fldCharType="end"/>
            </w:r>
            <w:r w:rsidRPr="0072211B">
              <w:t>)</w:t>
            </w:r>
          </w:p>
        </w:tc>
        <w:tc>
          <w:tcPr>
            <w:tcW w:w="0" w:type="auto"/>
          </w:tcPr>
          <w:p w:rsidR="00BF722B" w:rsidRPr="0072211B" w:rsidRDefault="00BF722B" w:rsidP="00BF722B">
            <w:pPr>
              <w:pStyle w:val="Tabletext"/>
            </w:pPr>
            <w:r w:rsidRPr="0072211B">
              <w:t xml:space="preserve">Not applicable (only one trial with evidence). </w:t>
            </w:r>
            <w:proofErr w:type="gramStart"/>
            <w:r w:rsidRPr="0072211B">
              <w:t>applicable</w:t>
            </w:r>
            <w:proofErr w:type="gramEnd"/>
            <w:r w:rsidRPr="0072211B">
              <w:t>. Although unsatisfactory tests consistently lower with LBC (of either method compared with CC, )</w:t>
            </w:r>
          </w:p>
        </w:tc>
      </w:tr>
      <w:tr w:rsidR="00BF722B" w:rsidRPr="0072211B" w:rsidTr="00BF722B">
        <w:trPr>
          <w:cantSplit/>
        </w:trPr>
        <w:tc>
          <w:tcPr>
            <w:tcW w:w="0" w:type="auto"/>
          </w:tcPr>
          <w:p w:rsidR="00BF722B" w:rsidRPr="0072211B" w:rsidRDefault="00BF722B" w:rsidP="00BF722B">
            <w:pPr>
              <w:pStyle w:val="Tabletext"/>
            </w:pPr>
          </w:p>
        </w:tc>
        <w:tc>
          <w:tcPr>
            <w:tcW w:w="0" w:type="auto"/>
          </w:tcPr>
          <w:p w:rsidR="00BF722B" w:rsidRPr="0072211B" w:rsidRDefault="00BF722B" w:rsidP="00BF722B">
            <w:pPr>
              <w:pStyle w:val="Tabletext"/>
            </w:pPr>
            <w:r w:rsidRPr="0072211B">
              <w:t xml:space="preserve">Cell enrichment demonstrates a </w:t>
            </w:r>
            <w:r w:rsidRPr="0072211B">
              <w:rPr>
                <w:b/>
                <w:i/>
              </w:rPr>
              <w:t>significantly greater sensitivity</w:t>
            </w:r>
            <w:r w:rsidRPr="0072211B">
              <w:t xml:space="preserve"> to detect CIN 1+ at a test threshold of ASCUS (pLSIL)</w:t>
            </w:r>
          </w:p>
        </w:tc>
        <w:tc>
          <w:tcPr>
            <w:tcW w:w="0" w:type="auto"/>
          </w:tcPr>
          <w:p w:rsidR="00BF722B" w:rsidRPr="0072211B" w:rsidRDefault="00BF722B" w:rsidP="00BF722B">
            <w:pPr>
              <w:pStyle w:val="Tabletext"/>
            </w:pPr>
            <w:r w:rsidRPr="0072211B">
              <w:t>As above</w:t>
            </w:r>
          </w:p>
        </w:tc>
        <w:tc>
          <w:tcPr>
            <w:tcW w:w="0" w:type="auto"/>
          </w:tcPr>
          <w:p w:rsidR="00BF722B" w:rsidRPr="0072211B" w:rsidRDefault="00BF722B" w:rsidP="00BF722B">
            <w:pPr>
              <w:pStyle w:val="Tabletext"/>
            </w:pPr>
            <w:r w:rsidRPr="0072211B">
              <w:t>Sensitivity [95% CI]</w:t>
            </w:r>
          </w:p>
          <w:p w:rsidR="00BF722B" w:rsidRPr="0072211B" w:rsidRDefault="00BF722B" w:rsidP="00BF722B">
            <w:pPr>
              <w:pStyle w:val="Tabletext"/>
            </w:pPr>
            <w:r w:rsidRPr="0072211B">
              <w:t>LBC: 96.24% [93.54, 97.84]</w:t>
            </w:r>
          </w:p>
          <w:p w:rsidR="00BF722B" w:rsidRPr="0072211B" w:rsidRDefault="00BF722B" w:rsidP="00BF722B">
            <w:pPr>
              <w:pStyle w:val="Tabletext"/>
            </w:pPr>
            <w:r w:rsidRPr="0072211B">
              <w:t>CC: 92.04% [88.87, 94.37]</w:t>
            </w:r>
          </w:p>
          <w:p w:rsidR="00BF722B" w:rsidRPr="0072211B" w:rsidRDefault="00BF722B" w:rsidP="00BF722B">
            <w:pPr>
              <w:pStyle w:val="Tabletext"/>
            </w:pPr>
            <w:r w:rsidRPr="0072211B">
              <w:t>p=0.0244 (</w:t>
            </w:r>
            <w:r>
              <w:fldChar w:fldCharType="begin"/>
            </w:r>
            <w:r>
              <w:instrText xml:space="preserve"> REF _Ref332828410 \h  \* MERGEFORMAT </w:instrText>
            </w:r>
            <w:r>
              <w:fldChar w:fldCharType="separate"/>
            </w:r>
            <w:r w:rsidR="003361A8">
              <w:t xml:space="preserve">Table </w:t>
            </w:r>
            <w:r w:rsidR="003361A8">
              <w:rPr>
                <w:noProof/>
              </w:rPr>
              <w:t>50</w:t>
            </w:r>
            <w:r>
              <w:fldChar w:fldCharType="end"/>
            </w:r>
            <w:r w:rsidRPr="0072211B">
              <w:t>)</w:t>
            </w:r>
          </w:p>
        </w:tc>
        <w:tc>
          <w:tcPr>
            <w:tcW w:w="0" w:type="auto"/>
          </w:tcPr>
          <w:p w:rsidR="00BF722B" w:rsidRPr="0072211B" w:rsidRDefault="00BF722B" w:rsidP="00BF722B">
            <w:pPr>
              <w:pStyle w:val="Tabletext"/>
            </w:pPr>
            <w:r w:rsidRPr="0072211B">
              <w:t xml:space="preserve">Not applicable (only one trial with evidence). </w:t>
            </w:r>
            <w:proofErr w:type="gramStart"/>
            <w:r w:rsidRPr="0072211B">
              <w:t>applicable</w:t>
            </w:r>
            <w:proofErr w:type="gramEnd"/>
            <w:r w:rsidRPr="0072211B">
              <w:t xml:space="preserve">. Although greater sensitivity with LBC (of </w:t>
            </w:r>
            <w:r>
              <w:t>either method compared with CC</w:t>
            </w:r>
            <w:r w:rsidRPr="0072211B">
              <w:t>)</w:t>
            </w:r>
          </w:p>
        </w:tc>
      </w:tr>
      <w:tr w:rsidR="00BF722B" w:rsidRPr="0072211B" w:rsidTr="00BF722B">
        <w:trPr>
          <w:cantSplit/>
        </w:trPr>
        <w:tc>
          <w:tcPr>
            <w:tcW w:w="0" w:type="auto"/>
          </w:tcPr>
          <w:p w:rsidR="00BF722B" w:rsidRPr="0072211B" w:rsidRDefault="00BF722B" w:rsidP="00BF722B">
            <w:pPr>
              <w:pStyle w:val="Tabletext"/>
            </w:pPr>
          </w:p>
        </w:tc>
        <w:tc>
          <w:tcPr>
            <w:tcW w:w="0" w:type="auto"/>
          </w:tcPr>
          <w:p w:rsidR="00BF722B" w:rsidRPr="0072211B" w:rsidRDefault="00BF722B" w:rsidP="00BF722B">
            <w:pPr>
              <w:pStyle w:val="Tabletext"/>
            </w:pPr>
            <w:r w:rsidRPr="0072211B">
              <w:t xml:space="preserve">Cell enrichment demonstrates a </w:t>
            </w:r>
            <w:r w:rsidRPr="0072211B">
              <w:rPr>
                <w:b/>
                <w:i/>
              </w:rPr>
              <w:t>significantly reduced specificity</w:t>
            </w:r>
            <w:r w:rsidRPr="0072211B">
              <w:t xml:space="preserve"> to detect CIN 1+ at a test threshold of ASCUS (pLSIL).</w:t>
            </w:r>
          </w:p>
        </w:tc>
        <w:tc>
          <w:tcPr>
            <w:tcW w:w="0" w:type="auto"/>
          </w:tcPr>
          <w:p w:rsidR="00BF722B" w:rsidRPr="0072211B" w:rsidRDefault="00BF722B" w:rsidP="00BF722B">
            <w:pPr>
              <w:pStyle w:val="Tabletext"/>
            </w:pPr>
            <w:r w:rsidRPr="0072211B">
              <w:t>As above</w:t>
            </w:r>
          </w:p>
        </w:tc>
        <w:tc>
          <w:tcPr>
            <w:tcW w:w="0" w:type="auto"/>
          </w:tcPr>
          <w:p w:rsidR="00BF722B" w:rsidRPr="0072211B" w:rsidRDefault="00BF722B" w:rsidP="00BF722B">
            <w:pPr>
              <w:pStyle w:val="Tabletext"/>
            </w:pPr>
            <w:r w:rsidRPr="0072211B">
              <w:t>Specificity (n/N) [95% CI]</w:t>
            </w:r>
          </w:p>
          <w:p w:rsidR="00BF722B" w:rsidRPr="0072211B" w:rsidRDefault="00BF722B" w:rsidP="00BF722B">
            <w:pPr>
              <w:pStyle w:val="Tabletext"/>
            </w:pPr>
            <w:r w:rsidRPr="0072211B">
              <w:t>LBC: 97.75% [97.58, 97.90]</w:t>
            </w:r>
          </w:p>
          <w:p w:rsidR="00BF722B" w:rsidRPr="0072211B" w:rsidRDefault="00BF722B" w:rsidP="00BF722B">
            <w:pPr>
              <w:pStyle w:val="Tabletext"/>
            </w:pPr>
            <w:r w:rsidRPr="0072211B">
              <w:t>CC: 98.17% [98.05, 98.28]</w:t>
            </w:r>
          </w:p>
          <w:p w:rsidR="00BF722B" w:rsidRPr="0072211B" w:rsidRDefault="00BF722B" w:rsidP="00BF722B">
            <w:pPr>
              <w:pStyle w:val="Tabletext"/>
            </w:pPr>
            <w:r w:rsidRPr="0072211B">
              <w:t>p&lt;0.0001 (</w:t>
            </w:r>
            <w:r>
              <w:fldChar w:fldCharType="begin"/>
            </w:r>
            <w:r>
              <w:instrText xml:space="preserve"> REF _Ref332828410 \h  \* MERGEFORMAT </w:instrText>
            </w:r>
            <w:r>
              <w:fldChar w:fldCharType="separate"/>
            </w:r>
            <w:r w:rsidR="003361A8">
              <w:t xml:space="preserve">Table </w:t>
            </w:r>
            <w:r w:rsidR="003361A8">
              <w:rPr>
                <w:noProof/>
              </w:rPr>
              <w:t>50</w:t>
            </w:r>
            <w:r>
              <w:fldChar w:fldCharType="end"/>
            </w:r>
            <w:r w:rsidRPr="0072211B">
              <w:t>)</w:t>
            </w:r>
          </w:p>
        </w:tc>
        <w:tc>
          <w:tcPr>
            <w:tcW w:w="0" w:type="auto"/>
          </w:tcPr>
          <w:p w:rsidR="00BF722B" w:rsidRPr="0072211B" w:rsidRDefault="00BF722B" w:rsidP="00BF722B">
            <w:pPr>
              <w:pStyle w:val="Tabletext"/>
            </w:pPr>
            <w:r w:rsidRPr="0072211B">
              <w:t xml:space="preserve">Not applicable (only one trial with evidence). </w:t>
            </w:r>
            <w:proofErr w:type="gramStart"/>
            <w:r w:rsidRPr="0072211B">
              <w:t>applicable</w:t>
            </w:r>
            <w:proofErr w:type="gramEnd"/>
            <w:r w:rsidRPr="0072211B">
              <w:t>. Although reduced specificity with LBC (of either method compared with CC</w:t>
            </w:r>
            <w:r>
              <w:t>)</w:t>
            </w:r>
          </w:p>
        </w:tc>
      </w:tr>
      <w:tr w:rsidR="00BF722B" w:rsidRPr="0072211B" w:rsidTr="00BF722B">
        <w:trPr>
          <w:cantSplit/>
        </w:trPr>
        <w:tc>
          <w:tcPr>
            <w:tcW w:w="0" w:type="auto"/>
          </w:tcPr>
          <w:p w:rsidR="00BF722B" w:rsidRPr="0072211B" w:rsidRDefault="00BF722B" w:rsidP="00BF722B">
            <w:pPr>
              <w:pStyle w:val="Tabletext"/>
            </w:pPr>
          </w:p>
        </w:tc>
        <w:tc>
          <w:tcPr>
            <w:tcW w:w="0" w:type="auto"/>
          </w:tcPr>
          <w:p w:rsidR="00BF722B" w:rsidRPr="0072211B" w:rsidRDefault="00BF722B" w:rsidP="00BF722B">
            <w:pPr>
              <w:pStyle w:val="Tabletext"/>
            </w:pPr>
            <w:r w:rsidRPr="0072211B">
              <w:t>Higher detection of ASCUS (pLSIL)</w:t>
            </w:r>
          </w:p>
        </w:tc>
        <w:tc>
          <w:tcPr>
            <w:tcW w:w="0" w:type="auto"/>
          </w:tcPr>
          <w:p w:rsidR="00BF722B" w:rsidRPr="0072211B" w:rsidRDefault="00BF722B" w:rsidP="00BF722B">
            <w:pPr>
              <w:pStyle w:val="Tabletext"/>
            </w:pPr>
            <w:r w:rsidRPr="0072211B">
              <w:t>As above</w:t>
            </w:r>
          </w:p>
        </w:tc>
        <w:tc>
          <w:tcPr>
            <w:tcW w:w="0" w:type="auto"/>
          </w:tcPr>
          <w:p w:rsidR="00BF722B" w:rsidRPr="0072211B" w:rsidRDefault="00BF722B" w:rsidP="00BF722B">
            <w:pPr>
              <w:pStyle w:val="Tabletext"/>
            </w:pPr>
            <w:r w:rsidRPr="0072211B">
              <w:t>Test yield comparison</w:t>
            </w:r>
          </w:p>
          <w:p w:rsidR="00BF722B" w:rsidRPr="0072211B" w:rsidRDefault="00BF722B" w:rsidP="00BF722B">
            <w:pPr>
              <w:pStyle w:val="Tabletext"/>
            </w:pPr>
            <w:r w:rsidRPr="0072211B">
              <w:t>LBC: 2.07% (730/35,315)</w:t>
            </w:r>
          </w:p>
          <w:p w:rsidR="00BF722B" w:rsidRPr="0072211B" w:rsidRDefault="00BF722B" w:rsidP="00BF722B">
            <w:pPr>
              <w:pStyle w:val="Tabletext"/>
            </w:pPr>
            <w:r w:rsidRPr="0072211B">
              <w:t>CC: 0.87% (443/51132)</w:t>
            </w:r>
          </w:p>
          <w:p w:rsidR="00BF722B" w:rsidRPr="0072211B" w:rsidRDefault="00BF722B" w:rsidP="00BF722B">
            <w:pPr>
              <w:pStyle w:val="Tabletext"/>
            </w:pPr>
            <w:r w:rsidRPr="0072211B">
              <w:t>P&lt;0.0001 (</w:t>
            </w:r>
            <w:r>
              <w:fldChar w:fldCharType="begin"/>
            </w:r>
            <w:r>
              <w:instrText xml:space="preserve"> REF _Ref334006555 \h  \* MERGEFORMAT </w:instrText>
            </w:r>
            <w:r>
              <w:fldChar w:fldCharType="separate"/>
            </w:r>
            <w:r w:rsidR="003361A8">
              <w:t xml:space="preserve">Table </w:t>
            </w:r>
            <w:r w:rsidR="003361A8">
              <w:rPr>
                <w:noProof/>
              </w:rPr>
              <w:t>32</w:t>
            </w:r>
            <w:r>
              <w:fldChar w:fldCharType="end"/>
            </w:r>
            <w:r w:rsidRPr="0072211B">
              <w:t>)</w:t>
            </w:r>
          </w:p>
        </w:tc>
        <w:tc>
          <w:tcPr>
            <w:tcW w:w="0" w:type="auto"/>
          </w:tcPr>
          <w:p w:rsidR="00BF722B" w:rsidRPr="0072211B" w:rsidRDefault="00BF722B" w:rsidP="00BF722B">
            <w:pPr>
              <w:pStyle w:val="Tabletext"/>
            </w:pPr>
            <w:r w:rsidRPr="0072211B">
              <w:t>Consistent increase in ASCUS reported in RODEO trial</w:t>
            </w:r>
          </w:p>
        </w:tc>
      </w:tr>
      <w:tr w:rsidR="00BF722B" w:rsidRPr="0072211B" w:rsidTr="00BF722B">
        <w:trPr>
          <w:cantSplit/>
        </w:trPr>
        <w:tc>
          <w:tcPr>
            <w:tcW w:w="0" w:type="auto"/>
          </w:tcPr>
          <w:p w:rsidR="00BF722B" w:rsidRPr="0072211B" w:rsidRDefault="00BF722B" w:rsidP="00BF722B">
            <w:pPr>
              <w:pStyle w:val="Tabletext"/>
            </w:pPr>
          </w:p>
        </w:tc>
        <w:tc>
          <w:tcPr>
            <w:tcW w:w="0" w:type="auto"/>
          </w:tcPr>
          <w:p w:rsidR="00BF722B" w:rsidRPr="0072211B" w:rsidRDefault="00BF722B" w:rsidP="00BF722B">
            <w:pPr>
              <w:pStyle w:val="Tabletext"/>
            </w:pPr>
            <w:r w:rsidRPr="0072211B">
              <w:t>No difference in the detection of LSIL</w:t>
            </w:r>
          </w:p>
        </w:tc>
        <w:tc>
          <w:tcPr>
            <w:tcW w:w="0" w:type="auto"/>
          </w:tcPr>
          <w:p w:rsidR="00BF722B" w:rsidRPr="0072211B" w:rsidRDefault="00BF722B" w:rsidP="00BF722B">
            <w:pPr>
              <w:pStyle w:val="Tabletext"/>
            </w:pPr>
            <w:r w:rsidRPr="0072211B">
              <w:t>As above</w:t>
            </w:r>
          </w:p>
        </w:tc>
        <w:tc>
          <w:tcPr>
            <w:tcW w:w="0" w:type="auto"/>
          </w:tcPr>
          <w:p w:rsidR="00BF722B" w:rsidRPr="0072211B" w:rsidRDefault="00BF722B" w:rsidP="00BF722B">
            <w:pPr>
              <w:pStyle w:val="Tabletext"/>
            </w:pPr>
            <w:r w:rsidRPr="0072211B">
              <w:t>Test yield comparison</w:t>
            </w:r>
          </w:p>
          <w:p w:rsidR="00BF722B" w:rsidRPr="0072211B" w:rsidRDefault="00BF722B" w:rsidP="00BF722B">
            <w:pPr>
              <w:pStyle w:val="Tabletext"/>
            </w:pPr>
            <w:r w:rsidRPr="0072211B">
              <w:t>LBC: 0.27% (94/35,315)</w:t>
            </w:r>
          </w:p>
          <w:p w:rsidR="00BF722B" w:rsidRPr="0072211B" w:rsidRDefault="00BF722B" w:rsidP="00BF722B">
            <w:pPr>
              <w:pStyle w:val="Tabletext"/>
            </w:pPr>
            <w:r w:rsidRPr="0072211B">
              <w:t>CC: 0.22% (110/51132)</w:t>
            </w:r>
          </w:p>
          <w:p w:rsidR="00BF722B" w:rsidRPr="0072211B" w:rsidRDefault="00BF722B" w:rsidP="00BF722B">
            <w:pPr>
              <w:pStyle w:val="Tabletext"/>
            </w:pPr>
            <w:r w:rsidRPr="0072211B">
              <w:t>p=0.13 (</w:t>
            </w:r>
            <w:r>
              <w:fldChar w:fldCharType="begin"/>
            </w:r>
            <w:r>
              <w:instrText xml:space="preserve"> REF _Ref334006555 \h  \* MERGEFORMAT </w:instrText>
            </w:r>
            <w:r>
              <w:fldChar w:fldCharType="separate"/>
            </w:r>
            <w:r w:rsidR="003361A8">
              <w:t xml:space="preserve">Table </w:t>
            </w:r>
            <w:r w:rsidR="003361A8">
              <w:rPr>
                <w:noProof/>
              </w:rPr>
              <w:t>32</w:t>
            </w:r>
            <w:r>
              <w:fldChar w:fldCharType="end"/>
            </w:r>
            <w:r w:rsidRPr="0072211B">
              <w:t>)</w:t>
            </w:r>
          </w:p>
        </w:tc>
        <w:tc>
          <w:tcPr>
            <w:tcW w:w="0" w:type="auto"/>
          </w:tcPr>
          <w:p w:rsidR="00BF722B" w:rsidRPr="0072211B" w:rsidRDefault="00BF722B" w:rsidP="00BF722B">
            <w:pPr>
              <w:pStyle w:val="Tabletext"/>
            </w:pPr>
            <w:r w:rsidRPr="0072211B">
              <w:t>RODEO trial reported</w:t>
            </w:r>
          </w:p>
          <w:p w:rsidR="00BF722B" w:rsidRPr="0072211B" w:rsidRDefault="00BF722B" w:rsidP="00BF722B">
            <w:pPr>
              <w:pStyle w:val="Tabletext"/>
            </w:pPr>
            <w:r w:rsidRPr="0072211B">
              <w:t>LBC= 0.7%(42/6001)</w:t>
            </w:r>
          </w:p>
          <w:p w:rsidR="00BF722B" w:rsidRPr="0072211B" w:rsidRDefault="00BF722B" w:rsidP="00BF722B">
            <w:pPr>
              <w:pStyle w:val="Tabletext"/>
            </w:pPr>
            <w:r w:rsidRPr="0072211B">
              <w:t>CC=0.3%(18/6047)</w:t>
            </w:r>
          </w:p>
          <w:p w:rsidR="00BF722B" w:rsidRPr="0072211B" w:rsidRDefault="00BF722B" w:rsidP="00BF722B">
            <w:pPr>
              <w:pStyle w:val="Tabletext"/>
            </w:pPr>
            <w:r w:rsidRPr="0072211B">
              <w:t>P&lt;0.001*</w:t>
            </w:r>
          </w:p>
        </w:tc>
      </w:tr>
      <w:tr w:rsidR="00BF722B" w:rsidRPr="0072211B" w:rsidTr="00BF722B">
        <w:trPr>
          <w:cantSplit/>
        </w:trPr>
        <w:tc>
          <w:tcPr>
            <w:tcW w:w="0" w:type="auto"/>
          </w:tcPr>
          <w:p w:rsidR="00BF722B" w:rsidRPr="0072211B" w:rsidRDefault="00BF722B" w:rsidP="00BF722B">
            <w:pPr>
              <w:pStyle w:val="Tabletext"/>
            </w:pPr>
          </w:p>
        </w:tc>
        <w:tc>
          <w:tcPr>
            <w:tcW w:w="0" w:type="auto"/>
          </w:tcPr>
          <w:p w:rsidR="00BF722B" w:rsidRPr="0072211B" w:rsidRDefault="00BF722B" w:rsidP="00BF722B">
            <w:pPr>
              <w:pStyle w:val="Tabletext"/>
            </w:pPr>
            <w:r w:rsidRPr="0072211B">
              <w:t>No difference in the detection of HSIL</w:t>
            </w:r>
          </w:p>
        </w:tc>
        <w:tc>
          <w:tcPr>
            <w:tcW w:w="0" w:type="auto"/>
          </w:tcPr>
          <w:p w:rsidR="00BF722B" w:rsidRPr="0072211B" w:rsidRDefault="00BF722B" w:rsidP="00BF722B">
            <w:pPr>
              <w:pStyle w:val="Tabletext"/>
            </w:pPr>
            <w:r w:rsidRPr="0072211B">
              <w:t>As above</w:t>
            </w:r>
          </w:p>
        </w:tc>
        <w:tc>
          <w:tcPr>
            <w:tcW w:w="0" w:type="auto"/>
          </w:tcPr>
          <w:p w:rsidR="00BF722B" w:rsidRPr="0072211B" w:rsidRDefault="00BF722B" w:rsidP="00BF722B">
            <w:pPr>
              <w:pStyle w:val="Tabletext"/>
            </w:pPr>
            <w:r w:rsidRPr="0072211B">
              <w:t>Test yield comparison</w:t>
            </w:r>
          </w:p>
          <w:p w:rsidR="00BF722B" w:rsidRPr="0072211B" w:rsidRDefault="00BF722B" w:rsidP="00BF722B">
            <w:pPr>
              <w:pStyle w:val="Tabletext"/>
            </w:pPr>
            <w:r w:rsidRPr="0072211B">
              <w:t>LBC: 0.64% (226/35,315)</w:t>
            </w:r>
          </w:p>
          <w:p w:rsidR="00BF722B" w:rsidRPr="0072211B" w:rsidRDefault="00BF722B" w:rsidP="00BF722B">
            <w:pPr>
              <w:pStyle w:val="Tabletext"/>
            </w:pPr>
            <w:r w:rsidRPr="0072211B">
              <w:t>CC: 0.56% (288/51132)</w:t>
            </w:r>
          </w:p>
          <w:p w:rsidR="00BF722B" w:rsidRPr="0072211B" w:rsidRDefault="00BF722B" w:rsidP="00BF722B">
            <w:pPr>
              <w:pStyle w:val="Tabletext"/>
            </w:pPr>
            <w:r w:rsidRPr="0072211B">
              <w:t>p=0.15 (</w:t>
            </w:r>
            <w:r>
              <w:fldChar w:fldCharType="begin"/>
            </w:r>
            <w:r>
              <w:instrText xml:space="preserve"> REF _Ref334006555 \h  \* MERGEFORMAT </w:instrText>
            </w:r>
            <w:r>
              <w:fldChar w:fldCharType="separate"/>
            </w:r>
            <w:r w:rsidR="003361A8">
              <w:t xml:space="preserve">Table </w:t>
            </w:r>
            <w:r w:rsidR="003361A8">
              <w:rPr>
                <w:noProof/>
              </w:rPr>
              <w:t>32</w:t>
            </w:r>
            <w:r>
              <w:fldChar w:fldCharType="end"/>
            </w:r>
            <w:r w:rsidRPr="0072211B">
              <w:t>)</w:t>
            </w:r>
          </w:p>
        </w:tc>
        <w:tc>
          <w:tcPr>
            <w:tcW w:w="0" w:type="auto"/>
          </w:tcPr>
          <w:p w:rsidR="00BF722B" w:rsidRPr="0072211B" w:rsidRDefault="00BF722B" w:rsidP="00BF722B">
            <w:pPr>
              <w:pStyle w:val="Tabletext"/>
            </w:pPr>
            <w:r w:rsidRPr="0072211B">
              <w:t>Consistent with no difference reported in RODEO trial</w:t>
            </w:r>
          </w:p>
        </w:tc>
      </w:tr>
      <w:tr w:rsidR="00BF722B" w:rsidRPr="0072211B" w:rsidTr="00BF722B">
        <w:trPr>
          <w:cantSplit/>
        </w:trPr>
        <w:tc>
          <w:tcPr>
            <w:tcW w:w="0" w:type="auto"/>
          </w:tcPr>
          <w:p w:rsidR="00BF722B" w:rsidRPr="0072211B" w:rsidRDefault="00BF722B" w:rsidP="00BF722B">
            <w:pPr>
              <w:pStyle w:val="Tabletext"/>
            </w:pPr>
          </w:p>
        </w:tc>
        <w:tc>
          <w:tcPr>
            <w:tcW w:w="0" w:type="auto"/>
          </w:tcPr>
          <w:p w:rsidR="00BF722B" w:rsidRPr="0072211B" w:rsidRDefault="00BF722B" w:rsidP="00BF722B">
            <w:pPr>
              <w:pStyle w:val="Tabletext"/>
            </w:pPr>
            <w:r w:rsidRPr="0072211B">
              <w:t>No difference in PPV at various test thresholds</w:t>
            </w:r>
          </w:p>
        </w:tc>
        <w:tc>
          <w:tcPr>
            <w:tcW w:w="0" w:type="auto"/>
          </w:tcPr>
          <w:p w:rsidR="00BF722B" w:rsidRPr="0072211B" w:rsidRDefault="00BF722B" w:rsidP="00BF722B">
            <w:pPr>
              <w:pStyle w:val="Tabletext"/>
            </w:pPr>
            <w:r w:rsidRPr="0072211B">
              <w:t>As above</w:t>
            </w:r>
          </w:p>
        </w:tc>
        <w:tc>
          <w:tcPr>
            <w:tcW w:w="0" w:type="auto"/>
          </w:tcPr>
          <w:p w:rsidR="00BF722B" w:rsidRPr="0072211B" w:rsidRDefault="00BF722B" w:rsidP="00BF722B">
            <w:pPr>
              <w:pStyle w:val="Tabletext"/>
            </w:pPr>
            <w:r w:rsidRPr="0072211B">
              <w:t>Comparative PPV RR (95%CI)</w:t>
            </w:r>
          </w:p>
          <w:p w:rsidR="00BF722B" w:rsidRPr="0072211B" w:rsidRDefault="00BF722B" w:rsidP="00BF722B">
            <w:pPr>
              <w:pStyle w:val="Tabletext"/>
            </w:pPr>
            <w:r w:rsidRPr="0072211B">
              <w:t>ASCUS+:1.04[0.91,1.18]</w:t>
            </w:r>
          </w:p>
          <w:p w:rsidR="00BF722B" w:rsidRPr="0072211B" w:rsidRDefault="00BF722B" w:rsidP="00BF722B">
            <w:pPr>
              <w:pStyle w:val="Tabletext"/>
            </w:pPr>
            <w:r w:rsidRPr="0072211B">
              <w:t>LSIL+:0.98[0.9,1.07]</w:t>
            </w:r>
          </w:p>
          <w:p w:rsidR="00BF722B" w:rsidRPr="0072211B" w:rsidRDefault="00BF722B" w:rsidP="00BF722B">
            <w:pPr>
              <w:pStyle w:val="Tabletext"/>
            </w:pPr>
            <w:r w:rsidRPr="0072211B">
              <w:t>HSIL+: 1[0.92,1.07]</w:t>
            </w:r>
          </w:p>
          <w:p w:rsidR="00BF722B" w:rsidRPr="0072211B" w:rsidRDefault="00BF722B" w:rsidP="00BF722B">
            <w:pPr>
              <w:pStyle w:val="Tabletext"/>
            </w:pPr>
            <w:r w:rsidRPr="0072211B">
              <w:t xml:space="preserve"> SCC: 1.33[0.76,2.35]</w:t>
            </w:r>
          </w:p>
          <w:p w:rsidR="00BF722B" w:rsidRPr="0072211B" w:rsidRDefault="00BF722B" w:rsidP="00BF722B">
            <w:pPr>
              <w:pStyle w:val="Tabletext"/>
            </w:pPr>
            <w:r w:rsidRPr="0072211B">
              <w:t>(RR &lt;1 indicates performance of CC is better than LBC)</w:t>
            </w:r>
          </w:p>
        </w:tc>
        <w:tc>
          <w:tcPr>
            <w:tcW w:w="0" w:type="auto"/>
          </w:tcPr>
          <w:p w:rsidR="00BF722B" w:rsidRPr="0072211B" w:rsidRDefault="007602AE" w:rsidP="00BF722B">
            <w:pPr>
              <w:pStyle w:val="Tabletext"/>
            </w:pPr>
            <w:r w:rsidRPr="0072211B">
              <w:t xml:space="preserve">Not applicable (only one trial with evidence). </w:t>
            </w:r>
            <w:proofErr w:type="gramStart"/>
            <w:r w:rsidRPr="0072211B">
              <w:t>applicable</w:t>
            </w:r>
            <w:proofErr w:type="gramEnd"/>
            <w:r w:rsidRPr="0072211B">
              <w:t>.</w:t>
            </w:r>
          </w:p>
        </w:tc>
      </w:tr>
      <w:tr w:rsidR="00BF722B" w:rsidRPr="0072211B" w:rsidTr="00BF722B">
        <w:trPr>
          <w:cantSplit/>
        </w:trPr>
        <w:tc>
          <w:tcPr>
            <w:tcW w:w="0" w:type="auto"/>
          </w:tcPr>
          <w:p w:rsidR="00BF722B" w:rsidRPr="0072211B" w:rsidRDefault="00BF722B" w:rsidP="00BF722B">
            <w:pPr>
              <w:pStyle w:val="Tabletext"/>
            </w:pPr>
            <w:r w:rsidRPr="0072211B">
              <w:lastRenderedPageBreak/>
              <w:t>Cell enrichment LBC v Cell filtration LBC</w:t>
            </w:r>
          </w:p>
        </w:tc>
        <w:tc>
          <w:tcPr>
            <w:tcW w:w="0" w:type="auto"/>
          </w:tcPr>
          <w:p w:rsidR="00BF722B" w:rsidRPr="0072211B" w:rsidRDefault="00BF722B" w:rsidP="00BF722B">
            <w:pPr>
              <w:pStyle w:val="Tabletext"/>
            </w:pPr>
            <w:r w:rsidRPr="0072211B">
              <w:t>Cell enrichment LBC results in less unsatisfactory tests</w:t>
            </w:r>
          </w:p>
        </w:tc>
        <w:tc>
          <w:tcPr>
            <w:tcW w:w="0" w:type="auto"/>
          </w:tcPr>
          <w:p w:rsidR="00BF722B" w:rsidRPr="0072211B" w:rsidRDefault="00BF722B" w:rsidP="00BF722B">
            <w:pPr>
              <w:pStyle w:val="Tabletext"/>
            </w:pPr>
            <w:r w:rsidRPr="0072211B">
              <w:t>Indirect comparison via conventional cytology with a single RCT of each LBC method compared with CC</w:t>
            </w:r>
          </w:p>
          <w:p w:rsidR="00BF722B" w:rsidRPr="0072211B" w:rsidRDefault="00BF722B" w:rsidP="00BF722B">
            <w:pPr>
              <w:pStyle w:val="Tabletext"/>
            </w:pPr>
            <w:r w:rsidRPr="0072211B">
              <w:t>(Beerman and Strander for cell enrichment and cell filtration respectively)</w:t>
            </w:r>
          </w:p>
        </w:tc>
        <w:tc>
          <w:tcPr>
            <w:tcW w:w="0" w:type="auto"/>
          </w:tcPr>
          <w:p w:rsidR="00BF722B" w:rsidRPr="0072211B" w:rsidRDefault="00BF722B" w:rsidP="00BF722B">
            <w:pPr>
              <w:pStyle w:val="Tabletext"/>
            </w:pPr>
            <w:r w:rsidRPr="0072211B">
              <w:t>Indirect estimate of effect</w:t>
            </w:r>
          </w:p>
          <w:p w:rsidR="00BF722B" w:rsidRPr="0072211B" w:rsidRDefault="00BF722B" w:rsidP="00BF722B">
            <w:pPr>
              <w:pStyle w:val="Tabletext"/>
            </w:pPr>
            <w:r w:rsidRPr="0072211B">
              <w:t>OR (95%CI)</w:t>
            </w:r>
          </w:p>
          <w:p w:rsidR="00BF722B" w:rsidRPr="0072211B" w:rsidRDefault="00BF722B" w:rsidP="00BF722B">
            <w:pPr>
              <w:pStyle w:val="Tabletext"/>
            </w:pPr>
            <w:r w:rsidRPr="0072211B">
              <w:t>0.3586 (0.19, 0.69), p=0.0022</w:t>
            </w:r>
          </w:p>
          <w:p w:rsidR="00BF722B" w:rsidRPr="0072211B" w:rsidRDefault="00BF722B" w:rsidP="00BF722B">
            <w:pPr>
              <w:pStyle w:val="Tabletext"/>
            </w:pPr>
            <w:r w:rsidRPr="0072211B">
              <w:t>(</w:t>
            </w:r>
            <w:r>
              <w:fldChar w:fldCharType="begin"/>
            </w:r>
            <w:r>
              <w:instrText xml:space="preserve"> REF _Ref333955921 \h  \* MERGEFORMAT </w:instrText>
            </w:r>
            <w:r>
              <w:fldChar w:fldCharType="separate"/>
            </w:r>
            <w:r w:rsidR="003361A8">
              <w:t xml:space="preserve">Table </w:t>
            </w:r>
            <w:r w:rsidR="003361A8">
              <w:rPr>
                <w:noProof/>
              </w:rPr>
              <w:t>31</w:t>
            </w:r>
            <w:r>
              <w:fldChar w:fldCharType="end"/>
            </w:r>
            <w:r w:rsidRPr="0072211B">
              <w:t>)</w:t>
            </w:r>
          </w:p>
        </w:tc>
        <w:tc>
          <w:tcPr>
            <w:tcW w:w="0" w:type="auto"/>
          </w:tcPr>
          <w:p w:rsidR="00BF722B" w:rsidRPr="0072211B" w:rsidRDefault="00BF722B" w:rsidP="00BF722B">
            <w:pPr>
              <w:pStyle w:val="Tabletext"/>
            </w:pPr>
            <w:r w:rsidRPr="0072211B">
              <w:t>Not applicable.</w:t>
            </w:r>
          </w:p>
        </w:tc>
      </w:tr>
      <w:tr w:rsidR="00BF722B" w:rsidRPr="0072211B" w:rsidTr="00BF722B">
        <w:trPr>
          <w:cantSplit/>
        </w:trPr>
        <w:tc>
          <w:tcPr>
            <w:tcW w:w="0" w:type="auto"/>
          </w:tcPr>
          <w:p w:rsidR="00BF722B" w:rsidRPr="0072211B" w:rsidRDefault="00BF722B" w:rsidP="00BF722B">
            <w:pPr>
              <w:pStyle w:val="Tabletext"/>
            </w:pPr>
          </w:p>
        </w:tc>
        <w:tc>
          <w:tcPr>
            <w:tcW w:w="0" w:type="auto"/>
          </w:tcPr>
          <w:p w:rsidR="00BF722B" w:rsidRPr="0072211B" w:rsidRDefault="00BF722B" w:rsidP="00BF722B">
            <w:pPr>
              <w:pStyle w:val="Tabletext"/>
            </w:pPr>
            <w:r w:rsidRPr="0072211B">
              <w:t>No difference in the detection of CIN 1+</w:t>
            </w:r>
          </w:p>
        </w:tc>
        <w:tc>
          <w:tcPr>
            <w:tcW w:w="0" w:type="auto"/>
          </w:tcPr>
          <w:p w:rsidR="00BF722B" w:rsidRPr="0072211B" w:rsidRDefault="00BF722B" w:rsidP="00BF722B">
            <w:pPr>
              <w:pStyle w:val="Tabletext"/>
            </w:pPr>
            <w:r w:rsidRPr="0072211B">
              <w:t>As above</w:t>
            </w:r>
          </w:p>
        </w:tc>
        <w:tc>
          <w:tcPr>
            <w:tcW w:w="0" w:type="auto"/>
          </w:tcPr>
          <w:p w:rsidR="00BF722B" w:rsidRPr="0072211B" w:rsidRDefault="00BF722B" w:rsidP="00BF722B">
            <w:pPr>
              <w:pStyle w:val="Tabletext"/>
            </w:pPr>
            <w:r w:rsidRPr="0072211B">
              <w:t>Sensitivity:</w:t>
            </w:r>
          </w:p>
          <w:p w:rsidR="00BF722B" w:rsidRPr="0072211B" w:rsidRDefault="00BF722B" w:rsidP="00BF722B">
            <w:pPr>
              <w:pStyle w:val="Tabletext"/>
            </w:pPr>
            <w:r w:rsidRPr="0072211B">
              <w:t>Indirect OR (95%):</w:t>
            </w:r>
            <w:r w:rsidRPr="0072211B">
              <w:br/>
              <w:t>0.3319 (0.0165, 6.6684), p=0.47</w:t>
            </w:r>
          </w:p>
          <w:p w:rsidR="00BF722B" w:rsidRPr="0072211B" w:rsidRDefault="00BF722B" w:rsidP="00BF722B">
            <w:pPr>
              <w:pStyle w:val="Tabletext"/>
            </w:pPr>
            <w:r w:rsidRPr="0072211B">
              <w:t>Specificity:</w:t>
            </w:r>
          </w:p>
          <w:p w:rsidR="00BF722B" w:rsidRPr="0072211B" w:rsidRDefault="00BF722B" w:rsidP="00BF722B">
            <w:pPr>
              <w:pStyle w:val="Tabletext"/>
            </w:pPr>
            <w:r w:rsidRPr="0072211B">
              <w:t>Indirect OR (95%):</w:t>
            </w:r>
            <w:r w:rsidRPr="0072211B">
              <w:br/>
              <w:t>1.2596 (0.9542, 1.6627), p=0.10</w:t>
            </w:r>
          </w:p>
          <w:p w:rsidR="00BF722B" w:rsidRPr="0072211B" w:rsidRDefault="00BF722B" w:rsidP="00BF722B">
            <w:pPr>
              <w:pStyle w:val="Tabletext"/>
            </w:pPr>
            <w:r w:rsidRPr="0072211B">
              <w:t>(An OR &gt;1 indicates performance of cell enrichment LBC is better than cell filtration LBC)</w:t>
            </w:r>
          </w:p>
        </w:tc>
        <w:tc>
          <w:tcPr>
            <w:tcW w:w="0" w:type="auto"/>
          </w:tcPr>
          <w:p w:rsidR="00BF722B" w:rsidRPr="0072211B" w:rsidRDefault="00BF722B" w:rsidP="00BF722B">
            <w:pPr>
              <w:pStyle w:val="Tabletext"/>
            </w:pPr>
            <w:r w:rsidRPr="0072211B">
              <w:t>As above</w:t>
            </w:r>
          </w:p>
        </w:tc>
      </w:tr>
    </w:tbl>
    <w:p w:rsidR="00BF722B" w:rsidRDefault="00BF722B" w:rsidP="00BF722B">
      <w:pPr>
        <w:pStyle w:val="Tablenotes"/>
        <w:spacing w:after="0"/>
      </w:pPr>
      <w:r w:rsidRPr="00C62016">
        <w:t xml:space="preserve">* The sample size in the RODEO </w:t>
      </w:r>
      <w:r w:rsidR="001A3CFB" w:rsidRPr="00C62016">
        <w:t>trial</w:t>
      </w:r>
      <w:r w:rsidRPr="00C62016">
        <w:t xml:space="preserve"> is much smaller than the Beerman 2009 trial and the trial represents a different geographical location (remote areas of Brazil) and type of health service (recruitment through mobile units). As such the results are seen to be less comparable with Beerman 2009 and viewed with caution.</w:t>
      </w:r>
    </w:p>
    <w:p w:rsidR="00BF722B" w:rsidRDefault="00BF722B" w:rsidP="00BF722B"/>
    <w:p w:rsidR="008C3B7A" w:rsidRDefault="00BF722B" w:rsidP="00BF722B">
      <w:r w:rsidRPr="00C62016">
        <w:t>In regard to the comparison of manual versus automated review, the results of the MAVARIC trial are confounded due to triage HPV testing, the results of which dictated the application of the reference standard. The results from the study by Palmer 2012 showed that image-assisted screening is at least as good as screening with conventional cytology and is significantly more specific than manual screening.</w:t>
      </w:r>
      <w:r w:rsidR="008C3B7A">
        <w:t xml:space="preserve"> Automated slide review in Palmer 2012 </w:t>
      </w:r>
      <w:r>
        <w:t>averaged 17 slides per hour, a statistically significant increase of 70%</w:t>
      </w:r>
      <w:r w:rsidR="008C3B7A">
        <w:t xml:space="preserve"> compared to manual review</w:t>
      </w:r>
      <w:r>
        <w:t>.</w:t>
      </w: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The therapeutic conclusion and type of economic evaluation presented</w:t>
      </w:r>
    </w:p>
    <w:p w:rsidR="00BF722B" w:rsidRDefault="00BF722B" w:rsidP="00BF722B">
      <w:r>
        <w:t>For the purpose of economic evaluation</w:t>
      </w:r>
      <w:r w:rsidRPr="00C62016">
        <w:t xml:space="preserve"> differences between cell enrichment LBC and conventional cytology are </w:t>
      </w:r>
      <w:r>
        <w:t xml:space="preserve">taken as being </w:t>
      </w:r>
      <w:r w:rsidRPr="00C62016">
        <w:t xml:space="preserve">confined to differences in detection of pLSIL (more with cell enrichment LBC) and differences in rates of unsatisfactory </w:t>
      </w:r>
      <w:r w:rsidR="007E571E">
        <w:t>test</w:t>
      </w:r>
      <w:r w:rsidRPr="00C62016">
        <w:t xml:space="preserve">s (more with conventional cytology). The NCSP guidelines provide almost identical guidance with respect to the follow-up of pLSIL and unsatisfactory smears. That is, repeat the test </w:t>
      </w:r>
      <w:r>
        <w:t>in 12 months</w:t>
      </w:r>
      <w:r w:rsidRPr="00C62016">
        <w:t xml:space="preserve"> (</w:t>
      </w:r>
      <w:r>
        <w:t>within 6 to 12 weeks</w:t>
      </w:r>
      <w:r w:rsidRPr="00C62016">
        <w:t xml:space="preserve"> in the case of unsatisfactory smears). As such, a cost-minimisation analysis which incorporates the costs of following up these repeat tests (whether for pLSIL or unsatisfactory tests) </w:t>
      </w:r>
      <w:r>
        <w:t>is</w:t>
      </w:r>
      <w:r w:rsidRPr="00C62016">
        <w:t xml:space="preserve"> sufficient to determine </w:t>
      </w:r>
      <w:r w:rsidRPr="00C62016">
        <w:lastRenderedPageBreak/>
        <w:t xml:space="preserve">the cost-effectiveness of </w:t>
      </w:r>
      <w:r>
        <w:t>cell enrichment LBC</w:t>
      </w:r>
      <w:r w:rsidR="001A3CFB">
        <w:t xml:space="preserve"> </w:t>
      </w:r>
      <w:r w:rsidRPr="00C62016">
        <w:t>relative to conventional cytology</w:t>
      </w:r>
      <w:r w:rsidR="008C3B7A">
        <w:t>.</w:t>
      </w:r>
      <w:r>
        <w:t xml:space="preserve"> </w:t>
      </w:r>
      <w:r w:rsidR="00F7704B">
        <w:t>A cost-effectiveness model</w:t>
      </w:r>
      <w:r>
        <w:t xml:space="preserve"> is provided </w:t>
      </w:r>
      <w:r w:rsidR="00F7704B">
        <w:t xml:space="preserve">as a supplementary analysis in accordance with </w:t>
      </w:r>
      <w:r>
        <w:t>the DAP.</w:t>
      </w:r>
    </w:p>
    <w:p w:rsidR="00BF722B" w:rsidRPr="00C62016" w:rsidRDefault="00BF722B" w:rsidP="00BF722B">
      <w:r>
        <w:t>The above is a conservative approach to the economic evaluation in that it excludes the pooled data indication of higher detect</w:t>
      </w:r>
      <w:r w:rsidR="00F21E06">
        <w:t xml:space="preserve">ion of </w:t>
      </w:r>
      <w:r>
        <w:t xml:space="preserve">CIN3+ </w:t>
      </w:r>
      <w:r w:rsidR="00F21E06">
        <w:t xml:space="preserve">with LBC </w:t>
      </w:r>
      <w:r>
        <w:t xml:space="preserve">and also the </w:t>
      </w:r>
      <w:r w:rsidR="00F21E06">
        <w:t xml:space="preserve">higher probability </w:t>
      </w:r>
      <w:r>
        <w:t>of greater finding</w:t>
      </w:r>
      <w:r w:rsidR="00F21E06">
        <w:t>s</w:t>
      </w:r>
      <w:r>
        <w:t xml:space="preserve"> of abnormalities within tests otherwise categorised as unsatisfactory</w:t>
      </w:r>
      <w:r w:rsidR="00F21E06">
        <w:t xml:space="preserve"> by conventional cytology</w:t>
      </w:r>
      <w:r>
        <w:t>.</w:t>
      </w: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Assessment of applicability issues</w:t>
      </w:r>
    </w:p>
    <w:p w:rsidR="00BF722B" w:rsidRPr="00C62016" w:rsidRDefault="00BF722B" w:rsidP="00BF722B">
      <w:r w:rsidRPr="00C62016">
        <w:t xml:space="preserve">The reference standards applied in the majority of trials are not applicable to the Australian context. For those that are representative of Australian practice the timing of repeat cytology is not known nor the outcome of the repeat test. Furthermore the participant baseline characteristics and test yield outcomes from the trials are not representative of the Australian population. Nonetheless across varying reference standards, patient characteristics and test yield outcomes the same conclusions that cell enrichment LBC demonstrates superior reduction in unsatisfactory slides and non inferior accuracy compared with cell filtration LBC and conventional cytology are maintained. </w:t>
      </w:r>
    </w:p>
    <w:p w:rsidR="00BF722B" w:rsidRPr="00C62016" w:rsidRDefault="00BF722B" w:rsidP="00BF722B">
      <w:r w:rsidRPr="00C62016">
        <w:t xml:space="preserve">The lower unsatisfactory outcomes associated with cell enrichment LBC are expected to outweigh the lower ASCUS outcomes associated with conventional cytology. However the outcomes of repeat testing in both situations are not known. </w:t>
      </w:r>
      <w:r>
        <w:t>There is a</w:t>
      </w:r>
      <w:r w:rsidRPr="00C62016">
        <w:t xml:space="preserve"> high likelihood that unsatisfactory slides harbour cervical abnorma</w:t>
      </w:r>
      <w:r>
        <w:t xml:space="preserve">lities </w:t>
      </w:r>
      <w:r w:rsidRPr="00C62016">
        <w:t>(OR 2.78,</w:t>
      </w:r>
      <w:r w:rsidR="00691CE3">
        <w:t xml:space="preserve"> </w:t>
      </w:r>
      <w:r w:rsidRPr="00C62016">
        <w:t>95% CI: 2.31 to 3.35)</w:t>
      </w:r>
      <w:r>
        <w:t xml:space="preserve"> however</w:t>
      </w:r>
      <w:r w:rsidRPr="00C62016">
        <w:t xml:space="preserve"> the follow up testing is conservatively assumed to be the same in the cost-minimisation calculations in section D and E. </w:t>
      </w: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The cost per patient</w:t>
      </w:r>
    </w:p>
    <w:p w:rsidR="00BF722B" w:rsidRPr="00C62016" w:rsidRDefault="00BF722B" w:rsidP="00BF722B">
      <w:r w:rsidRPr="00C62016">
        <w:t>The proposed MBS fee for cell enrichment LBC is $19.60. This equates to the current fee for conventional cytology. This reflects tha</w:t>
      </w:r>
      <w:r>
        <w:t xml:space="preserve">t the outcomes associated with </w:t>
      </w:r>
      <w:r w:rsidRPr="00C62016">
        <w:t xml:space="preserve">cell enrichment LBC is at least as accurate as conventional cytology. </w:t>
      </w:r>
    </w:p>
    <w:p w:rsidR="00BF722B" w:rsidRDefault="00BF722B" w:rsidP="00BF722B">
      <w:r>
        <w:t>E</w:t>
      </w:r>
      <w:r w:rsidRPr="00C62016">
        <w:t xml:space="preserve">vidence presented in Section D.1 </w:t>
      </w:r>
      <w:r>
        <w:t xml:space="preserve">indicates that </w:t>
      </w:r>
      <w:r w:rsidRPr="00C62016">
        <w:t xml:space="preserve">should a laboratory choose to offer LBC services, the proposed benefit will be sufficient for meeting the commercial incentives, thereby ensuring LBC </w:t>
      </w:r>
      <w:r>
        <w:t xml:space="preserve">is </w:t>
      </w:r>
      <w:r w:rsidRPr="00C62016">
        <w:t xml:space="preserve">a sustainable service item on the MBS. </w:t>
      </w:r>
    </w:p>
    <w:p w:rsidR="00BF722B" w:rsidRPr="0060046B" w:rsidRDefault="00BF722B" w:rsidP="00BF722B">
      <w:pPr>
        <w:pStyle w:val="StyleExecSumm"/>
        <w:rPr>
          <w:rFonts w:ascii="Gill Sans MT" w:hAnsi="Gill Sans MT"/>
          <w:b/>
          <w:bCs/>
          <w:i/>
          <w:szCs w:val="32"/>
        </w:rPr>
      </w:pPr>
      <w:r>
        <w:rPr>
          <w:rFonts w:ascii="Gill Sans MT" w:hAnsi="Gill Sans MT"/>
          <w:b/>
          <w:bCs/>
          <w:i/>
          <w:szCs w:val="32"/>
        </w:rPr>
        <w:t xml:space="preserve">Sustainability of the </w:t>
      </w:r>
      <w:r w:rsidRPr="0060046B">
        <w:rPr>
          <w:rFonts w:ascii="Gill Sans MT" w:hAnsi="Gill Sans MT"/>
          <w:b/>
          <w:bCs/>
          <w:i/>
          <w:szCs w:val="32"/>
        </w:rPr>
        <w:t xml:space="preserve">proposed MBS fee </w:t>
      </w:r>
      <w:r>
        <w:rPr>
          <w:rFonts w:ascii="Gill Sans MT" w:hAnsi="Gill Sans MT"/>
          <w:b/>
          <w:bCs/>
          <w:i/>
          <w:szCs w:val="32"/>
        </w:rPr>
        <w:t>for LBC with cell enrichment</w:t>
      </w:r>
    </w:p>
    <w:p w:rsidR="00BF722B" w:rsidRDefault="00BF722B" w:rsidP="00BF722B">
      <w:r>
        <w:t xml:space="preserve">The addition of cell enrichment LBC to the MBS as proposed in this application will lead to a substantial reduction in out-of-pocket costs. </w:t>
      </w:r>
      <w:r w:rsidRPr="00337C2F">
        <w:t>Currently</w:t>
      </w:r>
      <w:r>
        <w:t>,</w:t>
      </w:r>
      <w:r w:rsidRPr="00337C2F">
        <w:t xml:space="preserve"> most private laboratories in Australia provide </w:t>
      </w:r>
      <w:r>
        <w:t>Pap test</w:t>
      </w:r>
      <w:r w:rsidRPr="00337C2F">
        <w:t xml:space="preserve"> collection kits using LBC</w:t>
      </w:r>
      <w:r>
        <w:t>.</w:t>
      </w:r>
      <w:r w:rsidRPr="00337C2F">
        <w:t xml:space="preserve"> </w:t>
      </w:r>
      <w:r>
        <w:t>Internal market research by BD estimates that approximately 18</w:t>
      </w:r>
      <w:r w:rsidRPr="009007C0">
        <w:t xml:space="preserve">% of </w:t>
      </w:r>
      <w:r>
        <w:t>MBS funded Pap tests</w:t>
      </w:r>
      <w:r w:rsidRPr="009007C0">
        <w:t xml:space="preserve"> </w:t>
      </w:r>
      <w:r>
        <w:t xml:space="preserve">are </w:t>
      </w:r>
      <w:r w:rsidRPr="009007C0">
        <w:t>collected as a split sample</w:t>
      </w:r>
      <w:r>
        <w:t xml:space="preserve">. In these cases, the cost of </w:t>
      </w:r>
      <w:r w:rsidRPr="009007C0">
        <w:t xml:space="preserve">conventional </w:t>
      </w:r>
      <w:r>
        <w:t>cytology is met by the MBS, while the cost of LBC is paid for by the patient</w:t>
      </w:r>
      <w:r w:rsidRPr="009007C0">
        <w:t>.</w:t>
      </w:r>
      <w:r>
        <w:t xml:space="preserve"> Referring </w:t>
      </w:r>
      <w:r>
        <w:lastRenderedPageBreak/>
        <w:t>practitioners and laboratories currently charge an average of $45 for LBC tests with the market leading pathologies charging between $45 and $55 per LBC service.</w:t>
      </w:r>
    </w:p>
    <w:p w:rsidR="00BF722B" w:rsidRDefault="00BF722B" w:rsidP="00BF722B">
      <w:r>
        <w:t>It is estimated that over</w:t>
      </w:r>
      <w:r w:rsidR="00F21E06">
        <w:t xml:space="preserve"> </w:t>
      </w:r>
      <w:r>
        <w:t xml:space="preserve">$14.0 million is currently being paid by Australian women for LBC tests each year. That is, 18% of 1.74 million tests annually at an average cost to patients of $45 per test. It is important to note that this means </w:t>
      </w:r>
      <w:r w:rsidR="0016113D">
        <w:t>310,000 to</w:t>
      </w:r>
      <w:r>
        <w:t xml:space="preserve"> 320,000 cervical specimens are being reviewed twice (once with conventional cytology paid for by the MBS, once</w:t>
      </w:r>
      <w:r w:rsidR="0016113D">
        <w:t xml:space="preserve"> with LBC paid for by patients)</w:t>
      </w:r>
      <w:r>
        <w:t xml:space="preserve"> which represents an unnecessary societal cost. Despite the known resource constraint (as noted MSAC 2009) of an increasing shortage of trained cytotechnologists, the current system whereby approximately 18% of slides are read twice means six cytotechnologists are required to do the job of five. This puts pressure on the wages of cytotechnologists and eventually the MBS fee for conventional cytology will need to increase (or the costs will be passed on to patients) because of this unnecessary, inefficient, duplication.</w:t>
      </w:r>
    </w:p>
    <w:p w:rsidR="00BF722B" w:rsidRDefault="00BF722B" w:rsidP="00BF722B">
      <w:r>
        <w:t>The duplication of LBC and conventional cytology would be significantly reduced (if not eliminated) by an MBS listing of cell enrichment LBC – a saving to patients of over $14.0 million annually. From a financial and economic perspective, the flexibility and efficiency of the added alternative with cell enrichment LBC is the sustainable option for the MBS and the NCSP in the long term.</w:t>
      </w: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 xml:space="preserve">The other types of resources affected by this proposed MBS listing </w:t>
      </w:r>
    </w:p>
    <w:p w:rsidR="00BF722B" w:rsidRPr="00C62016" w:rsidRDefault="00BF722B" w:rsidP="00BF722B">
      <w:r w:rsidRPr="00C62016">
        <w:t>The requested MBS fee represents a cost-minimising fee for cell enrichment LBC compared with conventional cytology, thereby reflecting the available clinical evidence that cell enrichment LBC is at least as accurate as conventional cytology. This approach however omits any resource and thus cost implications possible due to lower rates of unsatisfactory smears (thus re-tests) with cell enrichment LBC relative to conventional cytology. Equally, it does not necessarily account for potentially higher rates of follow-up of possible low-grade findings with cell enrichment LBC. After accounting for the expected reduction in the number of re-tests due to unsatisfactory smear and the expected increase in the number of follow-up tests due to pLSIL results, cell enrichment LBC is estimated to offer an overall saving to the MBS of $0.29 per test when compared with conventional test (see Section D.2 for further details). Here, it is important to note that the cost of following up high grade abnormalities is not included in the analysis because there is no difference in the rate of detection of these abnormalities between these tests and thus no further resource cost implications will occur.</w:t>
      </w:r>
    </w:p>
    <w:p w:rsidR="00BF722B" w:rsidRPr="00C62016" w:rsidRDefault="00BF722B" w:rsidP="00BF722B">
      <w:r w:rsidRPr="00C62016">
        <w:t xml:space="preserve">It should be noted that the practice of split sample is prevalent in the current clinical practice, affecting approximately 18% of </w:t>
      </w:r>
      <w:r>
        <w:t>MBS funded Pap test</w:t>
      </w:r>
      <w:r w:rsidRPr="00C62016">
        <w:t xml:space="preserve"> collections. The costs of these LBC tests are currently met by out-of-pocket payment (~$45 per test; an estimated total of $1</w:t>
      </w:r>
      <w:r>
        <w:t>4</w:t>
      </w:r>
      <w:r w:rsidRPr="00C62016">
        <w:t xml:space="preserve"> million each year). This practice will be addressed by the proposed listing and the potential cost savings to the patients </w:t>
      </w:r>
      <w:r w:rsidRPr="00C62016">
        <w:lastRenderedPageBreak/>
        <w:t xml:space="preserve">can be calculated as -$8.10 per patient, further improving ‘value for money’ offered by the proposed listing of cell enrichment LBC. </w:t>
      </w:r>
    </w:p>
    <w:p w:rsidR="00BF722B" w:rsidRPr="00C62016" w:rsidRDefault="00BF722B" w:rsidP="00BF722B">
      <w:pPr>
        <w:pStyle w:val="StyleExecSumm"/>
        <w:rPr>
          <w:rFonts w:ascii="Gill Sans MT" w:hAnsi="Gill Sans MT"/>
          <w:b/>
          <w:bCs/>
          <w:i/>
          <w:szCs w:val="32"/>
        </w:rPr>
      </w:pPr>
      <w:r w:rsidRPr="00C62016">
        <w:rPr>
          <w:rFonts w:ascii="Gill Sans MT" w:hAnsi="Gill Sans MT"/>
          <w:b/>
          <w:bCs/>
          <w:i/>
          <w:szCs w:val="32"/>
        </w:rPr>
        <w:t>Estimated extent of Use and Financial Implications</w:t>
      </w:r>
    </w:p>
    <w:p w:rsidR="00BF722B" w:rsidRDefault="00BF722B" w:rsidP="00BF722B">
      <w:pPr>
        <w:tabs>
          <w:tab w:val="left" w:pos="2835"/>
        </w:tabs>
      </w:pPr>
      <w:r w:rsidRPr="00C62016">
        <w:t xml:space="preserve">The listing of cell enrichment LBC can be achieved with no additional costs to the MBS, given the cost-minimising benefit amount requested in the submission. In fact, </w:t>
      </w:r>
      <w:r>
        <w:t>the listing of cell enrichment LBC</w:t>
      </w:r>
      <w:r w:rsidRPr="00C62016">
        <w:t xml:space="preserve"> generates cost savings to the MBS.  These savings are due to the lower rate of unsatisfactory </w:t>
      </w:r>
      <w:r>
        <w:t xml:space="preserve">Pap test </w:t>
      </w:r>
      <w:r w:rsidRPr="00C62016">
        <w:t xml:space="preserve">given by cell enrichment LBC, offsetting </w:t>
      </w:r>
      <w:r>
        <w:t xml:space="preserve">potential </w:t>
      </w:r>
      <w:r w:rsidRPr="00C62016">
        <w:t xml:space="preserve">additional follow-up costs (reflecting its higher sensitivity for pLSIL than conventional cytology; as shown in the cost analysis above). </w:t>
      </w:r>
      <w:r>
        <w:t xml:space="preserve">Assuming </w:t>
      </w:r>
      <w:r w:rsidRPr="00C62016">
        <w:t>100% uptake (i.e., all conventional cytology tests are replaced by cell enrichment LBC after listing), the net financial implications to the MBS is estimated to be a saving of approximately $115,000 each year (see Secti</w:t>
      </w:r>
      <w:r>
        <w:t>on E.4). In addition, women will save in excess of $14 million per annum in out of pocket expenses.</w:t>
      </w:r>
    </w:p>
    <w:p w:rsidR="00BF722B" w:rsidRPr="00BF5408" w:rsidRDefault="00BF722B" w:rsidP="00BF722B">
      <w:pPr>
        <w:rPr>
          <w:rFonts w:ascii="Gill Sans MT" w:hAnsi="Gill Sans MT"/>
          <w:b/>
          <w:i/>
        </w:rPr>
      </w:pPr>
      <w:r w:rsidRPr="00BF5408">
        <w:rPr>
          <w:rFonts w:ascii="Gill Sans MT" w:hAnsi="Gill Sans MT"/>
          <w:b/>
          <w:i/>
        </w:rPr>
        <w:t>Other relevant considerations</w:t>
      </w:r>
    </w:p>
    <w:p w:rsidR="00BF722B" w:rsidRDefault="00BF722B" w:rsidP="00BF722B">
      <w:r>
        <w:t>In addition to the clinical and financial attributes of cell enrichment LBC as discussed in detail in this submission other relevant considerations as also highlighted in the 2009 MSAC review (Assessment report #1122 Executive Summary page xiv) are that:</w:t>
      </w:r>
    </w:p>
    <w:p w:rsidR="00BF722B" w:rsidRDefault="00BF722B" w:rsidP="00BF722B">
      <w:r>
        <w:t xml:space="preserve">“The collection of cervical cytology into an LBC medium provides the opportunity for reflex testing of a range of pathogens,  including HPV, Chlamydia trachomatis and Neisseria </w:t>
      </w:r>
      <w:r w:rsidR="001A3CFB">
        <w:t>gonorrhoea</w:t>
      </w:r>
      <w:r>
        <w:t>” ,</w:t>
      </w:r>
    </w:p>
    <w:p w:rsidR="00BF722B" w:rsidRDefault="00BF722B" w:rsidP="00BF722B">
      <w:r w:rsidDel="00902BC8">
        <w:t xml:space="preserve"> </w:t>
      </w:r>
      <w:r>
        <w:t xml:space="preserve">“There is an increasing shortage of trained cytotechnologists in Australia. Technologies which decrease cytology screening time and increase productivity may aid in addressing workforce shortages by decreasing staff requirements”, and </w:t>
      </w:r>
    </w:p>
    <w:p w:rsidR="00BF722B" w:rsidRDefault="00BF722B" w:rsidP="00BF722B">
      <w:r w:rsidDel="00902BC8">
        <w:t xml:space="preserve"> </w:t>
      </w:r>
      <w:r>
        <w:t xml:space="preserve">“With the recent introduction of the HPV vaccine in Australia, the expected impact is a decrease in the prevalence of HPV and pre-cancerous cytological abnormalities and also alteration of the distribution of cytological abnormalities, increasing technical difficulties for cytotechnologists manually screening slides even further”. </w:t>
      </w:r>
    </w:p>
    <w:p w:rsidR="00BF722B" w:rsidRDefault="00BF722B" w:rsidP="00BF722B">
      <w:r>
        <w:t>Consideration of the role of LBC in the future NCSP Guidelines is beyond the scope of this submission however the general observation is made that to list cell enrichment LBC on the MBS increases the flexibility and sustainability of the NCSP.</w:t>
      </w:r>
    </w:p>
    <w:p w:rsidR="00BF722B" w:rsidRDefault="00BF722B" w:rsidP="00BF722B"/>
    <w:p w:rsidR="00BF722B" w:rsidRDefault="00BF722B" w:rsidP="00881BD2">
      <w:pPr>
        <w:pStyle w:val="Heading1"/>
        <w:sectPr w:rsidR="00BF722B" w:rsidSect="008846BA">
          <w:headerReference w:type="default" r:id="rId11"/>
          <w:footerReference w:type="default" r:id="rId12"/>
          <w:type w:val="nextColumn"/>
          <w:pgSz w:w="11907" w:h="16839" w:code="9"/>
          <w:pgMar w:top="1440" w:right="1440" w:bottom="1440" w:left="1440" w:header="720" w:footer="720" w:gutter="0"/>
          <w:paperSrc w:first="7" w:other="7"/>
          <w:pgNumType w:fmt="lowerRoman" w:start="1"/>
          <w:cols w:space="720"/>
          <w:docGrid w:linePitch="299"/>
        </w:sectPr>
      </w:pPr>
    </w:p>
    <w:p w:rsidR="00844317" w:rsidRDefault="00362526" w:rsidP="00881BD2">
      <w:pPr>
        <w:pStyle w:val="Heading1"/>
      </w:pPr>
      <w:bookmarkStart w:id="13" w:name="_Toc337546858"/>
      <w:r>
        <w:lastRenderedPageBreak/>
        <w:t>Table of C</w:t>
      </w:r>
      <w:r w:rsidR="00844317">
        <w:t>ontents</w:t>
      </w:r>
      <w:bookmarkEnd w:id="0"/>
      <w:bookmarkEnd w:id="1"/>
      <w:bookmarkEnd w:id="2"/>
      <w:bookmarkEnd w:id="3"/>
      <w:bookmarkEnd w:id="4"/>
      <w:bookmarkEnd w:id="5"/>
      <w:bookmarkEnd w:id="13"/>
    </w:p>
    <w:bookmarkEnd w:id="6"/>
    <w:bookmarkEnd w:id="7"/>
    <w:bookmarkEnd w:id="8"/>
    <w:p w:rsidR="00A3294E" w:rsidRDefault="00086C77">
      <w:pPr>
        <w:pStyle w:val="TOC1"/>
        <w:tabs>
          <w:tab w:val="right" w:leader="dot" w:pos="9017"/>
        </w:tabs>
        <w:rPr>
          <w:rFonts w:ascii="Calibri" w:hAnsi="Calibri"/>
          <w:b w:val="0"/>
          <w:bCs w:val="0"/>
          <w:noProof/>
          <w:sz w:val="22"/>
          <w:szCs w:val="22"/>
          <w:lang w:eastAsia="en-AU"/>
        </w:rPr>
      </w:pPr>
      <w:r w:rsidRPr="00086C77">
        <w:fldChar w:fldCharType="begin"/>
      </w:r>
      <w:r w:rsidR="00B96BE4">
        <w:instrText xml:space="preserve"> TOC \h \z \t "Heading 1,1,Heading2,2,Heading3,3" </w:instrText>
      </w:r>
      <w:r w:rsidRPr="00086C77">
        <w:fldChar w:fldCharType="separate"/>
      </w:r>
      <w:hyperlink w:anchor="_Toc337546857" w:history="1">
        <w:r w:rsidR="00A3294E" w:rsidRPr="000C48C4">
          <w:rPr>
            <w:rStyle w:val="Hyperlink"/>
            <w:noProof/>
          </w:rPr>
          <w:t>Executive Summary</w:t>
        </w:r>
        <w:r w:rsidR="00A3294E">
          <w:rPr>
            <w:noProof/>
            <w:webHidden/>
          </w:rPr>
          <w:tab/>
        </w:r>
        <w:r w:rsidR="00A3294E">
          <w:rPr>
            <w:noProof/>
            <w:webHidden/>
          </w:rPr>
          <w:fldChar w:fldCharType="begin"/>
        </w:r>
        <w:r w:rsidR="00A3294E">
          <w:rPr>
            <w:noProof/>
            <w:webHidden/>
          </w:rPr>
          <w:instrText xml:space="preserve"> PAGEREF _Toc337546857 \h </w:instrText>
        </w:r>
        <w:r w:rsidR="00A3294E">
          <w:rPr>
            <w:noProof/>
            <w:webHidden/>
          </w:rPr>
        </w:r>
        <w:r w:rsidR="00A3294E">
          <w:rPr>
            <w:noProof/>
            <w:webHidden/>
          </w:rPr>
          <w:fldChar w:fldCharType="separate"/>
        </w:r>
        <w:r w:rsidR="003361A8">
          <w:rPr>
            <w:noProof/>
            <w:webHidden/>
          </w:rPr>
          <w:t>i</w:t>
        </w:r>
        <w:r w:rsidR="00A3294E">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858" w:history="1">
        <w:r w:rsidRPr="000C48C4">
          <w:rPr>
            <w:rStyle w:val="Hyperlink"/>
            <w:noProof/>
          </w:rPr>
          <w:t>Table of Contents</w:t>
        </w:r>
        <w:r>
          <w:rPr>
            <w:noProof/>
            <w:webHidden/>
          </w:rPr>
          <w:tab/>
        </w:r>
        <w:r>
          <w:rPr>
            <w:noProof/>
            <w:webHidden/>
          </w:rPr>
          <w:fldChar w:fldCharType="begin"/>
        </w:r>
        <w:r>
          <w:rPr>
            <w:noProof/>
            <w:webHidden/>
          </w:rPr>
          <w:instrText xml:space="preserve"> PAGEREF _Toc337546858 \h </w:instrText>
        </w:r>
        <w:r>
          <w:rPr>
            <w:noProof/>
            <w:webHidden/>
          </w:rPr>
        </w:r>
        <w:r>
          <w:rPr>
            <w:noProof/>
            <w:webHidden/>
          </w:rPr>
          <w:fldChar w:fldCharType="separate"/>
        </w:r>
        <w:r w:rsidR="003361A8">
          <w:rPr>
            <w:noProof/>
            <w:webHidden/>
          </w:rPr>
          <w:t>i</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859" w:history="1">
        <w:r w:rsidRPr="000C48C4">
          <w:rPr>
            <w:rStyle w:val="Hyperlink"/>
            <w:noProof/>
          </w:rPr>
          <w:t>List of Tables</w:t>
        </w:r>
        <w:r>
          <w:rPr>
            <w:noProof/>
            <w:webHidden/>
          </w:rPr>
          <w:tab/>
        </w:r>
        <w:r>
          <w:rPr>
            <w:noProof/>
            <w:webHidden/>
          </w:rPr>
          <w:fldChar w:fldCharType="begin"/>
        </w:r>
        <w:r>
          <w:rPr>
            <w:noProof/>
            <w:webHidden/>
          </w:rPr>
          <w:instrText xml:space="preserve"> PAGEREF _Toc337546859 \h </w:instrText>
        </w:r>
        <w:r>
          <w:rPr>
            <w:noProof/>
            <w:webHidden/>
          </w:rPr>
        </w:r>
        <w:r>
          <w:rPr>
            <w:noProof/>
            <w:webHidden/>
          </w:rPr>
          <w:fldChar w:fldCharType="separate"/>
        </w:r>
        <w:r w:rsidR="003361A8">
          <w:rPr>
            <w:noProof/>
            <w:webHidden/>
          </w:rPr>
          <w:t>iv</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860" w:history="1">
        <w:r w:rsidRPr="000C48C4">
          <w:rPr>
            <w:rStyle w:val="Hyperlink"/>
            <w:noProof/>
          </w:rPr>
          <w:t>List of Figures</w:t>
        </w:r>
        <w:r>
          <w:rPr>
            <w:noProof/>
            <w:webHidden/>
          </w:rPr>
          <w:tab/>
        </w:r>
        <w:r>
          <w:rPr>
            <w:noProof/>
            <w:webHidden/>
          </w:rPr>
          <w:fldChar w:fldCharType="begin"/>
        </w:r>
        <w:r>
          <w:rPr>
            <w:noProof/>
            <w:webHidden/>
          </w:rPr>
          <w:instrText xml:space="preserve"> PAGEREF _Toc337546860 \h </w:instrText>
        </w:r>
        <w:r>
          <w:rPr>
            <w:noProof/>
            <w:webHidden/>
          </w:rPr>
        </w:r>
        <w:r>
          <w:rPr>
            <w:noProof/>
            <w:webHidden/>
          </w:rPr>
          <w:fldChar w:fldCharType="separate"/>
        </w:r>
        <w:r w:rsidR="003361A8">
          <w:rPr>
            <w:noProof/>
            <w:webHidden/>
          </w:rPr>
          <w:t>viii</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861" w:history="1">
        <w:r w:rsidRPr="000C48C4">
          <w:rPr>
            <w:rStyle w:val="Hyperlink"/>
            <w:noProof/>
          </w:rPr>
          <w:t>List of Attachments</w:t>
        </w:r>
        <w:r>
          <w:rPr>
            <w:noProof/>
            <w:webHidden/>
          </w:rPr>
          <w:tab/>
        </w:r>
        <w:r>
          <w:rPr>
            <w:noProof/>
            <w:webHidden/>
          </w:rPr>
          <w:fldChar w:fldCharType="begin"/>
        </w:r>
        <w:r>
          <w:rPr>
            <w:noProof/>
            <w:webHidden/>
          </w:rPr>
          <w:instrText xml:space="preserve"> PAGEREF _Toc337546861 \h </w:instrText>
        </w:r>
        <w:r>
          <w:rPr>
            <w:noProof/>
            <w:webHidden/>
          </w:rPr>
        </w:r>
        <w:r>
          <w:rPr>
            <w:noProof/>
            <w:webHidden/>
          </w:rPr>
          <w:fldChar w:fldCharType="separate"/>
        </w:r>
        <w:r w:rsidR="003361A8">
          <w:rPr>
            <w:noProof/>
            <w:webHidden/>
          </w:rPr>
          <w:t>x</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862" w:history="1">
        <w:r w:rsidRPr="000C48C4">
          <w:rPr>
            <w:rStyle w:val="Hyperlink"/>
            <w:noProof/>
          </w:rPr>
          <w:t>List of Volumes</w:t>
        </w:r>
        <w:r>
          <w:rPr>
            <w:noProof/>
            <w:webHidden/>
          </w:rPr>
          <w:tab/>
        </w:r>
        <w:r>
          <w:rPr>
            <w:noProof/>
            <w:webHidden/>
          </w:rPr>
          <w:fldChar w:fldCharType="begin"/>
        </w:r>
        <w:r>
          <w:rPr>
            <w:noProof/>
            <w:webHidden/>
          </w:rPr>
          <w:instrText xml:space="preserve"> PAGEREF _Toc337546862 \h </w:instrText>
        </w:r>
        <w:r>
          <w:rPr>
            <w:noProof/>
            <w:webHidden/>
          </w:rPr>
        </w:r>
        <w:r>
          <w:rPr>
            <w:noProof/>
            <w:webHidden/>
          </w:rPr>
          <w:fldChar w:fldCharType="separate"/>
        </w:r>
        <w:r w:rsidR="003361A8">
          <w:rPr>
            <w:noProof/>
            <w:webHidden/>
          </w:rPr>
          <w:t>xii</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863" w:history="1">
        <w:r w:rsidRPr="000C48C4">
          <w:rPr>
            <w:rStyle w:val="Hyperlink"/>
            <w:noProof/>
          </w:rPr>
          <w:t>Abbreviations</w:t>
        </w:r>
        <w:r>
          <w:rPr>
            <w:noProof/>
            <w:webHidden/>
          </w:rPr>
          <w:tab/>
        </w:r>
        <w:r>
          <w:rPr>
            <w:noProof/>
            <w:webHidden/>
          </w:rPr>
          <w:fldChar w:fldCharType="begin"/>
        </w:r>
        <w:r>
          <w:rPr>
            <w:noProof/>
            <w:webHidden/>
          </w:rPr>
          <w:instrText xml:space="preserve"> PAGEREF _Toc337546863 \h </w:instrText>
        </w:r>
        <w:r>
          <w:rPr>
            <w:noProof/>
            <w:webHidden/>
          </w:rPr>
        </w:r>
        <w:r>
          <w:rPr>
            <w:noProof/>
            <w:webHidden/>
          </w:rPr>
          <w:fldChar w:fldCharType="separate"/>
        </w:r>
        <w:r w:rsidR="003361A8">
          <w:rPr>
            <w:noProof/>
            <w:webHidden/>
          </w:rPr>
          <w:t>xiii</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864" w:history="1">
        <w:r w:rsidRPr="000C48C4">
          <w:rPr>
            <w:rStyle w:val="Hyperlink"/>
            <w:noProof/>
          </w:rPr>
          <w:t>A.</w:t>
        </w:r>
        <w:r>
          <w:rPr>
            <w:rFonts w:ascii="Calibri" w:hAnsi="Calibri"/>
            <w:b w:val="0"/>
            <w:bCs w:val="0"/>
            <w:noProof/>
            <w:sz w:val="22"/>
            <w:szCs w:val="22"/>
            <w:lang w:eastAsia="en-AU"/>
          </w:rPr>
          <w:tab/>
        </w:r>
        <w:r w:rsidRPr="000C48C4">
          <w:rPr>
            <w:rStyle w:val="Hyperlink"/>
            <w:noProof/>
          </w:rPr>
          <w:t>Details of the proposed intervention and its intended use on the MBS</w:t>
        </w:r>
        <w:r>
          <w:rPr>
            <w:noProof/>
            <w:webHidden/>
          </w:rPr>
          <w:tab/>
        </w:r>
        <w:r>
          <w:rPr>
            <w:noProof/>
            <w:webHidden/>
          </w:rPr>
          <w:fldChar w:fldCharType="begin"/>
        </w:r>
        <w:r>
          <w:rPr>
            <w:noProof/>
            <w:webHidden/>
          </w:rPr>
          <w:instrText xml:space="preserve"> PAGEREF _Toc337546864 \h </w:instrText>
        </w:r>
        <w:r>
          <w:rPr>
            <w:noProof/>
            <w:webHidden/>
          </w:rPr>
        </w:r>
        <w:r>
          <w:rPr>
            <w:noProof/>
            <w:webHidden/>
          </w:rPr>
          <w:fldChar w:fldCharType="separate"/>
        </w:r>
        <w:r w:rsidR="003361A8">
          <w:rPr>
            <w:noProof/>
            <w:webHidden/>
          </w:rPr>
          <w:t>1</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65" w:history="1">
        <w:r w:rsidRPr="000C48C4">
          <w:rPr>
            <w:rStyle w:val="Hyperlink"/>
            <w:noProof/>
          </w:rPr>
          <w:t>A.1</w:t>
        </w:r>
        <w:r>
          <w:rPr>
            <w:rFonts w:ascii="Calibri" w:hAnsi="Calibri"/>
            <w:noProof/>
            <w:sz w:val="22"/>
            <w:szCs w:val="22"/>
            <w:lang w:eastAsia="en-AU"/>
          </w:rPr>
          <w:tab/>
        </w:r>
        <w:r w:rsidRPr="000C48C4">
          <w:rPr>
            <w:rStyle w:val="Hyperlink"/>
            <w:noProof/>
          </w:rPr>
          <w:t>Requested MBS listing and details of the intervention</w:t>
        </w:r>
        <w:r>
          <w:rPr>
            <w:noProof/>
            <w:webHidden/>
          </w:rPr>
          <w:tab/>
        </w:r>
        <w:r>
          <w:rPr>
            <w:noProof/>
            <w:webHidden/>
          </w:rPr>
          <w:fldChar w:fldCharType="begin"/>
        </w:r>
        <w:r>
          <w:rPr>
            <w:noProof/>
            <w:webHidden/>
          </w:rPr>
          <w:instrText xml:space="preserve"> PAGEREF _Toc337546865 \h </w:instrText>
        </w:r>
        <w:r>
          <w:rPr>
            <w:noProof/>
            <w:webHidden/>
          </w:rPr>
        </w:r>
        <w:r>
          <w:rPr>
            <w:noProof/>
            <w:webHidden/>
          </w:rPr>
          <w:fldChar w:fldCharType="separate"/>
        </w:r>
        <w:r w:rsidR="003361A8">
          <w:rPr>
            <w:noProof/>
            <w:webHidden/>
          </w:rPr>
          <w:t>1</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66" w:history="1">
        <w:r w:rsidRPr="000C48C4">
          <w:rPr>
            <w:rStyle w:val="Hyperlink"/>
            <w:noProof/>
          </w:rPr>
          <w:t>A.1.1</w:t>
        </w:r>
        <w:r>
          <w:rPr>
            <w:rFonts w:ascii="Calibri" w:hAnsi="Calibri"/>
            <w:iCs w:val="0"/>
            <w:noProof/>
            <w:sz w:val="22"/>
            <w:szCs w:val="22"/>
            <w:lang w:eastAsia="en-AU"/>
          </w:rPr>
          <w:tab/>
        </w:r>
        <w:r w:rsidRPr="000C48C4">
          <w:rPr>
            <w:rStyle w:val="Hyperlink"/>
            <w:noProof/>
          </w:rPr>
          <w:t>Health technology assessment bac</w:t>
        </w:r>
        <w:r w:rsidRPr="000C48C4">
          <w:rPr>
            <w:rStyle w:val="Hyperlink"/>
            <w:i/>
            <w:noProof/>
          </w:rPr>
          <w:t>k</w:t>
        </w:r>
        <w:r w:rsidRPr="000C48C4">
          <w:rPr>
            <w:rStyle w:val="Hyperlink"/>
            <w:noProof/>
          </w:rPr>
          <w:t>ground</w:t>
        </w:r>
        <w:r>
          <w:rPr>
            <w:noProof/>
            <w:webHidden/>
          </w:rPr>
          <w:tab/>
        </w:r>
        <w:r>
          <w:rPr>
            <w:noProof/>
            <w:webHidden/>
          </w:rPr>
          <w:fldChar w:fldCharType="begin"/>
        </w:r>
        <w:r>
          <w:rPr>
            <w:noProof/>
            <w:webHidden/>
          </w:rPr>
          <w:instrText xml:space="preserve"> PAGEREF _Toc337546866 \h </w:instrText>
        </w:r>
        <w:r>
          <w:rPr>
            <w:noProof/>
            <w:webHidden/>
          </w:rPr>
        </w:r>
        <w:r>
          <w:rPr>
            <w:noProof/>
            <w:webHidden/>
          </w:rPr>
          <w:fldChar w:fldCharType="separate"/>
        </w:r>
        <w:r w:rsidR="003361A8">
          <w:rPr>
            <w:noProof/>
            <w:webHidden/>
          </w:rPr>
          <w:t>1</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67" w:history="1">
        <w:r w:rsidRPr="000C48C4">
          <w:rPr>
            <w:rStyle w:val="Hyperlink"/>
            <w:noProof/>
          </w:rPr>
          <w:t>A.1.2</w:t>
        </w:r>
        <w:r>
          <w:rPr>
            <w:rFonts w:ascii="Calibri" w:hAnsi="Calibri"/>
            <w:iCs w:val="0"/>
            <w:noProof/>
            <w:sz w:val="22"/>
            <w:szCs w:val="22"/>
            <w:lang w:eastAsia="en-AU"/>
          </w:rPr>
          <w:tab/>
        </w:r>
        <w:r w:rsidRPr="000C48C4">
          <w:rPr>
            <w:rStyle w:val="Hyperlink"/>
            <w:noProof/>
          </w:rPr>
          <w:t>Cervical cancer and screening background</w:t>
        </w:r>
        <w:r>
          <w:rPr>
            <w:noProof/>
            <w:webHidden/>
          </w:rPr>
          <w:tab/>
        </w:r>
        <w:r>
          <w:rPr>
            <w:noProof/>
            <w:webHidden/>
          </w:rPr>
          <w:fldChar w:fldCharType="begin"/>
        </w:r>
        <w:r>
          <w:rPr>
            <w:noProof/>
            <w:webHidden/>
          </w:rPr>
          <w:instrText xml:space="preserve"> PAGEREF _Toc337546867 \h </w:instrText>
        </w:r>
        <w:r>
          <w:rPr>
            <w:noProof/>
            <w:webHidden/>
          </w:rPr>
        </w:r>
        <w:r>
          <w:rPr>
            <w:noProof/>
            <w:webHidden/>
          </w:rPr>
          <w:fldChar w:fldCharType="separate"/>
        </w:r>
        <w:r w:rsidR="003361A8">
          <w:rPr>
            <w:noProof/>
            <w:webHidden/>
          </w:rPr>
          <w:t>3</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68" w:history="1">
        <w:r w:rsidRPr="000C48C4">
          <w:rPr>
            <w:rStyle w:val="Hyperlink"/>
            <w:noProof/>
          </w:rPr>
          <w:t>A.2</w:t>
        </w:r>
        <w:r>
          <w:rPr>
            <w:rFonts w:ascii="Calibri" w:hAnsi="Calibri"/>
            <w:noProof/>
            <w:sz w:val="22"/>
            <w:szCs w:val="22"/>
            <w:lang w:eastAsia="en-AU"/>
          </w:rPr>
          <w:tab/>
        </w:r>
        <w:r w:rsidRPr="000C48C4">
          <w:rPr>
            <w:rStyle w:val="Hyperlink"/>
            <w:noProof/>
          </w:rPr>
          <w:t>Indications and requested restrictions</w:t>
        </w:r>
        <w:r>
          <w:rPr>
            <w:noProof/>
            <w:webHidden/>
          </w:rPr>
          <w:tab/>
        </w:r>
        <w:r>
          <w:rPr>
            <w:noProof/>
            <w:webHidden/>
          </w:rPr>
          <w:fldChar w:fldCharType="begin"/>
        </w:r>
        <w:r>
          <w:rPr>
            <w:noProof/>
            <w:webHidden/>
          </w:rPr>
          <w:instrText xml:space="preserve"> PAGEREF _Toc337546868 \h </w:instrText>
        </w:r>
        <w:r>
          <w:rPr>
            <w:noProof/>
            <w:webHidden/>
          </w:rPr>
        </w:r>
        <w:r>
          <w:rPr>
            <w:noProof/>
            <w:webHidden/>
          </w:rPr>
          <w:fldChar w:fldCharType="separate"/>
        </w:r>
        <w:r w:rsidR="003361A8">
          <w:rPr>
            <w:noProof/>
            <w:webHidden/>
          </w:rPr>
          <w:t>6</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69" w:history="1">
        <w:r w:rsidRPr="000C48C4">
          <w:rPr>
            <w:rStyle w:val="Hyperlink"/>
            <w:noProof/>
          </w:rPr>
          <w:t>A.2.1.</w:t>
        </w:r>
        <w:r>
          <w:rPr>
            <w:rFonts w:ascii="Calibri" w:hAnsi="Calibri"/>
            <w:iCs w:val="0"/>
            <w:noProof/>
            <w:sz w:val="22"/>
            <w:szCs w:val="22"/>
            <w:lang w:eastAsia="en-AU"/>
          </w:rPr>
          <w:tab/>
        </w:r>
        <w:r w:rsidRPr="000C48C4">
          <w:rPr>
            <w:rStyle w:val="Hyperlink"/>
            <w:noProof/>
          </w:rPr>
          <w:t>Existing arrangements</w:t>
        </w:r>
        <w:r>
          <w:rPr>
            <w:noProof/>
            <w:webHidden/>
          </w:rPr>
          <w:tab/>
        </w:r>
        <w:r>
          <w:rPr>
            <w:noProof/>
            <w:webHidden/>
          </w:rPr>
          <w:fldChar w:fldCharType="begin"/>
        </w:r>
        <w:r>
          <w:rPr>
            <w:noProof/>
            <w:webHidden/>
          </w:rPr>
          <w:instrText xml:space="preserve"> PAGEREF _Toc337546869 \h </w:instrText>
        </w:r>
        <w:r>
          <w:rPr>
            <w:noProof/>
            <w:webHidden/>
          </w:rPr>
        </w:r>
        <w:r>
          <w:rPr>
            <w:noProof/>
            <w:webHidden/>
          </w:rPr>
          <w:fldChar w:fldCharType="separate"/>
        </w:r>
        <w:r w:rsidR="003361A8">
          <w:rPr>
            <w:noProof/>
            <w:webHidden/>
          </w:rPr>
          <w:t>6</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70" w:history="1">
        <w:r w:rsidRPr="000C48C4">
          <w:rPr>
            <w:rStyle w:val="Hyperlink"/>
            <w:noProof/>
          </w:rPr>
          <w:t>A.2.2</w:t>
        </w:r>
        <w:r>
          <w:rPr>
            <w:rFonts w:ascii="Calibri" w:hAnsi="Calibri"/>
            <w:iCs w:val="0"/>
            <w:noProof/>
            <w:sz w:val="22"/>
            <w:szCs w:val="22"/>
            <w:lang w:eastAsia="en-AU"/>
          </w:rPr>
          <w:tab/>
        </w:r>
        <w:r w:rsidRPr="000C48C4">
          <w:rPr>
            <w:rStyle w:val="Hyperlink"/>
            <w:noProof/>
          </w:rPr>
          <w:t>Marketing status of LBC</w:t>
        </w:r>
        <w:r>
          <w:rPr>
            <w:noProof/>
            <w:webHidden/>
          </w:rPr>
          <w:tab/>
        </w:r>
        <w:r>
          <w:rPr>
            <w:noProof/>
            <w:webHidden/>
          </w:rPr>
          <w:fldChar w:fldCharType="begin"/>
        </w:r>
        <w:r>
          <w:rPr>
            <w:noProof/>
            <w:webHidden/>
          </w:rPr>
          <w:instrText xml:space="preserve"> PAGEREF _Toc337546870 \h </w:instrText>
        </w:r>
        <w:r>
          <w:rPr>
            <w:noProof/>
            <w:webHidden/>
          </w:rPr>
        </w:r>
        <w:r>
          <w:rPr>
            <w:noProof/>
            <w:webHidden/>
          </w:rPr>
          <w:fldChar w:fldCharType="separate"/>
        </w:r>
        <w:r w:rsidR="003361A8">
          <w:rPr>
            <w:noProof/>
            <w:webHidden/>
          </w:rPr>
          <w:t>7</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71" w:history="1">
        <w:r w:rsidRPr="000C48C4">
          <w:rPr>
            <w:rStyle w:val="Hyperlink"/>
            <w:noProof/>
          </w:rPr>
          <w:t>A.2.3</w:t>
        </w:r>
        <w:r>
          <w:rPr>
            <w:rFonts w:ascii="Calibri" w:hAnsi="Calibri"/>
            <w:iCs w:val="0"/>
            <w:noProof/>
            <w:sz w:val="22"/>
            <w:szCs w:val="22"/>
            <w:lang w:eastAsia="en-AU"/>
          </w:rPr>
          <w:tab/>
        </w:r>
        <w:r w:rsidRPr="000C48C4">
          <w:rPr>
            <w:rStyle w:val="Hyperlink"/>
            <w:noProof/>
          </w:rPr>
          <w:t>Reimbursement status of liquid-based cytology (LBC)</w:t>
        </w:r>
        <w:r>
          <w:rPr>
            <w:noProof/>
            <w:webHidden/>
          </w:rPr>
          <w:tab/>
        </w:r>
        <w:r>
          <w:rPr>
            <w:noProof/>
            <w:webHidden/>
          </w:rPr>
          <w:fldChar w:fldCharType="begin"/>
        </w:r>
        <w:r>
          <w:rPr>
            <w:noProof/>
            <w:webHidden/>
          </w:rPr>
          <w:instrText xml:space="preserve"> PAGEREF _Toc337546871 \h </w:instrText>
        </w:r>
        <w:r>
          <w:rPr>
            <w:noProof/>
            <w:webHidden/>
          </w:rPr>
        </w:r>
        <w:r>
          <w:rPr>
            <w:noProof/>
            <w:webHidden/>
          </w:rPr>
          <w:fldChar w:fldCharType="separate"/>
        </w:r>
        <w:r w:rsidR="003361A8">
          <w:rPr>
            <w:noProof/>
            <w:webHidden/>
          </w:rPr>
          <w:t>7</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72" w:history="1">
        <w:r w:rsidRPr="000C48C4">
          <w:rPr>
            <w:rStyle w:val="Hyperlink"/>
            <w:noProof/>
          </w:rPr>
          <w:t>A.2.4</w:t>
        </w:r>
        <w:r>
          <w:rPr>
            <w:rFonts w:ascii="Calibri" w:hAnsi="Calibri"/>
            <w:iCs w:val="0"/>
            <w:noProof/>
            <w:sz w:val="22"/>
            <w:szCs w:val="22"/>
            <w:lang w:eastAsia="en-AU"/>
          </w:rPr>
          <w:tab/>
        </w:r>
        <w:r w:rsidRPr="000C48C4">
          <w:rPr>
            <w:rStyle w:val="Hyperlink"/>
            <w:noProof/>
          </w:rPr>
          <w:t>Proposed listing of liquid-based cytology</w:t>
        </w:r>
        <w:r>
          <w:rPr>
            <w:noProof/>
            <w:webHidden/>
          </w:rPr>
          <w:tab/>
        </w:r>
        <w:r>
          <w:rPr>
            <w:noProof/>
            <w:webHidden/>
          </w:rPr>
          <w:fldChar w:fldCharType="begin"/>
        </w:r>
        <w:r>
          <w:rPr>
            <w:noProof/>
            <w:webHidden/>
          </w:rPr>
          <w:instrText xml:space="preserve"> PAGEREF _Toc337546872 \h </w:instrText>
        </w:r>
        <w:r>
          <w:rPr>
            <w:noProof/>
            <w:webHidden/>
          </w:rPr>
        </w:r>
        <w:r>
          <w:rPr>
            <w:noProof/>
            <w:webHidden/>
          </w:rPr>
          <w:fldChar w:fldCharType="separate"/>
        </w:r>
        <w:r w:rsidR="003361A8">
          <w:rPr>
            <w:noProof/>
            <w:webHidden/>
          </w:rPr>
          <w:t>8</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73" w:history="1">
        <w:r w:rsidRPr="000C48C4">
          <w:rPr>
            <w:rStyle w:val="Hyperlink"/>
            <w:noProof/>
          </w:rPr>
          <w:t>A.3</w:t>
        </w:r>
        <w:r>
          <w:rPr>
            <w:rFonts w:ascii="Calibri" w:hAnsi="Calibri"/>
            <w:noProof/>
            <w:sz w:val="22"/>
            <w:szCs w:val="22"/>
            <w:lang w:eastAsia="en-AU"/>
          </w:rPr>
          <w:tab/>
        </w:r>
        <w:r w:rsidRPr="000C48C4">
          <w:rPr>
            <w:rStyle w:val="Hyperlink"/>
            <w:noProof/>
          </w:rPr>
          <w:t>Intervention details</w:t>
        </w:r>
        <w:r>
          <w:rPr>
            <w:noProof/>
            <w:webHidden/>
          </w:rPr>
          <w:tab/>
        </w:r>
        <w:r>
          <w:rPr>
            <w:noProof/>
            <w:webHidden/>
          </w:rPr>
          <w:fldChar w:fldCharType="begin"/>
        </w:r>
        <w:r>
          <w:rPr>
            <w:noProof/>
            <w:webHidden/>
          </w:rPr>
          <w:instrText xml:space="preserve"> PAGEREF _Toc337546873 \h </w:instrText>
        </w:r>
        <w:r>
          <w:rPr>
            <w:noProof/>
            <w:webHidden/>
          </w:rPr>
        </w:r>
        <w:r>
          <w:rPr>
            <w:noProof/>
            <w:webHidden/>
          </w:rPr>
          <w:fldChar w:fldCharType="separate"/>
        </w:r>
        <w:r w:rsidR="003361A8">
          <w:rPr>
            <w:noProof/>
            <w:webHidden/>
          </w:rPr>
          <w:t>10</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74" w:history="1">
        <w:r w:rsidRPr="000C48C4">
          <w:rPr>
            <w:rStyle w:val="Hyperlink"/>
            <w:noProof/>
          </w:rPr>
          <w:t>A.3.1</w:t>
        </w:r>
        <w:r>
          <w:rPr>
            <w:rFonts w:ascii="Calibri" w:hAnsi="Calibri"/>
            <w:iCs w:val="0"/>
            <w:noProof/>
            <w:sz w:val="22"/>
            <w:szCs w:val="22"/>
            <w:lang w:eastAsia="en-AU"/>
          </w:rPr>
          <w:tab/>
        </w:r>
        <w:r w:rsidRPr="000C48C4">
          <w:rPr>
            <w:rStyle w:val="Hyperlink"/>
            <w:noProof/>
          </w:rPr>
          <w:t>Slide collection and preparation</w:t>
        </w:r>
        <w:r>
          <w:rPr>
            <w:noProof/>
            <w:webHidden/>
          </w:rPr>
          <w:tab/>
        </w:r>
        <w:r>
          <w:rPr>
            <w:noProof/>
            <w:webHidden/>
          </w:rPr>
          <w:fldChar w:fldCharType="begin"/>
        </w:r>
        <w:r>
          <w:rPr>
            <w:noProof/>
            <w:webHidden/>
          </w:rPr>
          <w:instrText xml:space="preserve"> PAGEREF _Toc337546874 \h </w:instrText>
        </w:r>
        <w:r>
          <w:rPr>
            <w:noProof/>
            <w:webHidden/>
          </w:rPr>
        </w:r>
        <w:r>
          <w:rPr>
            <w:noProof/>
            <w:webHidden/>
          </w:rPr>
          <w:fldChar w:fldCharType="separate"/>
        </w:r>
        <w:r w:rsidR="003361A8">
          <w:rPr>
            <w:noProof/>
            <w:webHidden/>
          </w:rPr>
          <w:t>10</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75" w:history="1">
        <w:r w:rsidRPr="000C48C4">
          <w:rPr>
            <w:rStyle w:val="Hyperlink"/>
            <w:noProof/>
          </w:rPr>
          <w:t>A.3.2</w:t>
        </w:r>
        <w:r>
          <w:rPr>
            <w:rFonts w:ascii="Calibri" w:hAnsi="Calibri"/>
            <w:iCs w:val="0"/>
            <w:noProof/>
            <w:sz w:val="22"/>
            <w:szCs w:val="22"/>
            <w:lang w:eastAsia="en-AU"/>
          </w:rPr>
          <w:tab/>
        </w:r>
        <w:r w:rsidRPr="000C48C4">
          <w:rPr>
            <w:rStyle w:val="Hyperlink"/>
            <w:noProof/>
          </w:rPr>
          <w:t>Other healthcare resources</w:t>
        </w:r>
        <w:r>
          <w:rPr>
            <w:noProof/>
            <w:webHidden/>
          </w:rPr>
          <w:tab/>
        </w:r>
        <w:r>
          <w:rPr>
            <w:noProof/>
            <w:webHidden/>
          </w:rPr>
          <w:fldChar w:fldCharType="begin"/>
        </w:r>
        <w:r>
          <w:rPr>
            <w:noProof/>
            <w:webHidden/>
          </w:rPr>
          <w:instrText xml:space="preserve"> PAGEREF _Toc337546875 \h </w:instrText>
        </w:r>
        <w:r>
          <w:rPr>
            <w:noProof/>
            <w:webHidden/>
          </w:rPr>
        </w:r>
        <w:r>
          <w:rPr>
            <w:noProof/>
            <w:webHidden/>
          </w:rPr>
          <w:fldChar w:fldCharType="separate"/>
        </w:r>
        <w:r w:rsidR="003361A8">
          <w:rPr>
            <w:noProof/>
            <w:webHidden/>
          </w:rPr>
          <w:t>13</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76" w:history="1">
        <w:r w:rsidRPr="000C48C4">
          <w:rPr>
            <w:rStyle w:val="Hyperlink"/>
            <w:noProof/>
          </w:rPr>
          <w:t>A.4</w:t>
        </w:r>
        <w:r>
          <w:rPr>
            <w:rFonts w:ascii="Calibri" w:hAnsi="Calibri"/>
            <w:noProof/>
            <w:sz w:val="22"/>
            <w:szCs w:val="22"/>
            <w:lang w:eastAsia="en-AU"/>
          </w:rPr>
          <w:tab/>
        </w:r>
        <w:r w:rsidRPr="000C48C4">
          <w:rPr>
            <w:rStyle w:val="Hyperlink"/>
            <w:noProof/>
          </w:rPr>
          <w:t>Main comparator</w:t>
        </w:r>
        <w:r>
          <w:rPr>
            <w:noProof/>
            <w:webHidden/>
          </w:rPr>
          <w:tab/>
        </w:r>
        <w:r>
          <w:rPr>
            <w:noProof/>
            <w:webHidden/>
          </w:rPr>
          <w:fldChar w:fldCharType="begin"/>
        </w:r>
        <w:r>
          <w:rPr>
            <w:noProof/>
            <w:webHidden/>
          </w:rPr>
          <w:instrText xml:space="preserve"> PAGEREF _Toc337546876 \h </w:instrText>
        </w:r>
        <w:r>
          <w:rPr>
            <w:noProof/>
            <w:webHidden/>
          </w:rPr>
        </w:r>
        <w:r>
          <w:rPr>
            <w:noProof/>
            <w:webHidden/>
          </w:rPr>
          <w:fldChar w:fldCharType="separate"/>
        </w:r>
        <w:r w:rsidR="003361A8">
          <w:rPr>
            <w:noProof/>
            <w:webHidden/>
          </w:rPr>
          <w:t>14</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77" w:history="1">
        <w:r w:rsidRPr="000C48C4">
          <w:rPr>
            <w:rStyle w:val="Hyperlink"/>
            <w:noProof/>
          </w:rPr>
          <w:t>A.5</w:t>
        </w:r>
        <w:r>
          <w:rPr>
            <w:rFonts w:ascii="Calibri" w:hAnsi="Calibri"/>
            <w:noProof/>
            <w:sz w:val="22"/>
            <w:szCs w:val="22"/>
            <w:lang w:eastAsia="en-AU"/>
          </w:rPr>
          <w:tab/>
        </w:r>
        <w:r w:rsidRPr="000C48C4">
          <w:rPr>
            <w:rStyle w:val="Hyperlink"/>
            <w:noProof/>
          </w:rPr>
          <w:t>Clinical management algorithms</w:t>
        </w:r>
        <w:r>
          <w:rPr>
            <w:noProof/>
            <w:webHidden/>
          </w:rPr>
          <w:tab/>
        </w:r>
        <w:r>
          <w:rPr>
            <w:noProof/>
            <w:webHidden/>
          </w:rPr>
          <w:fldChar w:fldCharType="begin"/>
        </w:r>
        <w:r>
          <w:rPr>
            <w:noProof/>
            <w:webHidden/>
          </w:rPr>
          <w:instrText xml:space="preserve"> PAGEREF _Toc337546877 \h </w:instrText>
        </w:r>
        <w:r>
          <w:rPr>
            <w:noProof/>
            <w:webHidden/>
          </w:rPr>
        </w:r>
        <w:r>
          <w:rPr>
            <w:noProof/>
            <w:webHidden/>
          </w:rPr>
          <w:fldChar w:fldCharType="separate"/>
        </w:r>
        <w:r w:rsidR="003361A8">
          <w:rPr>
            <w:noProof/>
            <w:webHidden/>
          </w:rPr>
          <w:t>16</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78" w:history="1">
        <w:r w:rsidRPr="000C48C4">
          <w:rPr>
            <w:rStyle w:val="Hyperlink"/>
            <w:noProof/>
          </w:rPr>
          <w:t>A.6</w:t>
        </w:r>
        <w:r>
          <w:rPr>
            <w:rFonts w:ascii="Calibri" w:hAnsi="Calibri"/>
            <w:noProof/>
            <w:sz w:val="22"/>
            <w:szCs w:val="22"/>
            <w:lang w:eastAsia="en-AU"/>
          </w:rPr>
          <w:tab/>
        </w:r>
        <w:r w:rsidRPr="000C48C4">
          <w:rPr>
            <w:rStyle w:val="Hyperlink"/>
            <w:noProof/>
          </w:rPr>
          <w:t>Differences between the proposed intervention and main comparator</w:t>
        </w:r>
        <w:r>
          <w:rPr>
            <w:noProof/>
            <w:webHidden/>
          </w:rPr>
          <w:tab/>
        </w:r>
        <w:r>
          <w:rPr>
            <w:noProof/>
            <w:webHidden/>
          </w:rPr>
          <w:fldChar w:fldCharType="begin"/>
        </w:r>
        <w:r>
          <w:rPr>
            <w:noProof/>
            <w:webHidden/>
          </w:rPr>
          <w:instrText xml:space="preserve"> PAGEREF _Toc337546878 \h </w:instrText>
        </w:r>
        <w:r>
          <w:rPr>
            <w:noProof/>
            <w:webHidden/>
          </w:rPr>
        </w:r>
        <w:r>
          <w:rPr>
            <w:noProof/>
            <w:webHidden/>
          </w:rPr>
          <w:fldChar w:fldCharType="separate"/>
        </w:r>
        <w:r w:rsidR="003361A8">
          <w:rPr>
            <w:noProof/>
            <w:webHidden/>
          </w:rPr>
          <w:t>18</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879" w:history="1">
        <w:r w:rsidRPr="000C48C4">
          <w:rPr>
            <w:rStyle w:val="Hyperlink"/>
            <w:noProof/>
          </w:rPr>
          <w:t>B.</w:t>
        </w:r>
        <w:r>
          <w:rPr>
            <w:rFonts w:ascii="Calibri" w:hAnsi="Calibri"/>
            <w:b w:val="0"/>
            <w:bCs w:val="0"/>
            <w:noProof/>
            <w:sz w:val="22"/>
            <w:szCs w:val="22"/>
            <w:lang w:eastAsia="en-AU"/>
          </w:rPr>
          <w:tab/>
        </w:r>
        <w:r w:rsidRPr="000C48C4">
          <w:rPr>
            <w:rStyle w:val="Hyperlink"/>
            <w:noProof/>
          </w:rPr>
          <w:t>Clinical evaluation for the main indication</w:t>
        </w:r>
        <w:r>
          <w:rPr>
            <w:noProof/>
            <w:webHidden/>
          </w:rPr>
          <w:tab/>
        </w:r>
        <w:r>
          <w:rPr>
            <w:noProof/>
            <w:webHidden/>
          </w:rPr>
          <w:fldChar w:fldCharType="begin"/>
        </w:r>
        <w:r>
          <w:rPr>
            <w:noProof/>
            <w:webHidden/>
          </w:rPr>
          <w:instrText xml:space="preserve"> PAGEREF _Toc337546879 \h </w:instrText>
        </w:r>
        <w:r>
          <w:rPr>
            <w:noProof/>
            <w:webHidden/>
          </w:rPr>
        </w:r>
        <w:r>
          <w:rPr>
            <w:noProof/>
            <w:webHidden/>
          </w:rPr>
          <w:fldChar w:fldCharType="separate"/>
        </w:r>
        <w:r w:rsidR="003361A8">
          <w:rPr>
            <w:noProof/>
            <w:webHidden/>
          </w:rPr>
          <w:t>19</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80" w:history="1">
        <w:r w:rsidRPr="000C48C4">
          <w:rPr>
            <w:rStyle w:val="Hyperlink"/>
            <w:noProof/>
          </w:rPr>
          <w:t>B.1</w:t>
        </w:r>
        <w:r>
          <w:rPr>
            <w:rFonts w:ascii="Calibri" w:hAnsi="Calibri"/>
            <w:noProof/>
            <w:sz w:val="22"/>
            <w:szCs w:val="22"/>
            <w:lang w:eastAsia="en-AU"/>
          </w:rPr>
          <w:tab/>
        </w:r>
        <w:r w:rsidRPr="000C48C4">
          <w:rPr>
            <w:rStyle w:val="Hyperlink"/>
            <w:noProof/>
          </w:rPr>
          <w:t>Description of search strategies</w:t>
        </w:r>
        <w:r>
          <w:rPr>
            <w:noProof/>
            <w:webHidden/>
          </w:rPr>
          <w:tab/>
        </w:r>
        <w:r>
          <w:rPr>
            <w:noProof/>
            <w:webHidden/>
          </w:rPr>
          <w:fldChar w:fldCharType="begin"/>
        </w:r>
        <w:r>
          <w:rPr>
            <w:noProof/>
            <w:webHidden/>
          </w:rPr>
          <w:instrText xml:space="preserve"> PAGEREF _Toc337546880 \h </w:instrText>
        </w:r>
        <w:r>
          <w:rPr>
            <w:noProof/>
            <w:webHidden/>
          </w:rPr>
        </w:r>
        <w:r>
          <w:rPr>
            <w:noProof/>
            <w:webHidden/>
          </w:rPr>
          <w:fldChar w:fldCharType="separate"/>
        </w:r>
        <w:r w:rsidR="003361A8">
          <w:rPr>
            <w:noProof/>
            <w:webHidden/>
          </w:rPr>
          <w:t>21</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81" w:history="1">
        <w:r w:rsidRPr="000C48C4">
          <w:rPr>
            <w:rStyle w:val="Hyperlink"/>
            <w:noProof/>
          </w:rPr>
          <w:t>B.2</w:t>
        </w:r>
        <w:r>
          <w:rPr>
            <w:rFonts w:ascii="Calibri" w:hAnsi="Calibri"/>
            <w:noProof/>
            <w:sz w:val="22"/>
            <w:szCs w:val="22"/>
            <w:lang w:eastAsia="en-AU"/>
          </w:rPr>
          <w:tab/>
        </w:r>
        <w:r w:rsidRPr="000C48C4">
          <w:rPr>
            <w:rStyle w:val="Hyperlink"/>
            <w:noProof/>
          </w:rPr>
          <w:t>Listing of all direct randomised trials</w:t>
        </w:r>
        <w:r>
          <w:rPr>
            <w:noProof/>
            <w:webHidden/>
          </w:rPr>
          <w:tab/>
        </w:r>
        <w:r>
          <w:rPr>
            <w:noProof/>
            <w:webHidden/>
          </w:rPr>
          <w:fldChar w:fldCharType="begin"/>
        </w:r>
        <w:r>
          <w:rPr>
            <w:noProof/>
            <w:webHidden/>
          </w:rPr>
          <w:instrText xml:space="preserve"> PAGEREF _Toc337546881 \h </w:instrText>
        </w:r>
        <w:r>
          <w:rPr>
            <w:noProof/>
            <w:webHidden/>
          </w:rPr>
        </w:r>
        <w:r>
          <w:rPr>
            <w:noProof/>
            <w:webHidden/>
          </w:rPr>
          <w:fldChar w:fldCharType="separate"/>
        </w:r>
        <w:r w:rsidR="003361A8">
          <w:rPr>
            <w:noProof/>
            <w:webHidden/>
          </w:rPr>
          <w:t>22</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82" w:history="1">
        <w:r w:rsidRPr="000C48C4">
          <w:rPr>
            <w:rStyle w:val="Hyperlink"/>
            <w:noProof/>
          </w:rPr>
          <w:t>B.3</w:t>
        </w:r>
        <w:r>
          <w:rPr>
            <w:rFonts w:ascii="Calibri" w:hAnsi="Calibri"/>
            <w:noProof/>
            <w:sz w:val="22"/>
            <w:szCs w:val="22"/>
            <w:lang w:eastAsia="en-AU"/>
          </w:rPr>
          <w:tab/>
        </w:r>
        <w:r w:rsidRPr="000C48C4">
          <w:rPr>
            <w:rStyle w:val="Hyperlink"/>
            <w:noProof/>
          </w:rPr>
          <w:t>Assessment of the measures taken by investigators to minimise bias in the direct randomised trials</w:t>
        </w:r>
        <w:r>
          <w:rPr>
            <w:noProof/>
            <w:webHidden/>
          </w:rPr>
          <w:tab/>
        </w:r>
        <w:r>
          <w:rPr>
            <w:noProof/>
            <w:webHidden/>
          </w:rPr>
          <w:fldChar w:fldCharType="begin"/>
        </w:r>
        <w:r>
          <w:rPr>
            <w:noProof/>
            <w:webHidden/>
          </w:rPr>
          <w:instrText xml:space="preserve"> PAGEREF _Toc337546882 \h </w:instrText>
        </w:r>
        <w:r>
          <w:rPr>
            <w:noProof/>
            <w:webHidden/>
          </w:rPr>
        </w:r>
        <w:r>
          <w:rPr>
            <w:noProof/>
            <w:webHidden/>
          </w:rPr>
          <w:fldChar w:fldCharType="separate"/>
        </w:r>
        <w:r w:rsidR="003361A8">
          <w:rPr>
            <w:noProof/>
            <w:webHidden/>
          </w:rPr>
          <w:t>35</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83" w:history="1">
        <w:r w:rsidRPr="000C48C4">
          <w:rPr>
            <w:rStyle w:val="Hyperlink"/>
            <w:noProof/>
          </w:rPr>
          <w:t>B.4</w:t>
        </w:r>
        <w:r>
          <w:rPr>
            <w:rFonts w:ascii="Calibri" w:hAnsi="Calibri"/>
            <w:noProof/>
            <w:sz w:val="22"/>
            <w:szCs w:val="22"/>
            <w:lang w:eastAsia="en-AU"/>
          </w:rPr>
          <w:tab/>
        </w:r>
        <w:r w:rsidRPr="000C48C4">
          <w:rPr>
            <w:rStyle w:val="Hyperlink"/>
            <w:noProof/>
          </w:rPr>
          <w:t>Characteristics of the direct randomised trials</w:t>
        </w:r>
        <w:r>
          <w:rPr>
            <w:noProof/>
            <w:webHidden/>
          </w:rPr>
          <w:tab/>
        </w:r>
        <w:r>
          <w:rPr>
            <w:noProof/>
            <w:webHidden/>
          </w:rPr>
          <w:fldChar w:fldCharType="begin"/>
        </w:r>
        <w:r>
          <w:rPr>
            <w:noProof/>
            <w:webHidden/>
          </w:rPr>
          <w:instrText xml:space="preserve"> PAGEREF _Toc337546883 \h </w:instrText>
        </w:r>
        <w:r>
          <w:rPr>
            <w:noProof/>
            <w:webHidden/>
          </w:rPr>
        </w:r>
        <w:r>
          <w:rPr>
            <w:noProof/>
            <w:webHidden/>
          </w:rPr>
          <w:fldChar w:fldCharType="separate"/>
        </w:r>
        <w:r w:rsidR="003361A8">
          <w:rPr>
            <w:noProof/>
            <w:webHidden/>
          </w:rPr>
          <w:t>49</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84" w:history="1">
        <w:r w:rsidRPr="000C48C4">
          <w:rPr>
            <w:rStyle w:val="Hyperlink"/>
            <w:noProof/>
          </w:rPr>
          <w:t>B.4.1</w:t>
        </w:r>
        <w:r>
          <w:rPr>
            <w:rFonts w:ascii="Calibri" w:hAnsi="Calibri"/>
            <w:iCs w:val="0"/>
            <w:noProof/>
            <w:sz w:val="22"/>
            <w:szCs w:val="22"/>
            <w:lang w:eastAsia="en-AU"/>
          </w:rPr>
          <w:tab/>
        </w:r>
        <w:r w:rsidRPr="000C48C4">
          <w:rPr>
            <w:rStyle w:val="Hyperlink"/>
            <w:noProof/>
          </w:rPr>
          <w:t>Eligibility criteria</w:t>
        </w:r>
        <w:r>
          <w:rPr>
            <w:noProof/>
            <w:webHidden/>
          </w:rPr>
          <w:tab/>
        </w:r>
        <w:r>
          <w:rPr>
            <w:noProof/>
            <w:webHidden/>
          </w:rPr>
          <w:fldChar w:fldCharType="begin"/>
        </w:r>
        <w:r>
          <w:rPr>
            <w:noProof/>
            <w:webHidden/>
          </w:rPr>
          <w:instrText xml:space="preserve"> PAGEREF _Toc337546884 \h </w:instrText>
        </w:r>
        <w:r>
          <w:rPr>
            <w:noProof/>
            <w:webHidden/>
          </w:rPr>
        </w:r>
        <w:r>
          <w:rPr>
            <w:noProof/>
            <w:webHidden/>
          </w:rPr>
          <w:fldChar w:fldCharType="separate"/>
        </w:r>
        <w:r w:rsidR="003361A8">
          <w:rPr>
            <w:noProof/>
            <w:webHidden/>
          </w:rPr>
          <w:t>49</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85" w:history="1">
        <w:r w:rsidRPr="000C48C4">
          <w:rPr>
            <w:rStyle w:val="Hyperlink"/>
            <w:noProof/>
          </w:rPr>
          <w:t>B.4.2</w:t>
        </w:r>
        <w:r>
          <w:rPr>
            <w:rFonts w:ascii="Calibri" w:hAnsi="Calibri"/>
            <w:iCs w:val="0"/>
            <w:noProof/>
            <w:sz w:val="22"/>
            <w:szCs w:val="22"/>
            <w:lang w:eastAsia="en-AU"/>
          </w:rPr>
          <w:tab/>
        </w:r>
        <w:r w:rsidRPr="000C48C4">
          <w:rPr>
            <w:rStyle w:val="Hyperlink"/>
            <w:noProof/>
          </w:rPr>
          <w:t>Patient baseline characteristics</w:t>
        </w:r>
        <w:r>
          <w:rPr>
            <w:noProof/>
            <w:webHidden/>
          </w:rPr>
          <w:tab/>
        </w:r>
        <w:r>
          <w:rPr>
            <w:noProof/>
            <w:webHidden/>
          </w:rPr>
          <w:fldChar w:fldCharType="begin"/>
        </w:r>
        <w:r>
          <w:rPr>
            <w:noProof/>
            <w:webHidden/>
          </w:rPr>
          <w:instrText xml:space="preserve"> PAGEREF _Toc337546885 \h </w:instrText>
        </w:r>
        <w:r>
          <w:rPr>
            <w:noProof/>
            <w:webHidden/>
          </w:rPr>
        </w:r>
        <w:r>
          <w:rPr>
            <w:noProof/>
            <w:webHidden/>
          </w:rPr>
          <w:fldChar w:fldCharType="separate"/>
        </w:r>
        <w:r w:rsidR="003361A8">
          <w:rPr>
            <w:noProof/>
            <w:webHidden/>
          </w:rPr>
          <w:t>51</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86" w:history="1">
        <w:r w:rsidRPr="000C48C4">
          <w:rPr>
            <w:rStyle w:val="Hyperlink"/>
            <w:noProof/>
          </w:rPr>
          <w:t>B.4.3</w:t>
        </w:r>
        <w:r>
          <w:rPr>
            <w:rFonts w:ascii="Calibri" w:hAnsi="Calibri"/>
            <w:iCs w:val="0"/>
            <w:noProof/>
            <w:sz w:val="22"/>
            <w:szCs w:val="22"/>
            <w:lang w:eastAsia="en-AU"/>
          </w:rPr>
          <w:tab/>
        </w:r>
        <w:r w:rsidRPr="000C48C4">
          <w:rPr>
            <w:rStyle w:val="Hyperlink"/>
            <w:noProof/>
          </w:rPr>
          <w:t>Interventions in the direct randomised trials</w:t>
        </w:r>
        <w:r>
          <w:rPr>
            <w:noProof/>
            <w:webHidden/>
          </w:rPr>
          <w:tab/>
        </w:r>
        <w:r>
          <w:rPr>
            <w:noProof/>
            <w:webHidden/>
          </w:rPr>
          <w:fldChar w:fldCharType="begin"/>
        </w:r>
        <w:r>
          <w:rPr>
            <w:noProof/>
            <w:webHidden/>
          </w:rPr>
          <w:instrText xml:space="preserve"> PAGEREF _Toc337546886 \h </w:instrText>
        </w:r>
        <w:r>
          <w:rPr>
            <w:noProof/>
            <w:webHidden/>
          </w:rPr>
        </w:r>
        <w:r>
          <w:rPr>
            <w:noProof/>
            <w:webHidden/>
          </w:rPr>
          <w:fldChar w:fldCharType="separate"/>
        </w:r>
        <w:r w:rsidR="003361A8">
          <w:rPr>
            <w:noProof/>
            <w:webHidden/>
          </w:rPr>
          <w:t>54</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87" w:history="1">
        <w:r w:rsidRPr="000C48C4">
          <w:rPr>
            <w:rStyle w:val="Hyperlink"/>
            <w:noProof/>
          </w:rPr>
          <w:t>B.5</w:t>
        </w:r>
        <w:r>
          <w:rPr>
            <w:rFonts w:ascii="Calibri" w:hAnsi="Calibri"/>
            <w:noProof/>
            <w:sz w:val="22"/>
            <w:szCs w:val="22"/>
            <w:lang w:eastAsia="en-AU"/>
          </w:rPr>
          <w:tab/>
        </w:r>
        <w:r w:rsidRPr="000C48C4">
          <w:rPr>
            <w:rStyle w:val="Hyperlink"/>
            <w:noProof/>
          </w:rPr>
          <w:t>Outcome measures and analysis of the direct randomised trials</w:t>
        </w:r>
        <w:r>
          <w:rPr>
            <w:noProof/>
            <w:webHidden/>
          </w:rPr>
          <w:tab/>
        </w:r>
        <w:r>
          <w:rPr>
            <w:noProof/>
            <w:webHidden/>
          </w:rPr>
          <w:fldChar w:fldCharType="begin"/>
        </w:r>
        <w:r>
          <w:rPr>
            <w:noProof/>
            <w:webHidden/>
          </w:rPr>
          <w:instrText xml:space="preserve"> PAGEREF _Toc337546887 \h </w:instrText>
        </w:r>
        <w:r>
          <w:rPr>
            <w:noProof/>
            <w:webHidden/>
          </w:rPr>
        </w:r>
        <w:r>
          <w:rPr>
            <w:noProof/>
            <w:webHidden/>
          </w:rPr>
          <w:fldChar w:fldCharType="separate"/>
        </w:r>
        <w:r w:rsidR="003361A8">
          <w:rPr>
            <w:noProof/>
            <w:webHidden/>
          </w:rPr>
          <w:t>64</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88" w:history="1">
        <w:r w:rsidRPr="000C48C4">
          <w:rPr>
            <w:rStyle w:val="Hyperlink"/>
            <w:noProof/>
          </w:rPr>
          <w:t>B.5.1</w:t>
        </w:r>
        <w:r>
          <w:rPr>
            <w:rFonts w:ascii="Calibri" w:hAnsi="Calibri"/>
            <w:iCs w:val="0"/>
            <w:noProof/>
            <w:sz w:val="22"/>
            <w:szCs w:val="22"/>
            <w:lang w:eastAsia="en-AU"/>
          </w:rPr>
          <w:tab/>
        </w:r>
        <w:r w:rsidRPr="000C48C4">
          <w:rPr>
            <w:rStyle w:val="Hyperlink"/>
            <w:noProof/>
          </w:rPr>
          <w:t>Primary and secondary outcomes presented in the included trials</w:t>
        </w:r>
        <w:r>
          <w:rPr>
            <w:noProof/>
            <w:webHidden/>
          </w:rPr>
          <w:tab/>
        </w:r>
        <w:r>
          <w:rPr>
            <w:noProof/>
            <w:webHidden/>
          </w:rPr>
          <w:fldChar w:fldCharType="begin"/>
        </w:r>
        <w:r>
          <w:rPr>
            <w:noProof/>
            <w:webHidden/>
          </w:rPr>
          <w:instrText xml:space="preserve"> PAGEREF _Toc337546888 \h </w:instrText>
        </w:r>
        <w:r>
          <w:rPr>
            <w:noProof/>
            <w:webHidden/>
          </w:rPr>
        </w:r>
        <w:r>
          <w:rPr>
            <w:noProof/>
            <w:webHidden/>
          </w:rPr>
          <w:fldChar w:fldCharType="separate"/>
        </w:r>
        <w:r w:rsidR="003361A8">
          <w:rPr>
            <w:noProof/>
            <w:webHidden/>
          </w:rPr>
          <w:t>65</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89" w:history="1">
        <w:r w:rsidRPr="000C48C4">
          <w:rPr>
            <w:rStyle w:val="Hyperlink"/>
            <w:noProof/>
          </w:rPr>
          <w:t>B.5.2</w:t>
        </w:r>
        <w:r>
          <w:rPr>
            <w:rFonts w:ascii="Calibri" w:hAnsi="Calibri"/>
            <w:iCs w:val="0"/>
            <w:noProof/>
            <w:sz w:val="22"/>
            <w:szCs w:val="22"/>
            <w:lang w:eastAsia="en-AU"/>
          </w:rPr>
          <w:tab/>
        </w:r>
        <w:r w:rsidRPr="000C48C4">
          <w:rPr>
            <w:rStyle w:val="Hyperlink"/>
            <w:noProof/>
          </w:rPr>
          <w:t>Outcomes presented in the submission</w:t>
        </w:r>
        <w:r>
          <w:rPr>
            <w:noProof/>
            <w:webHidden/>
          </w:rPr>
          <w:tab/>
        </w:r>
        <w:r>
          <w:rPr>
            <w:noProof/>
            <w:webHidden/>
          </w:rPr>
          <w:fldChar w:fldCharType="begin"/>
        </w:r>
        <w:r>
          <w:rPr>
            <w:noProof/>
            <w:webHidden/>
          </w:rPr>
          <w:instrText xml:space="preserve"> PAGEREF _Toc337546889 \h </w:instrText>
        </w:r>
        <w:r>
          <w:rPr>
            <w:noProof/>
            <w:webHidden/>
          </w:rPr>
        </w:r>
        <w:r>
          <w:rPr>
            <w:noProof/>
            <w:webHidden/>
          </w:rPr>
          <w:fldChar w:fldCharType="separate"/>
        </w:r>
        <w:r w:rsidR="003361A8">
          <w:rPr>
            <w:noProof/>
            <w:webHidden/>
          </w:rPr>
          <w:t>72</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90" w:history="1">
        <w:r w:rsidRPr="000C48C4">
          <w:rPr>
            <w:rStyle w:val="Hyperlink"/>
            <w:noProof/>
          </w:rPr>
          <w:t>B.5.3</w:t>
        </w:r>
        <w:r>
          <w:rPr>
            <w:rFonts w:ascii="Calibri" w:hAnsi="Calibri"/>
            <w:iCs w:val="0"/>
            <w:noProof/>
            <w:sz w:val="22"/>
            <w:szCs w:val="22"/>
            <w:lang w:eastAsia="en-AU"/>
          </w:rPr>
          <w:tab/>
        </w:r>
        <w:r w:rsidRPr="000C48C4">
          <w:rPr>
            <w:rStyle w:val="Hyperlink"/>
            <w:noProof/>
          </w:rPr>
          <w:t>Health outcomes</w:t>
        </w:r>
        <w:r>
          <w:rPr>
            <w:noProof/>
            <w:webHidden/>
          </w:rPr>
          <w:tab/>
        </w:r>
        <w:r>
          <w:rPr>
            <w:noProof/>
            <w:webHidden/>
          </w:rPr>
          <w:fldChar w:fldCharType="begin"/>
        </w:r>
        <w:r>
          <w:rPr>
            <w:noProof/>
            <w:webHidden/>
          </w:rPr>
          <w:instrText xml:space="preserve"> PAGEREF _Toc337546890 \h </w:instrText>
        </w:r>
        <w:r>
          <w:rPr>
            <w:noProof/>
            <w:webHidden/>
          </w:rPr>
        </w:r>
        <w:r>
          <w:rPr>
            <w:noProof/>
            <w:webHidden/>
          </w:rPr>
          <w:fldChar w:fldCharType="separate"/>
        </w:r>
        <w:r w:rsidR="003361A8">
          <w:rPr>
            <w:noProof/>
            <w:webHidden/>
          </w:rPr>
          <w:t>73</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91" w:history="1">
        <w:r w:rsidRPr="000C48C4">
          <w:rPr>
            <w:rStyle w:val="Hyperlink"/>
            <w:noProof/>
          </w:rPr>
          <w:t>B.5.4</w:t>
        </w:r>
        <w:r>
          <w:rPr>
            <w:rFonts w:ascii="Calibri" w:hAnsi="Calibri"/>
            <w:iCs w:val="0"/>
            <w:noProof/>
            <w:sz w:val="22"/>
            <w:szCs w:val="22"/>
            <w:lang w:eastAsia="en-AU"/>
          </w:rPr>
          <w:tab/>
        </w:r>
        <w:r w:rsidRPr="000C48C4">
          <w:rPr>
            <w:rStyle w:val="Hyperlink"/>
            <w:noProof/>
          </w:rPr>
          <w:t>Diagnostic outcomes</w:t>
        </w:r>
        <w:r>
          <w:rPr>
            <w:noProof/>
            <w:webHidden/>
          </w:rPr>
          <w:tab/>
        </w:r>
        <w:r>
          <w:rPr>
            <w:noProof/>
            <w:webHidden/>
          </w:rPr>
          <w:fldChar w:fldCharType="begin"/>
        </w:r>
        <w:r>
          <w:rPr>
            <w:noProof/>
            <w:webHidden/>
          </w:rPr>
          <w:instrText xml:space="preserve"> PAGEREF _Toc337546891 \h </w:instrText>
        </w:r>
        <w:r>
          <w:rPr>
            <w:noProof/>
            <w:webHidden/>
          </w:rPr>
        </w:r>
        <w:r>
          <w:rPr>
            <w:noProof/>
            <w:webHidden/>
          </w:rPr>
          <w:fldChar w:fldCharType="separate"/>
        </w:r>
        <w:r w:rsidR="003361A8">
          <w:rPr>
            <w:noProof/>
            <w:webHidden/>
          </w:rPr>
          <w:t>73</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92" w:history="1">
        <w:r w:rsidRPr="000C48C4">
          <w:rPr>
            <w:rStyle w:val="Hyperlink"/>
            <w:noProof/>
          </w:rPr>
          <w:t>B.5.5</w:t>
        </w:r>
        <w:r>
          <w:rPr>
            <w:rFonts w:ascii="Calibri" w:hAnsi="Calibri"/>
            <w:iCs w:val="0"/>
            <w:noProof/>
            <w:sz w:val="22"/>
            <w:szCs w:val="22"/>
            <w:lang w:eastAsia="en-AU"/>
          </w:rPr>
          <w:tab/>
        </w:r>
        <w:r w:rsidRPr="000C48C4">
          <w:rPr>
            <w:rStyle w:val="Hyperlink"/>
            <w:noProof/>
          </w:rPr>
          <w:t>Change in management and patient outcomes</w:t>
        </w:r>
        <w:r>
          <w:rPr>
            <w:noProof/>
            <w:webHidden/>
          </w:rPr>
          <w:tab/>
        </w:r>
        <w:r>
          <w:rPr>
            <w:noProof/>
            <w:webHidden/>
          </w:rPr>
          <w:fldChar w:fldCharType="begin"/>
        </w:r>
        <w:r>
          <w:rPr>
            <w:noProof/>
            <w:webHidden/>
          </w:rPr>
          <w:instrText xml:space="preserve"> PAGEREF _Toc337546892 \h </w:instrText>
        </w:r>
        <w:r>
          <w:rPr>
            <w:noProof/>
            <w:webHidden/>
          </w:rPr>
        </w:r>
        <w:r>
          <w:rPr>
            <w:noProof/>
            <w:webHidden/>
          </w:rPr>
          <w:fldChar w:fldCharType="separate"/>
        </w:r>
        <w:r w:rsidR="003361A8">
          <w:rPr>
            <w:noProof/>
            <w:webHidden/>
          </w:rPr>
          <w:t>75</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93" w:history="1">
        <w:r w:rsidRPr="000C48C4">
          <w:rPr>
            <w:rStyle w:val="Hyperlink"/>
            <w:noProof/>
          </w:rPr>
          <w:t>B.5.6</w:t>
        </w:r>
        <w:r>
          <w:rPr>
            <w:rFonts w:ascii="Calibri" w:hAnsi="Calibri"/>
            <w:iCs w:val="0"/>
            <w:noProof/>
            <w:sz w:val="22"/>
            <w:szCs w:val="22"/>
            <w:lang w:eastAsia="en-AU"/>
          </w:rPr>
          <w:tab/>
        </w:r>
        <w:r w:rsidRPr="000C48C4">
          <w:rPr>
            <w:rStyle w:val="Hyperlink"/>
            <w:noProof/>
          </w:rPr>
          <w:t>Definition of composite outcome and quality of life measures presented in the submission</w:t>
        </w:r>
        <w:r>
          <w:rPr>
            <w:noProof/>
            <w:webHidden/>
          </w:rPr>
          <w:tab/>
        </w:r>
        <w:r>
          <w:rPr>
            <w:noProof/>
            <w:webHidden/>
          </w:rPr>
          <w:fldChar w:fldCharType="begin"/>
        </w:r>
        <w:r>
          <w:rPr>
            <w:noProof/>
            <w:webHidden/>
          </w:rPr>
          <w:instrText xml:space="preserve"> PAGEREF _Toc337546893 \h </w:instrText>
        </w:r>
        <w:r>
          <w:rPr>
            <w:noProof/>
            <w:webHidden/>
          </w:rPr>
        </w:r>
        <w:r>
          <w:rPr>
            <w:noProof/>
            <w:webHidden/>
          </w:rPr>
          <w:fldChar w:fldCharType="separate"/>
        </w:r>
        <w:r w:rsidR="003361A8">
          <w:rPr>
            <w:noProof/>
            <w:webHidden/>
          </w:rPr>
          <w:t>75</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94" w:history="1">
        <w:r w:rsidRPr="000C48C4">
          <w:rPr>
            <w:rStyle w:val="Hyperlink"/>
            <w:noProof/>
          </w:rPr>
          <w:t>B.5.7</w:t>
        </w:r>
        <w:r>
          <w:rPr>
            <w:rFonts w:ascii="Calibri" w:hAnsi="Calibri"/>
            <w:iCs w:val="0"/>
            <w:noProof/>
            <w:sz w:val="22"/>
            <w:szCs w:val="22"/>
            <w:lang w:eastAsia="en-AU"/>
          </w:rPr>
          <w:tab/>
        </w:r>
        <w:r w:rsidRPr="000C48C4">
          <w:rPr>
            <w:rStyle w:val="Hyperlink"/>
            <w:noProof/>
          </w:rPr>
          <w:t>Statistical analyses</w:t>
        </w:r>
        <w:r>
          <w:rPr>
            <w:noProof/>
            <w:webHidden/>
          </w:rPr>
          <w:tab/>
        </w:r>
        <w:r>
          <w:rPr>
            <w:noProof/>
            <w:webHidden/>
          </w:rPr>
          <w:fldChar w:fldCharType="begin"/>
        </w:r>
        <w:r>
          <w:rPr>
            <w:noProof/>
            <w:webHidden/>
          </w:rPr>
          <w:instrText xml:space="preserve"> PAGEREF _Toc337546894 \h </w:instrText>
        </w:r>
        <w:r>
          <w:rPr>
            <w:noProof/>
            <w:webHidden/>
          </w:rPr>
        </w:r>
        <w:r>
          <w:rPr>
            <w:noProof/>
            <w:webHidden/>
          </w:rPr>
          <w:fldChar w:fldCharType="separate"/>
        </w:r>
        <w:r w:rsidR="003361A8">
          <w:rPr>
            <w:noProof/>
            <w:webHidden/>
          </w:rPr>
          <w:t>75</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895" w:history="1">
        <w:r w:rsidRPr="000C48C4">
          <w:rPr>
            <w:rStyle w:val="Hyperlink"/>
            <w:noProof/>
          </w:rPr>
          <w:t>B.6</w:t>
        </w:r>
        <w:r>
          <w:rPr>
            <w:rFonts w:ascii="Calibri" w:hAnsi="Calibri"/>
            <w:noProof/>
            <w:sz w:val="22"/>
            <w:szCs w:val="22"/>
            <w:lang w:eastAsia="en-AU"/>
          </w:rPr>
          <w:tab/>
        </w:r>
        <w:r w:rsidRPr="000C48C4">
          <w:rPr>
            <w:rStyle w:val="Hyperlink"/>
            <w:noProof/>
          </w:rPr>
          <w:t>Systematic overview of the results of the direct randomised trials</w:t>
        </w:r>
        <w:r>
          <w:rPr>
            <w:noProof/>
            <w:webHidden/>
          </w:rPr>
          <w:tab/>
        </w:r>
        <w:r>
          <w:rPr>
            <w:noProof/>
            <w:webHidden/>
          </w:rPr>
          <w:fldChar w:fldCharType="begin"/>
        </w:r>
        <w:r>
          <w:rPr>
            <w:noProof/>
            <w:webHidden/>
          </w:rPr>
          <w:instrText xml:space="preserve"> PAGEREF _Toc337546895 \h </w:instrText>
        </w:r>
        <w:r>
          <w:rPr>
            <w:noProof/>
            <w:webHidden/>
          </w:rPr>
        </w:r>
        <w:r>
          <w:rPr>
            <w:noProof/>
            <w:webHidden/>
          </w:rPr>
          <w:fldChar w:fldCharType="separate"/>
        </w:r>
        <w:r w:rsidR="003361A8">
          <w:rPr>
            <w:noProof/>
            <w:webHidden/>
          </w:rPr>
          <w:t>79</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96" w:history="1">
        <w:r w:rsidRPr="000C48C4">
          <w:rPr>
            <w:rStyle w:val="Hyperlink"/>
            <w:noProof/>
          </w:rPr>
          <w:t>B.6.1</w:t>
        </w:r>
        <w:r>
          <w:rPr>
            <w:rFonts w:ascii="Calibri" w:hAnsi="Calibri"/>
            <w:iCs w:val="0"/>
            <w:noProof/>
            <w:sz w:val="22"/>
            <w:szCs w:val="22"/>
            <w:lang w:eastAsia="en-AU"/>
          </w:rPr>
          <w:tab/>
        </w:r>
        <w:r w:rsidRPr="000C48C4">
          <w:rPr>
            <w:rStyle w:val="Hyperlink"/>
            <w:noProof/>
          </w:rPr>
          <w:t>Efficacy data</w:t>
        </w:r>
        <w:r>
          <w:rPr>
            <w:noProof/>
            <w:webHidden/>
          </w:rPr>
          <w:tab/>
        </w:r>
        <w:r>
          <w:rPr>
            <w:noProof/>
            <w:webHidden/>
          </w:rPr>
          <w:fldChar w:fldCharType="begin"/>
        </w:r>
        <w:r>
          <w:rPr>
            <w:noProof/>
            <w:webHidden/>
          </w:rPr>
          <w:instrText xml:space="preserve"> PAGEREF _Toc337546896 \h </w:instrText>
        </w:r>
        <w:r>
          <w:rPr>
            <w:noProof/>
            <w:webHidden/>
          </w:rPr>
        </w:r>
        <w:r>
          <w:rPr>
            <w:noProof/>
            <w:webHidden/>
          </w:rPr>
          <w:fldChar w:fldCharType="separate"/>
        </w:r>
        <w:r w:rsidR="003361A8">
          <w:rPr>
            <w:noProof/>
            <w:webHidden/>
          </w:rPr>
          <w:t>81</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97" w:history="1">
        <w:r w:rsidRPr="000C48C4">
          <w:rPr>
            <w:rStyle w:val="Hyperlink"/>
            <w:noProof/>
          </w:rPr>
          <w:t>B.6.2</w:t>
        </w:r>
        <w:r>
          <w:rPr>
            <w:rFonts w:ascii="Calibri" w:hAnsi="Calibri"/>
            <w:iCs w:val="0"/>
            <w:noProof/>
            <w:sz w:val="22"/>
            <w:szCs w:val="22"/>
            <w:lang w:eastAsia="en-AU"/>
          </w:rPr>
          <w:tab/>
        </w:r>
        <w:r w:rsidRPr="000C48C4">
          <w:rPr>
            <w:rStyle w:val="Hyperlink"/>
            <w:noProof/>
          </w:rPr>
          <w:t>Health outcomes</w:t>
        </w:r>
        <w:r>
          <w:rPr>
            <w:noProof/>
            <w:webHidden/>
          </w:rPr>
          <w:tab/>
        </w:r>
        <w:r>
          <w:rPr>
            <w:noProof/>
            <w:webHidden/>
          </w:rPr>
          <w:fldChar w:fldCharType="begin"/>
        </w:r>
        <w:r>
          <w:rPr>
            <w:noProof/>
            <w:webHidden/>
          </w:rPr>
          <w:instrText xml:space="preserve"> PAGEREF _Toc337546897 \h </w:instrText>
        </w:r>
        <w:r>
          <w:rPr>
            <w:noProof/>
            <w:webHidden/>
          </w:rPr>
        </w:r>
        <w:r>
          <w:rPr>
            <w:noProof/>
            <w:webHidden/>
          </w:rPr>
          <w:fldChar w:fldCharType="separate"/>
        </w:r>
        <w:r w:rsidR="003361A8">
          <w:rPr>
            <w:noProof/>
            <w:webHidden/>
          </w:rPr>
          <w:t>83</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898" w:history="1">
        <w:r w:rsidRPr="000C48C4">
          <w:rPr>
            <w:rStyle w:val="Hyperlink"/>
            <w:noProof/>
          </w:rPr>
          <w:t>B.6.3</w:t>
        </w:r>
        <w:r>
          <w:rPr>
            <w:rFonts w:ascii="Calibri" w:hAnsi="Calibri"/>
            <w:iCs w:val="0"/>
            <w:noProof/>
            <w:sz w:val="22"/>
            <w:szCs w:val="22"/>
            <w:lang w:eastAsia="en-AU"/>
          </w:rPr>
          <w:tab/>
        </w:r>
        <w:r w:rsidRPr="000C48C4">
          <w:rPr>
            <w:rStyle w:val="Hyperlink"/>
            <w:noProof/>
          </w:rPr>
          <w:t>Diagnostic outcomes</w:t>
        </w:r>
        <w:r>
          <w:rPr>
            <w:noProof/>
            <w:webHidden/>
          </w:rPr>
          <w:tab/>
        </w:r>
        <w:r>
          <w:rPr>
            <w:noProof/>
            <w:webHidden/>
          </w:rPr>
          <w:fldChar w:fldCharType="begin"/>
        </w:r>
        <w:r>
          <w:rPr>
            <w:noProof/>
            <w:webHidden/>
          </w:rPr>
          <w:instrText xml:space="preserve"> PAGEREF _Toc337546898 \h </w:instrText>
        </w:r>
        <w:r>
          <w:rPr>
            <w:noProof/>
            <w:webHidden/>
          </w:rPr>
        </w:r>
        <w:r>
          <w:rPr>
            <w:noProof/>
            <w:webHidden/>
          </w:rPr>
          <w:fldChar w:fldCharType="separate"/>
        </w:r>
        <w:r w:rsidR="003361A8">
          <w:rPr>
            <w:noProof/>
            <w:webHidden/>
          </w:rPr>
          <w:t>85</w:t>
        </w:r>
        <w:r>
          <w:rPr>
            <w:noProof/>
            <w:webHidden/>
          </w:rPr>
          <w:fldChar w:fldCharType="end"/>
        </w:r>
      </w:hyperlink>
    </w:p>
    <w:p w:rsidR="00A3294E" w:rsidRDefault="00A3294E">
      <w:pPr>
        <w:pStyle w:val="TOC3"/>
        <w:tabs>
          <w:tab w:val="right" w:leader="dot" w:pos="9017"/>
        </w:tabs>
        <w:rPr>
          <w:rFonts w:ascii="Calibri" w:hAnsi="Calibri"/>
          <w:iCs w:val="0"/>
          <w:noProof/>
          <w:sz w:val="22"/>
          <w:szCs w:val="22"/>
          <w:lang w:eastAsia="en-AU"/>
        </w:rPr>
      </w:pPr>
      <w:hyperlink w:anchor="_Toc337546899" w:history="1">
        <w:r w:rsidRPr="000C48C4">
          <w:rPr>
            <w:rStyle w:val="Hyperlink"/>
            <w:noProof/>
          </w:rPr>
          <w:t>B.6.4 Impact of screening on clinical management</w:t>
        </w:r>
        <w:r>
          <w:rPr>
            <w:noProof/>
            <w:webHidden/>
          </w:rPr>
          <w:tab/>
        </w:r>
        <w:r>
          <w:rPr>
            <w:noProof/>
            <w:webHidden/>
          </w:rPr>
          <w:fldChar w:fldCharType="begin"/>
        </w:r>
        <w:r>
          <w:rPr>
            <w:noProof/>
            <w:webHidden/>
          </w:rPr>
          <w:instrText xml:space="preserve"> PAGEREF _Toc337546899 \h </w:instrText>
        </w:r>
        <w:r>
          <w:rPr>
            <w:noProof/>
            <w:webHidden/>
          </w:rPr>
        </w:r>
        <w:r>
          <w:rPr>
            <w:noProof/>
            <w:webHidden/>
          </w:rPr>
          <w:fldChar w:fldCharType="separate"/>
        </w:r>
        <w:r w:rsidR="003361A8">
          <w:rPr>
            <w:noProof/>
            <w:webHidden/>
          </w:rPr>
          <w:t>131</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00" w:history="1">
        <w:r w:rsidRPr="000C48C4">
          <w:rPr>
            <w:rStyle w:val="Hyperlink"/>
            <w:noProof/>
          </w:rPr>
          <w:t>B.6.5</w:t>
        </w:r>
        <w:r>
          <w:rPr>
            <w:rFonts w:ascii="Calibri" w:hAnsi="Calibri"/>
            <w:iCs w:val="0"/>
            <w:noProof/>
            <w:sz w:val="22"/>
            <w:szCs w:val="22"/>
            <w:lang w:eastAsia="en-AU"/>
          </w:rPr>
          <w:tab/>
        </w:r>
        <w:r w:rsidRPr="000C48C4">
          <w:rPr>
            <w:rStyle w:val="Hyperlink"/>
            <w:noProof/>
          </w:rPr>
          <w:t>Secondary comparison automated versus manual reading of slides</w:t>
        </w:r>
        <w:r>
          <w:rPr>
            <w:noProof/>
            <w:webHidden/>
          </w:rPr>
          <w:tab/>
        </w:r>
        <w:r>
          <w:rPr>
            <w:noProof/>
            <w:webHidden/>
          </w:rPr>
          <w:fldChar w:fldCharType="begin"/>
        </w:r>
        <w:r>
          <w:rPr>
            <w:noProof/>
            <w:webHidden/>
          </w:rPr>
          <w:instrText xml:space="preserve"> PAGEREF _Toc337546900 \h </w:instrText>
        </w:r>
        <w:r>
          <w:rPr>
            <w:noProof/>
            <w:webHidden/>
          </w:rPr>
        </w:r>
        <w:r>
          <w:rPr>
            <w:noProof/>
            <w:webHidden/>
          </w:rPr>
          <w:fldChar w:fldCharType="separate"/>
        </w:r>
        <w:r w:rsidR="003361A8">
          <w:rPr>
            <w:noProof/>
            <w:webHidden/>
          </w:rPr>
          <w:t>131</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01" w:history="1">
        <w:r w:rsidRPr="000C48C4">
          <w:rPr>
            <w:rStyle w:val="Hyperlink"/>
            <w:noProof/>
          </w:rPr>
          <w:t>B.7</w:t>
        </w:r>
        <w:r>
          <w:rPr>
            <w:rFonts w:ascii="Calibri" w:hAnsi="Calibri"/>
            <w:noProof/>
            <w:sz w:val="22"/>
            <w:szCs w:val="22"/>
            <w:lang w:eastAsia="en-AU"/>
          </w:rPr>
          <w:tab/>
        </w:r>
        <w:r w:rsidRPr="000C48C4">
          <w:rPr>
            <w:rStyle w:val="Hyperlink"/>
            <w:noProof/>
          </w:rPr>
          <w:t>Extended assessment of comparative harms</w:t>
        </w:r>
        <w:r>
          <w:rPr>
            <w:noProof/>
            <w:webHidden/>
          </w:rPr>
          <w:tab/>
        </w:r>
        <w:r>
          <w:rPr>
            <w:noProof/>
            <w:webHidden/>
          </w:rPr>
          <w:fldChar w:fldCharType="begin"/>
        </w:r>
        <w:r>
          <w:rPr>
            <w:noProof/>
            <w:webHidden/>
          </w:rPr>
          <w:instrText xml:space="preserve"> PAGEREF _Toc337546901 \h </w:instrText>
        </w:r>
        <w:r>
          <w:rPr>
            <w:noProof/>
            <w:webHidden/>
          </w:rPr>
        </w:r>
        <w:r>
          <w:rPr>
            <w:noProof/>
            <w:webHidden/>
          </w:rPr>
          <w:fldChar w:fldCharType="separate"/>
        </w:r>
        <w:r w:rsidR="003361A8">
          <w:rPr>
            <w:noProof/>
            <w:webHidden/>
          </w:rPr>
          <w:t>144</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02" w:history="1">
        <w:r w:rsidRPr="000C48C4">
          <w:rPr>
            <w:rStyle w:val="Hyperlink"/>
            <w:noProof/>
          </w:rPr>
          <w:t>B.8</w:t>
        </w:r>
        <w:r>
          <w:rPr>
            <w:rFonts w:ascii="Calibri" w:hAnsi="Calibri"/>
            <w:noProof/>
            <w:sz w:val="22"/>
            <w:szCs w:val="22"/>
            <w:lang w:eastAsia="en-AU"/>
          </w:rPr>
          <w:tab/>
        </w:r>
        <w:r w:rsidRPr="000C48C4">
          <w:rPr>
            <w:rStyle w:val="Hyperlink"/>
            <w:noProof/>
          </w:rPr>
          <w:t>Interpretation of the clinical evidence</w:t>
        </w:r>
        <w:r>
          <w:rPr>
            <w:noProof/>
            <w:webHidden/>
          </w:rPr>
          <w:tab/>
        </w:r>
        <w:r>
          <w:rPr>
            <w:noProof/>
            <w:webHidden/>
          </w:rPr>
          <w:fldChar w:fldCharType="begin"/>
        </w:r>
        <w:r>
          <w:rPr>
            <w:noProof/>
            <w:webHidden/>
          </w:rPr>
          <w:instrText xml:space="preserve"> PAGEREF _Toc337546902 \h </w:instrText>
        </w:r>
        <w:r>
          <w:rPr>
            <w:noProof/>
            <w:webHidden/>
          </w:rPr>
        </w:r>
        <w:r>
          <w:rPr>
            <w:noProof/>
            <w:webHidden/>
          </w:rPr>
          <w:fldChar w:fldCharType="separate"/>
        </w:r>
        <w:r w:rsidR="003361A8">
          <w:rPr>
            <w:noProof/>
            <w:webHidden/>
          </w:rPr>
          <w:t>145</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903" w:history="1">
        <w:r w:rsidRPr="000C48C4">
          <w:rPr>
            <w:rStyle w:val="Hyperlink"/>
            <w:noProof/>
          </w:rPr>
          <w:t>C.</w:t>
        </w:r>
        <w:r>
          <w:rPr>
            <w:rFonts w:ascii="Calibri" w:hAnsi="Calibri"/>
            <w:b w:val="0"/>
            <w:bCs w:val="0"/>
            <w:noProof/>
            <w:sz w:val="22"/>
            <w:szCs w:val="22"/>
            <w:lang w:eastAsia="en-AU"/>
          </w:rPr>
          <w:tab/>
        </w:r>
        <w:r w:rsidRPr="000C48C4">
          <w:rPr>
            <w:rStyle w:val="Hyperlink"/>
            <w:noProof/>
          </w:rPr>
          <w:t>Translating the clinical evaluation to the listing requested for inclusion in the economic evaluation</w:t>
        </w:r>
        <w:r>
          <w:rPr>
            <w:noProof/>
            <w:webHidden/>
          </w:rPr>
          <w:tab/>
        </w:r>
        <w:r>
          <w:rPr>
            <w:noProof/>
            <w:webHidden/>
          </w:rPr>
          <w:fldChar w:fldCharType="begin"/>
        </w:r>
        <w:r>
          <w:rPr>
            <w:noProof/>
            <w:webHidden/>
          </w:rPr>
          <w:instrText xml:space="preserve"> PAGEREF _Toc337546903 \h </w:instrText>
        </w:r>
        <w:r>
          <w:rPr>
            <w:noProof/>
            <w:webHidden/>
          </w:rPr>
        </w:r>
        <w:r>
          <w:rPr>
            <w:noProof/>
            <w:webHidden/>
          </w:rPr>
          <w:fldChar w:fldCharType="separate"/>
        </w:r>
        <w:r w:rsidR="003361A8">
          <w:rPr>
            <w:noProof/>
            <w:webHidden/>
          </w:rPr>
          <w:t>151</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04" w:history="1">
        <w:r w:rsidRPr="000C48C4">
          <w:rPr>
            <w:rStyle w:val="Hyperlink"/>
            <w:noProof/>
          </w:rPr>
          <w:t>C.1.1</w:t>
        </w:r>
        <w:r>
          <w:rPr>
            <w:rFonts w:ascii="Calibri" w:hAnsi="Calibri"/>
            <w:iCs w:val="0"/>
            <w:noProof/>
            <w:sz w:val="22"/>
            <w:szCs w:val="22"/>
            <w:lang w:eastAsia="en-AU"/>
          </w:rPr>
          <w:tab/>
        </w:r>
        <w:r w:rsidRPr="000C48C4">
          <w:rPr>
            <w:rStyle w:val="Hyperlink"/>
            <w:noProof/>
          </w:rPr>
          <w:t>Applicability of reference standards</w:t>
        </w:r>
        <w:r>
          <w:rPr>
            <w:noProof/>
            <w:webHidden/>
          </w:rPr>
          <w:tab/>
        </w:r>
        <w:r>
          <w:rPr>
            <w:noProof/>
            <w:webHidden/>
          </w:rPr>
          <w:fldChar w:fldCharType="begin"/>
        </w:r>
        <w:r>
          <w:rPr>
            <w:noProof/>
            <w:webHidden/>
          </w:rPr>
          <w:instrText xml:space="preserve"> PAGEREF _Toc337546904 \h </w:instrText>
        </w:r>
        <w:r>
          <w:rPr>
            <w:noProof/>
            <w:webHidden/>
          </w:rPr>
        </w:r>
        <w:r>
          <w:rPr>
            <w:noProof/>
            <w:webHidden/>
          </w:rPr>
          <w:fldChar w:fldCharType="separate"/>
        </w:r>
        <w:r w:rsidR="003361A8">
          <w:rPr>
            <w:noProof/>
            <w:webHidden/>
          </w:rPr>
          <w:t>153</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05" w:history="1">
        <w:r w:rsidRPr="000C48C4">
          <w:rPr>
            <w:rStyle w:val="Hyperlink"/>
            <w:noProof/>
          </w:rPr>
          <w:t>C.1.2</w:t>
        </w:r>
        <w:r>
          <w:rPr>
            <w:rFonts w:ascii="Calibri" w:hAnsi="Calibri"/>
            <w:iCs w:val="0"/>
            <w:noProof/>
            <w:sz w:val="22"/>
            <w:szCs w:val="22"/>
            <w:lang w:eastAsia="en-AU"/>
          </w:rPr>
          <w:tab/>
        </w:r>
        <w:r w:rsidRPr="000C48C4">
          <w:rPr>
            <w:rStyle w:val="Hyperlink"/>
            <w:noProof/>
          </w:rPr>
          <w:t>Applicability of the trial population</w:t>
        </w:r>
        <w:r>
          <w:rPr>
            <w:noProof/>
            <w:webHidden/>
          </w:rPr>
          <w:tab/>
        </w:r>
        <w:r>
          <w:rPr>
            <w:noProof/>
            <w:webHidden/>
          </w:rPr>
          <w:fldChar w:fldCharType="begin"/>
        </w:r>
        <w:r>
          <w:rPr>
            <w:noProof/>
            <w:webHidden/>
          </w:rPr>
          <w:instrText xml:space="preserve"> PAGEREF _Toc337546905 \h </w:instrText>
        </w:r>
        <w:r>
          <w:rPr>
            <w:noProof/>
            <w:webHidden/>
          </w:rPr>
        </w:r>
        <w:r>
          <w:rPr>
            <w:noProof/>
            <w:webHidden/>
          </w:rPr>
          <w:fldChar w:fldCharType="separate"/>
        </w:r>
        <w:r w:rsidR="003361A8">
          <w:rPr>
            <w:noProof/>
            <w:webHidden/>
          </w:rPr>
          <w:t>153</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06" w:history="1">
        <w:r w:rsidRPr="000C48C4">
          <w:rPr>
            <w:rStyle w:val="Hyperlink"/>
            <w:noProof/>
          </w:rPr>
          <w:t>C.1.3</w:t>
        </w:r>
        <w:r>
          <w:rPr>
            <w:rFonts w:ascii="Calibri" w:hAnsi="Calibri"/>
            <w:iCs w:val="0"/>
            <w:noProof/>
            <w:sz w:val="22"/>
            <w:szCs w:val="22"/>
            <w:lang w:eastAsia="en-AU"/>
          </w:rPr>
          <w:tab/>
        </w:r>
        <w:r w:rsidRPr="000C48C4">
          <w:rPr>
            <w:rStyle w:val="Hyperlink"/>
            <w:noProof/>
          </w:rPr>
          <w:t>Applicability of unsatisfactory rates from the trials</w:t>
        </w:r>
        <w:r>
          <w:rPr>
            <w:noProof/>
            <w:webHidden/>
          </w:rPr>
          <w:tab/>
        </w:r>
        <w:r>
          <w:rPr>
            <w:noProof/>
            <w:webHidden/>
          </w:rPr>
          <w:fldChar w:fldCharType="begin"/>
        </w:r>
        <w:r>
          <w:rPr>
            <w:noProof/>
            <w:webHidden/>
          </w:rPr>
          <w:instrText xml:space="preserve"> PAGEREF _Toc337546906 \h </w:instrText>
        </w:r>
        <w:r>
          <w:rPr>
            <w:noProof/>
            <w:webHidden/>
          </w:rPr>
        </w:r>
        <w:r>
          <w:rPr>
            <w:noProof/>
            <w:webHidden/>
          </w:rPr>
          <w:fldChar w:fldCharType="separate"/>
        </w:r>
        <w:r w:rsidR="003361A8">
          <w:rPr>
            <w:noProof/>
            <w:webHidden/>
          </w:rPr>
          <w:t>156</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07" w:history="1">
        <w:r w:rsidRPr="000C48C4">
          <w:rPr>
            <w:rStyle w:val="Hyperlink"/>
            <w:noProof/>
          </w:rPr>
          <w:t>C.1.4</w:t>
        </w:r>
        <w:r>
          <w:rPr>
            <w:rFonts w:ascii="Calibri" w:hAnsi="Calibri"/>
            <w:iCs w:val="0"/>
            <w:noProof/>
            <w:sz w:val="22"/>
            <w:szCs w:val="22"/>
            <w:lang w:eastAsia="en-AU"/>
          </w:rPr>
          <w:tab/>
        </w:r>
        <w:r w:rsidRPr="000C48C4">
          <w:rPr>
            <w:rStyle w:val="Hyperlink"/>
            <w:noProof/>
          </w:rPr>
          <w:t>Applicability of test yield rates from the trials</w:t>
        </w:r>
        <w:r>
          <w:rPr>
            <w:noProof/>
            <w:webHidden/>
          </w:rPr>
          <w:tab/>
        </w:r>
        <w:r>
          <w:rPr>
            <w:noProof/>
            <w:webHidden/>
          </w:rPr>
          <w:fldChar w:fldCharType="begin"/>
        </w:r>
        <w:r>
          <w:rPr>
            <w:noProof/>
            <w:webHidden/>
          </w:rPr>
          <w:instrText xml:space="preserve"> PAGEREF _Toc337546907 \h </w:instrText>
        </w:r>
        <w:r>
          <w:rPr>
            <w:noProof/>
            <w:webHidden/>
          </w:rPr>
        </w:r>
        <w:r>
          <w:rPr>
            <w:noProof/>
            <w:webHidden/>
          </w:rPr>
          <w:fldChar w:fldCharType="separate"/>
        </w:r>
        <w:r w:rsidR="003361A8">
          <w:rPr>
            <w:noProof/>
            <w:webHidden/>
          </w:rPr>
          <w:t>161</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08" w:history="1">
        <w:r w:rsidRPr="000C48C4">
          <w:rPr>
            <w:rStyle w:val="Hyperlink"/>
            <w:noProof/>
          </w:rPr>
          <w:t>C.1.5</w:t>
        </w:r>
        <w:r>
          <w:rPr>
            <w:rFonts w:ascii="Calibri" w:hAnsi="Calibri"/>
            <w:iCs w:val="0"/>
            <w:noProof/>
            <w:sz w:val="22"/>
            <w:szCs w:val="22"/>
            <w:lang w:eastAsia="en-AU"/>
          </w:rPr>
          <w:tab/>
        </w:r>
        <w:r w:rsidRPr="000C48C4">
          <w:rPr>
            <w:rStyle w:val="Hyperlink"/>
            <w:noProof/>
          </w:rPr>
          <w:t>Applicability of higher sensitivity and lower specificity in LBC</w:t>
        </w:r>
        <w:r>
          <w:rPr>
            <w:noProof/>
            <w:webHidden/>
          </w:rPr>
          <w:tab/>
        </w:r>
        <w:r>
          <w:rPr>
            <w:noProof/>
            <w:webHidden/>
          </w:rPr>
          <w:fldChar w:fldCharType="begin"/>
        </w:r>
        <w:r>
          <w:rPr>
            <w:noProof/>
            <w:webHidden/>
          </w:rPr>
          <w:instrText xml:space="preserve"> PAGEREF _Toc337546908 \h </w:instrText>
        </w:r>
        <w:r>
          <w:rPr>
            <w:noProof/>
            <w:webHidden/>
          </w:rPr>
        </w:r>
        <w:r>
          <w:rPr>
            <w:noProof/>
            <w:webHidden/>
          </w:rPr>
          <w:fldChar w:fldCharType="separate"/>
        </w:r>
        <w:r w:rsidR="003361A8">
          <w:rPr>
            <w:noProof/>
            <w:webHidden/>
          </w:rPr>
          <w:t>163</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09" w:history="1">
        <w:r w:rsidRPr="000C48C4">
          <w:rPr>
            <w:rStyle w:val="Hyperlink"/>
            <w:noProof/>
          </w:rPr>
          <w:t>C.1.6</w:t>
        </w:r>
        <w:r>
          <w:rPr>
            <w:rFonts w:ascii="Calibri" w:hAnsi="Calibri"/>
            <w:iCs w:val="0"/>
            <w:noProof/>
            <w:sz w:val="22"/>
            <w:szCs w:val="22"/>
            <w:lang w:eastAsia="en-AU"/>
          </w:rPr>
          <w:tab/>
        </w:r>
        <w:r w:rsidRPr="000C48C4">
          <w:rPr>
            <w:rStyle w:val="Hyperlink"/>
            <w:noProof/>
          </w:rPr>
          <w:t>Circumstances of use – the learning curve</w:t>
        </w:r>
        <w:r>
          <w:rPr>
            <w:noProof/>
            <w:webHidden/>
          </w:rPr>
          <w:tab/>
        </w:r>
        <w:r>
          <w:rPr>
            <w:noProof/>
            <w:webHidden/>
          </w:rPr>
          <w:fldChar w:fldCharType="begin"/>
        </w:r>
        <w:r>
          <w:rPr>
            <w:noProof/>
            <w:webHidden/>
          </w:rPr>
          <w:instrText xml:space="preserve"> PAGEREF _Toc337546909 \h </w:instrText>
        </w:r>
        <w:r>
          <w:rPr>
            <w:noProof/>
            <w:webHidden/>
          </w:rPr>
        </w:r>
        <w:r>
          <w:rPr>
            <w:noProof/>
            <w:webHidden/>
          </w:rPr>
          <w:fldChar w:fldCharType="separate"/>
        </w:r>
        <w:r w:rsidR="003361A8">
          <w:rPr>
            <w:noProof/>
            <w:webHidden/>
          </w:rPr>
          <w:t>163</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10" w:history="1">
        <w:r w:rsidRPr="000C48C4">
          <w:rPr>
            <w:rStyle w:val="Hyperlink"/>
            <w:noProof/>
          </w:rPr>
          <w:t>C.1.7</w:t>
        </w:r>
        <w:r>
          <w:rPr>
            <w:rFonts w:ascii="Calibri" w:hAnsi="Calibri"/>
            <w:iCs w:val="0"/>
            <w:noProof/>
            <w:sz w:val="22"/>
            <w:szCs w:val="22"/>
            <w:lang w:eastAsia="en-AU"/>
          </w:rPr>
          <w:tab/>
        </w:r>
        <w:r w:rsidRPr="000C48C4">
          <w:rPr>
            <w:rStyle w:val="Hyperlink"/>
            <w:noProof/>
          </w:rPr>
          <w:t>Circumstances of use – Glandular abnormalities</w:t>
        </w:r>
        <w:r>
          <w:rPr>
            <w:noProof/>
            <w:webHidden/>
          </w:rPr>
          <w:tab/>
        </w:r>
        <w:r>
          <w:rPr>
            <w:noProof/>
            <w:webHidden/>
          </w:rPr>
          <w:fldChar w:fldCharType="begin"/>
        </w:r>
        <w:r>
          <w:rPr>
            <w:noProof/>
            <w:webHidden/>
          </w:rPr>
          <w:instrText xml:space="preserve"> PAGEREF _Toc337546910 \h </w:instrText>
        </w:r>
        <w:r>
          <w:rPr>
            <w:noProof/>
            <w:webHidden/>
          </w:rPr>
        </w:r>
        <w:r>
          <w:rPr>
            <w:noProof/>
            <w:webHidden/>
          </w:rPr>
          <w:fldChar w:fldCharType="separate"/>
        </w:r>
        <w:r w:rsidR="003361A8">
          <w:rPr>
            <w:noProof/>
            <w:webHidden/>
          </w:rPr>
          <w:t>164</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11" w:history="1">
        <w:r w:rsidRPr="000C48C4">
          <w:rPr>
            <w:rStyle w:val="Hyperlink"/>
            <w:noProof/>
          </w:rPr>
          <w:t>C.1.8</w:t>
        </w:r>
        <w:r>
          <w:rPr>
            <w:rFonts w:ascii="Calibri" w:hAnsi="Calibri"/>
            <w:iCs w:val="0"/>
            <w:noProof/>
            <w:sz w:val="22"/>
            <w:szCs w:val="22"/>
            <w:lang w:eastAsia="en-AU"/>
          </w:rPr>
          <w:tab/>
        </w:r>
        <w:r w:rsidRPr="000C48C4">
          <w:rPr>
            <w:rStyle w:val="Hyperlink"/>
            <w:noProof/>
          </w:rPr>
          <w:t>Extrapolation issues</w:t>
        </w:r>
        <w:r>
          <w:rPr>
            <w:noProof/>
            <w:webHidden/>
          </w:rPr>
          <w:tab/>
        </w:r>
        <w:r>
          <w:rPr>
            <w:noProof/>
            <w:webHidden/>
          </w:rPr>
          <w:fldChar w:fldCharType="begin"/>
        </w:r>
        <w:r>
          <w:rPr>
            <w:noProof/>
            <w:webHidden/>
          </w:rPr>
          <w:instrText xml:space="preserve"> PAGEREF _Toc337546911 \h </w:instrText>
        </w:r>
        <w:r>
          <w:rPr>
            <w:noProof/>
            <w:webHidden/>
          </w:rPr>
        </w:r>
        <w:r>
          <w:rPr>
            <w:noProof/>
            <w:webHidden/>
          </w:rPr>
          <w:fldChar w:fldCharType="separate"/>
        </w:r>
        <w:r w:rsidR="003361A8">
          <w:rPr>
            <w:noProof/>
            <w:webHidden/>
          </w:rPr>
          <w:t>166</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12" w:history="1">
        <w:r w:rsidRPr="000C48C4">
          <w:rPr>
            <w:rStyle w:val="Hyperlink"/>
            <w:noProof/>
          </w:rPr>
          <w:t>C.1.9</w:t>
        </w:r>
        <w:r>
          <w:rPr>
            <w:rFonts w:ascii="Calibri" w:hAnsi="Calibri"/>
            <w:iCs w:val="0"/>
            <w:noProof/>
            <w:sz w:val="22"/>
            <w:szCs w:val="22"/>
            <w:lang w:eastAsia="en-AU"/>
          </w:rPr>
          <w:tab/>
        </w:r>
        <w:r w:rsidRPr="000C48C4">
          <w:rPr>
            <w:rStyle w:val="Hyperlink"/>
            <w:noProof/>
          </w:rPr>
          <w:t>Transformation issues</w:t>
        </w:r>
        <w:r>
          <w:rPr>
            <w:noProof/>
            <w:webHidden/>
          </w:rPr>
          <w:tab/>
        </w:r>
        <w:r>
          <w:rPr>
            <w:noProof/>
            <w:webHidden/>
          </w:rPr>
          <w:fldChar w:fldCharType="begin"/>
        </w:r>
        <w:r>
          <w:rPr>
            <w:noProof/>
            <w:webHidden/>
          </w:rPr>
          <w:instrText xml:space="preserve"> PAGEREF _Toc337546912 \h </w:instrText>
        </w:r>
        <w:r>
          <w:rPr>
            <w:noProof/>
            <w:webHidden/>
          </w:rPr>
        </w:r>
        <w:r>
          <w:rPr>
            <w:noProof/>
            <w:webHidden/>
          </w:rPr>
          <w:fldChar w:fldCharType="separate"/>
        </w:r>
        <w:r w:rsidR="003361A8">
          <w:rPr>
            <w:noProof/>
            <w:webHidden/>
          </w:rPr>
          <w:t>166</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913" w:history="1">
        <w:r w:rsidRPr="000C48C4">
          <w:rPr>
            <w:rStyle w:val="Hyperlink"/>
            <w:noProof/>
          </w:rPr>
          <w:t>D.</w:t>
        </w:r>
        <w:r>
          <w:rPr>
            <w:rFonts w:ascii="Calibri" w:hAnsi="Calibri"/>
            <w:b w:val="0"/>
            <w:bCs w:val="0"/>
            <w:noProof/>
            <w:sz w:val="22"/>
            <w:szCs w:val="22"/>
            <w:lang w:eastAsia="en-AU"/>
          </w:rPr>
          <w:tab/>
        </w:r>
        <w:r w:rsidRPr="000C48C4">
          <w:rPr>
            <w:rStyle w:val="Hyperlink"/>
            <w:noProof/>
          </w:rPr>
          <w:t>Economic evaluation for the main indication</w:t>
        </w:r>
        <w:r>
          <w:rPr>
            <w:noProof/>
            <w:webHidden/>
          </w:rPr>
          <w:tab/>
        </w:r>
        <w:r>
          <w:rPr>
            <w:noProof/>
            <w:webHidden/>
          </w:rPr>
          <w:fldChar w:fldCharType="begin"/>
        </w:r>
        <w:r>
          <w:rPr>
            <w:noProof/>
            <w:webHidden/>
          </w:rPr>
          <w:instrText xml:space="preserve"> PAGEREF _Toc337546913 \h </w:instrText>
        </w:r>
        <w:r>
          <w:rPr>
            <w:noProof/>
            <w:webHidden/>
          </w:rPr>
        </w:r>
        <w:r>
          <w:rPr>
            <w:noProof/>
            <w:webHidden/>
          </w:rPr>
          <w:fldChar w:fldCharType="separate"/>
        </w:r>
        <w:r w:rsidR="003361A8">
          <w:rPr>
            <w:noProof/>
            <w:webHidden/>
          </w:rPr>
          <w:t>167</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14" w:history="1">
        <w:r w:rsidRPr="000C48C4">
          <w:rPr>
            <w:rStyle w:val="Hyperlink"/>
            <w:noProof/>
          </w:rPr>
          <w:t>D.1</w:t>
        </w:r>
        <w:r>
          <w:rPr>
            <w:rFonts w:ascii="Calibri" w:hAnsi="Calibri"/>
            <w:noProof/>
            <w:sz w:val="22"/>
            <w:szCs w:val="22"/>
            <w:lang w:eastAsia="en-AU"/>
          </w:rPr>
          <w:tab/>
        </w:r>
        <w:r w:rsidR="00D85DC1" w:rsidRPr="00D85DC1">
          <w:rPr>
            <w:rStyle w:val="Hyperlink"/>
            <w:noProof/>
          </w:rPr>
          <w:t>Requested MBS Fee</w:t>
        </w:r>
        <w:r w:rsidR="00D85DC1">
          <w:rPr>
            <w:rStyle w:val="Hyperlink"/>
            <w:i/>
            <w:noProof/>
          </w:rPr>
          <w:t xml:space="preserve">. </w:t>
        </w:r>
        <w:r w:rsidR="0096756B" w:rsidRPr="0096756B">
          <w:rPr>
            <w:rStyle w:val="Hyperlink"/>
            <w:i/>
            <w:noProof/>
          </w:rPr>
          <w:t>Commercial-in-confidence</w:t>
        </w:r>
        <w:r>
          <w:rPr>
            <w:noProof/>
            <w:webHidden/>
          </w:rPr>
          <w:tab/>
        </w:r>
        <w:r>
          <w:rPr>
            <w:noProof/>
            <w:webHidden/>
          </w:rPr>
          <w:fldChar w:fldCharType="begin"/>
        </w:r>
        <w:r>
          <w:rPr>
            <w:noProof/>
            <w:webHidden/>
          </w:rPr>
          <w:instrText xml:space="preserve"> PAGEREF _Toc337546914 \h </w:instrText>
        </w:r>
        <w:r>
          <w:rPr>
            <w:noProof/>
            <w:webHidden/>
          </w:rPr>
        </w:r>
        <w:r>
          <w:rPr>
            <w:noProof/>
            <w:webHidden/>
          </w:rPr>
          <w:fldChar w:fldCharType="separate"/>
        </w:r>
        <w:r w:rsidR="003361A8">
          <w:rPr>
            <w:noProof/>
            <w:webHidden/>
          </w:rPr>
          <w:t>168</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18" w:history="1">
        <w:r w:rsidRPr="000C48C4">
          <w:rPr>
            <w:rStyle w:val="Hyperlink"/>
            <w:noProof/>
          </w:rPr>
          <w:t>D.2</w:t>
        </w:r>
        <w:r>
          <w:rPr>
            <w:rFonts w:ascii="Calibri" w:hAnsi="Calibri"/>
            <w:noProof/>
            <w:sz w:val="22"/>
            <w:szCs w:val="22"/>
            <w:lang w:eastAsia="en-AU"/>
          </w:rPr>
          <w:tab/>
        </w:r>
        <w:r w:rsidRPr="000C48C4">
          <w:rPr>
            <w:rStyle w:val="Hyperlink"/>
            <w:noProof/>
          </w:rPr>
          <w:t>Cost minimisation analysis</w:t>
        </w:r>
        <w:r>
          <w:rPr>
            <w:noProof/>
            <w:webHidden/>
          </w:rPr>
          <w:tab/>
        </w:r>
        <w:r>
          <w:rPr>
            <w:noProof/>
            <w:webHidden/>
          </w:rPr>
          <w:fldChar w:fldCharType="begin"/>
        </w:r>
        <w:r>
          <w:rPr>
            <w:noProof/>
            <w:webHidden/>
          </w:rPr>
          <w:instrText xml:space="preserve"> PAGEREF _Toc337546918 \h </w:instrText>
        </w:r>
        <w:r>
          <w:rPr>
            <w:noProof/>
            <w:webHidden/>
          </w:rPr>
        </w:r>
        <w:r>
          <w:rPr>
            <w:noProof/>
            <w:webHidden/>
          </w:rPr>
          <w:fldChar w:fldCharType="separate"/>
        </w:r>
        <w:r w:rsidR="003361A8">
          <w:rPr>
            <w:noProof/>
            <w:webHidden/>
          </w:rPr>
          <w:t>180</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19" w:history="1">
        <w:r w:rsidRPr="000C48C4">
          <w:rPr>
            <w:rStyle w:val="Hyperlink"/>
            <w:noProof/>
          </w:rPr>
          <w:t>D.3</w:t>
        </w:r>
        <w:r>
          <w:rPr>
            <w:rFonts w:ascii="Calibri" w:hAnsi="Calibri"/>
            <w:noProof/>
            <w:sz w:val="22"/>
            <w:szCs w:val="22"/>
            <w:lang w:eastAsia="en-AU"/>
          </w:rPr>
          <w:tab/>
        </w:r>
        <w:r w:rsidRPr="000C48C4">
          <w:rPr>
            <w:rStyle w:val="Hyperlink"/>
            <w:noProof/>
          </w:rPr>
          <w:t>Cost-effectiveness analysis</w:t>
        </w:r>
        <w:r>
          <w:rPr>
            <w:noProof/>
            <w:webHidden/>
          </w:rPr>
          <w:tab/>
        </w:r>
        <w:r>
          <w:rPr>
            <w:noProof/>
            <w:webHidden/>
          </w:rPr>
          <w:fldChar w:fldCharType="begin"/>
        </w:r>
        <w:r>
          <w:rPr>
            <w:noProof/>
            <w:webHidden/>
          </w:rPr>
          <w:instrText xml:space="preserve"> PAGEREF _Toc337546919 \h </w:instrText>
        </w:r>
        <w:r>
          <w:rPr>
            <w:noProof/>
            <w:webHidden/>
          </w:rPr>
        </w:r>
        <w:r>
          <w:rPr>
            <w:noProof/>
            <w:webHidden/>
          </w:rPr>
          <w:fldChar w:fldCharType="separate"/>
        </w:r>
        <w:r w:rsidR="003361A8">
          <w:rPr>
            <w:noProof/>
            <w:webHidden/>
          </w:rPr>
          <w:t>184</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20" w:history="1">
        <w:r w:rsidRPr="000C48C4">
          <w:rPr>
            <w:rStyle w:val="Hyperlink"/>
            <w:noProof/>
          </w:rPr>
          <w:t>D.3.1</w:t>
        </w:r>
        <w:r>
          <w:rPr>
            <w:rFonts w:ascii="Calibri" w:hAnsi="Calibri"/>
            <w:iCs w:val="0"/>
            <w:noProof/>
            <w:sz w:val="22"/>
            <w:szCs w:val="22"/>
            <w:lang w:eastAsia="en-AU"/>
          </w:rPr>
          <w:tab/>
        </w:r>
        <w:r w:rsidRPr="000C48C4">
          <w:rPr>
            <w:rStyle w:val="Hyperlink"/>
            <w:noProof/>
          </w:rPr>
          <w:t>Cost-effectiveness using the 2009 model</w:t>
        </w:r>
        <w:r>
          <w:rPr>
            <w:noProof/>
            <w:webHidden/>
          </w:rPr>
          <w:tab/>
        </w:r>
        <w:r>
          <w:rPr>
            <w:noProof/>
            <w:webHidden/>
          </w:rPr>
          <w:fldChar w:fldCharType="begin"/>
        </w:r>
        <w:r>
          <w:rPr>
            <w:noProof/>
            <w:webHidden/>
          </w:rPr>
          <w:instrText xml:space="preserve"> PAGEREF _Toc337546920 \h </w:instrText>
        </w:r>
        <w:r>
          <w:rPr>
            <w:noProof/>
            <w:webHidden/>
          </w:rPr>
        </w:r>
        <w:r>
          <w:rPr>
            <w:noProof/>
            <w:webHidden/>
          </w:rPr>
          <w:fldChar w:fldCharType="separate"/>
        </w:r>
        <w:r w:rsidR="003361A8">
          <w:rPr>
            <w:noProof/>
            <w:webHidden/>
          </w:rPr>
          <w:t>184</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21" w:history="1">
        <w:r w:rsidRPr="000C48C4">
          <w:rPr>
            <w:rStyle w:val="Hyperlink"/>
            <w:noProof/>
          </w:rPr>
          <w:t>D.3.2</w:t>
        </w:r>
        <w:r>
          <w:rPr>
            <w:rFonts w:ascii="Calibri" w:hAnsi="Calibri"/>
            <w:iCs w:val="0"/>
            <w:noProof/>
            <w:sz w:val="22"/>
            <w:szCs w:val="22"/>
            <w:lang w:eastAsia="en-AU"/>
          </w:rPr>
          <w:tab/>
        </w:r>
        <w:r w:rsidRPr="000C48C4">
          <w:rPr>
            <w:rStyle w:val="Hyperlink"/>
            <w:noProof/>
          </w:rPr>
          <w:t>Cost-effectiveness model for this submission</w:t>
        </w:r>
        <w:r>
          <w:rPr>
            <w:noProof/>
            <w:webHidden/>
          </w:rPr>
          <w:tab/>
        </w:r>
        <w:r>
          <w:rPr>
            <w:noProof/>
            <w:webHidden/>
          </w:rPr>
          <w:fldChar w:fldCharType="begin"/>
        </w:r>
        <w:r>
          <w:rPr>
            <w:noProof/>
            <w:webHidden/>
          </w:rPr>
          <w:instrText xml:space="preserve"> PAGEREF _Toc337546921 \h </w:instrText>
        </w:r>
        <w:r>
          <w:rPr>
            <w:noProof/>
            <w:webHidden/>
          </w:rPr>
        </w:r>
        <w:r>
          <w:rPr>
            <w:noProof/>
            <w:webHidden/>
          </w:rPr>
          <w:fldChar w:fldCharType="separate"/>
        </w:r>
        <w:r w:rsidR="003361A8">
          <w:rPr>
            <w:noProof/>
            <w:webHidden/>
          </w:rPr>
          <w:t>188</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922" w:history="1">
        <w:r w:rsidRPr="000C48C4">
          <w:rPr>
            <w:rStyle w:val="Hyperlink"/>
            <w:noProof/>
          </w:rPr>
          <w:t>E.</w:t>
        </w:r>
        <w:r>
          <w:rPr>
            <w:rFonts w:ascii="Calibri" w:hAnsi="Calibri"/>
            <w:b w:val="0"/>
            <w:bCs w:val="0"/>
            <w:noProof/>
            <w:sz w:val="22"/>
            <w:szCs w:val="22"/>
            <w:lang w:eastAsia="en-AU"/>
          </w:rPr>
          <w:tab/>
        </w:r>
        <w:r w:rsidRPr="000C48C4">
          <w:rPr>
            <w:rStyle w:val="Hyperlink"/>
            <w:noProof/>
          </w:rPr>
          <w:t>Estimated extent of use and financial implications</w:t>
        </w:r>
        <w:r>
          <w:rPr>
            <w:noProof/>
            <w:webHidden/>
          </w:rPr>
          <w:tab/>
        </w:r>
        <w:r>
          <w:rPr>
            <w:noProof/>
            <w:webHidden/>
          </w:rPr>
          <w:fldChar w:fldCharType="begin"/>
        </w:r>
        <w:r>
          <w:rPr>
            <w:noProof/>
            <w:webHidden/>
          </w:rPr>
          <w:instrText xml:space="preserve"> PAGEREF _Toc337546922 \h </w:instrText>
        </w:r>
        <w:r>
          <w:rPr>
            <w:noProof/>
            <w:webHidden/>
          </w:rPr>
        </w:r>
        <w:r>
          <w:rPr>
            <w:noProof/>
            <w:webHidden/>
          </w:rPr>
          <w:fldChar w:fldCharType="separate"/>
        </w:r>
        <w:r w:rsidR="003361A8">
          <w:rPr>
            <w:noProof/>
            <w:webHidden/>
          </w:rPr>
          <w:t>194</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23" w:history="1">
        <w:r w:rsidRPr="000C48C4">
          <w:rPr>
            <w:rStyle w:val="Hyperlink"/>
            <w:noProof/>
          </w:rPr>
          <w:t>E.1</w:t>
        </w:r>
        <w:r>
          <w:rPr>
            <w:rFonts w:ascii="Calibri" w:hAnsi="Calibri"/>
            <w:noProof/>
            <w:sz w:val="22"/>
            <w:szCs w:val="22"/>
            <w:lang w:eastAsia="en-AU"/>
          </w:rPr>
          <w:tab/>
        </w:r>
        <w:r w:rsidRPr="000C48C4">
          <w:rPr>
            <w:rStyle w:val="Hyperlink"/>
            <w:noProof/>
          </w:rPr>
          <w:t>Justification of the selection of sources of data</w:t>
        </w:r>
        <w:r>
          <w:rPr>
            <w:noProof/>
            <w:webHidden/>
          </w:rPr>
          <w:tab/>
        </w:r>
        <w:r>
          <w:rPr>
            <w:noProof/>
            <w:webHidden/>
          </w:rPr>
          <w:fldChar w:fldCharType="begin"/>
        </w:r>
        <w:r>
          <w:rPr>
            <w:noProof/>
            <w:webHidden/>
          </w:rPr>
          <w:instrText xml:space="preserve"> PAGEREF _Toc337546923 \h </w:instrText>
        </w:r>
        <w:r>
          <w:rPr>
            <w:noProof/>
            <w:webHidden/>
          </w:rPr>
        </w:r>
        <w:r>
          <w:rPr>
            <w:noProof/>
            <w:webHidden/>
          </w:rPr>
          <w:fldChar w:fldCharType="separate"/>
        </w:r>
        <w:r w:rsidR="003361A8">
          <w:rPr>
            <w:noProof/>
            <w:webHidden/>
          </w:rPr>
          <w:t>195</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24" w:history="1">
        <w:r w:rsidRPr="000C48C4">
          <w:rPr>
            <w:rStyle w:val="Hyperlink"/>
            <w:noProof/>
          </w:rPr>
          <w:t>E.1.1</w:t>
        </w:r>
        <w:r>
          <w:rPr>
            <w:rFonts w:ascii="Calibri" w:hAnsi="Calibri"/>
            <w:iCs w:val="0"/>
            <w:noProof/>
            <w:sz w:val="22"/>
            <w:szCs w:val="22"/>
            <w:lang w:eastAsia="en-AU"/>
          </w:rPr>
          <w:tab/>
        </w:r>
        <w:r w:rsidRPr="000C48C4">
          <w:rPr>
            <w:rStyle w:val="Hyperlink"/>
            <w:noProof/>
          </w:rPr>
          <w:t>MBS statistics for conventional cytology</w:t>
        </w:r>
        <w:r>
          <w:rPr>
            <w:noProof/>
            <w:webHidden/>
          </w:rPr>
          <w:tab/>
        </w:r>
        <w:r>
          <w:rPr>
            <w:noProof/>
            <w:webHidden/>
          </w:rPr>
          <w:fldChar w:fldCharType="begin"/>
        </w:r>
        <w:r>
          <w:rPr>
            <w:noProof/>
            <w:webHidden/>
          </w:rPr>
          <w:instrText xml:space="preserve"> PAGEREF _Toc337546924 \h </w:instrText>
        </w:r>
        <w:r>
          <w:rPr>
            <w:noProof/>
            <w:webHidden/>
          </w:rPr>
        </w:r>
        <w:r>
          <w:rPr>
            <w:noProof/>
            <w:webHidden/>
          </w:rPr>
          <w:fldChar w:fldCharType="separate"/>
        </w:r>
        <w:r w:rsidR="003361A8">
          <w:rPr>
            <w:noProof/>
            <w:webHidden/>
          </w:rPr>
          <w:t>197</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25" w:history="1">
        <w:r w:rsidRPr="000C48C4">
          <w:rPr>
            <w:rStyle w:val="Hyperlink"/>
            <w:noProof/>
          </w:rPr>
          <w:t>E.1.2</w:t>
        </w:r>
        <w:r>
          <w:rPr>
            <w:rFonts w:ascii="Calibri" w:hAnsi="Calibri"/>
            <w:iCs w:val="0"/>
            <w:noProof/>
            <w:sz w:val="22"/>
            <w:szCs w:val="22"/>
            <w:lang w:eastAsia="en-AU"/>
          </w:rPr>
          <w:tab/>
        </w:r>
        <w:r w:rsidRPr="000C48C4">
          <w:rPr>
            <w:rStyle w:val="Hyperlink"/>
            <w:noProof/>
          </w:rPr>
          <w:t>Rate of unsatisfactory smear and pLSIL result</w:t>
        </w:r>
        <w:r>
          <w:rPr>
            <w:noProof/>
            <w:webHidden/>
          </w:rPr>
          <w:tab/>
        </w:r>
        <w:r>
          <w:rPr>
            <w:noProof/>
            <w:webHidden/>
          </w:rPr>
          <w:fldChar w:fldCharType="begin"/>
        </w:r>
        <w:r>
          <w:rPr>
            <w:noProof/>
            <w:webHidden/>
          </w:rPr>
          <w:instrText xml:space="preserve"> PAGEREF _Toc337546925 \h </w:instrText>
        </w:r>
        <w:r>
          <w:rPr>
            <w:noProof/>
            <w:webHidden/>
          </w:rPr>
        </w:r>
        <w:r>
          <w:rPr>
            <w:noProof/>
            <w:webHidden/>
          </w:rPr>
          <w:fldChar w:fldCharType="separate"/>
        </w:r>
        <w:r w:rsidR="003361A8">
          <w:rPr>
            <w:noProof/>
            <w:webHidden/>
          </w:rPr>
          <w:t>198</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26" w:history="1">
        <w:r w:rsidRPr="000C48C4">
          <w:rPr>
            <w:rStyle w:val="Hyperlink"/>
            <w:noProof/>
          </w:rPr>
          <w:t>E.2</w:t>
        </w:r>
        <w:r>
          <w:rPr>
            <w:rFonts w:ascii="Calibri" w:hAnsi="Calibri"/>
            <w:noProof/>
            <w:sz w:val="22"/>
            <w:szCs w:val="22"/>
            <w:lang w:eastAsia="en-AU"/>
          </w:rPr>
          <w:tab/>
        </w:r>
        <w:r w:rsidRPr="000C48C4">
          <w:rPr>
            <w:rStyle w:val="Hyperlink"/>
            <w:noProof/>
          </w:rPr>
          <w:t>Estimation of use and costs of the proposed listing</w:t>
        </w:r>
        <w:r>
          <w:rPr>
            <w:noProof/>
            <w:webHidden/>
          </w:rPr>
          <w:tab/>
        </w:r>
        <w:r>
          <w:rPr>
            <w:noProof/>
            <w:webHidden/>
          </w:rPr>
          <w:fldChar w:fldCharType="begin"/>
        </w:r>
        <w:r>
          <w:rPr>
            <w:noProof/>
            <w:webHidden/>
          </w:rPr>
          <w:instrText xml:space="preserve"> PAGEREF _Toc337546926 \h </w:instrText>
        </w:r>
        <w:r>
          <w:rPr>
            <w:noProof/>
            <w:webHidden/>
          </w:rPr>
        </w:r>
        <w:r>
          <w:rPr>
            <w:noProof/>
            <w:webHidden/>
          </w:rPr>
          <w:fldChar w:fldCharType="separate"/>
        </w:r>
        <w:r w:rsidR="003361A8">
          <w:rPr>
            <w:noProof/>
            <w:webHidden/>
          </w:rPr>
          <w:t>199</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27" w:history="1">
        <w:r w:rsidRPr="000C48C4">
          <w:rPr>
            <w:rStyle w:val="Hyperlink"/>
            <w:noProof/>
          </w:rPr>
          <w:t>E.2.1</w:t>
        </w:r>
        <w:r>
          <w:rPr>
            <w:rFonts w:ascii="Calibri" w:hAnsi="Calibri"/>
            <w:iCs w:val="0"/>
            <w:noProof/>
            <w:sz w:val="22"/>
            <w:szCs w:val="22"/>
            <w:lang w:eastAsia="en-AU"/>
          </w:rPr>
          <w:tab/>
        </w:r>
        <w:r w:rsidRPr="000C48C4">
          <w:rPr>
            <w:rStyle w:val="Hyperlink"/>
            <w:noProof/>
          </w:rPr>
          <w:t>Historical and projected use of conventional cytology</w:t>
        </w:r>
        <w:r>
          <w:rPr>
            <w:noProof/>
            <w:webHidden/>
          </w:rPr>
          <w:tab/>
        </w:r>
        <w:r>
          <w:rPr>
            <w:noProof/>
            <w:webHidden/>
          </w:rPr>
          <w:fldChar w:fldCharType="begin"/>
        </w:r>
        <w:r>
          <w:rPr>
            <w:noProof/>
            <w:webHidden/>
          </w:rPr>
          <w:instrText xml:space="preserve"> PAGEREF _Toc337546927 \h </w:instrText>
        </w:r>
        <w:r>
          <w:rPr>
            <w:noProof/>
            <w:webHidden/>
          </w:rPr>
        </w:r>
        <w:r>
          <w:rPr>
            <w:noProof/>
            <w:webHidden/>
          </w:rPr>
          <w:fldChar w:fldCharType="separate"/>
        </w:r>
        <w:r w:rsidR="003361A8">
          <w:rPr>
            <w:noProof/>
            <w:webHidden/>
          </w:rPr>
          <w:t>199</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28" w:history="1">
        <w:r w:rsidRPr="000C48C4">
          <w:rPr>
            <w:rStyle w:val="Hyperlink"/>
            <w:noProof/>
          </w:rPr>
          <w:t>E.2.2</w:t>
        </w:r>
        <w:r>
          <w:rPr>
            <w:rFonts w:ascii="Calibri" w:hAnsi="Calibri"/>
            <w:iCs w:val="0"/>
            <w:noProof/>
            <w:sz w:val="22"/>
            <w:szCs w:val="22"/>
            <w:lang w:eastAsia="en-AU"/>
          </w:rPr>
          <w:tab/>
        </w:r>
        <w:r w:rsidRPr="000C48C4">
          <w:rPr>
            <w:rStyle w:val="Hyperlink"/>
            <w:noProof/>
          </w:rPr>
          <w:t>Projected use of conventional cytology test by indication</w:t>
        </w:r>
        <w:r>
          <w:rPr>
            <w:noProof/>
            <w:webHidden/>
          </w:rPr>
          <w:tab/>
        </w:r>
        <w:r>
          <w:rPr>
            <w:noProof/>
            <w:webHidden/>
          </w:rPr>
          <w:fldChar w:fldCharType="begin"/>
        </w:r>
        <w:r>
          <w:rPr>
            <w:noProof/>
            <w:webHidden/>
          </w:rPr>
          <w:instrText xml:space="preserve"> PAGEREF _Toc337546928 \h </w:instrText>
        </w:r>
        <w:r>
          <w:rPr>
            <w:noProof/>
            <w:webHidden/>
          </w:rPr>
        </w:r>
        <w:r>
          <w:rPr>
            <w:noProof/>
            <w:webHidden/>
          </w:rPr>
          <w:fldChar w:fldCharType="separate"/>
        </w:r>
        <w:r w:rsidR="003361A8">
          <w:rPr>
            <w:noProof/>
            <w:webHidden/>
          </w:rPr>
          <w:t>200</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29" w:history="1">
        <w:r w:rsidRPr="000C48C4">
          <w:rPr>
            <w:rStyle w:val="Hyperlink"/>
            <w:noProof/>
          </w:rPr>
          <w:t>E.2.3</w:t>
        </w:r>
        <w:r>
          <w:rPr>
            <w:rFonts w:ascii="Calibri" w:hAnsi="Calibri"/>
            <w:iCs w:val="0"/>
            <w:noProof/>
            <w:sz w:val="22"/>
            <w:szCs w:val="22"/>
            <w:lang w:eastAsia="en-AU"/>
          </w:rPr>
          <w:tab/>
        </w:r>
        <w:r w:rsidRPr="000C48C4">
          <w:rPr>
            <w:rStyle w:val="Hyperlink"/>
            <w:noProof/>
          </w:rPr>
          <w:t>Estimated extent of cell enrichment LBC use on the MBS</w:t>
        </w:r>
        <w:r>
          <w:rPr>
            <w:noProof/>
            <w:webHidden/>
          </w:rPr>
          <w:tab/>
        </w:r>
        <w:r>
          <w:rPr>
            <w:noProof/>
            <w:webHidden/>
          </w:rPr>
          <w:fldChar w:fldCharType="begin"/>
        </w:r>
        <w:r>
          <w:rPr>
            <w:noProof/>
            <w:webHidden/>
          </w:rPr>
          <w:instrText xml:space="preserve"> PAGEREF _Toc337546929 \h </w:instrText>
        </w:r>
        <w:r>
          <w:rPr>
            <w:noProof/>
            <w:webHidden/>
          </w:rPr>
        </w:r>
        <w:r>
          <w:rPr>
            <w:noProof/>
            <w:webHidden/>
          </w:rPr>
          <w:fldChar w:fldCharType="separate"/>
        </w:r>
        <w:r w:rsidR="003361A8">
          <w:rPr>
            <w:noProof/>
            <w:webHidden/>
          </w:rPr>
          <w:t>202</w:t>
        </w:r>
        <w:r>
          <w:rPr>
            <w:noProof/>
            <w:webHidden/>
          </w:rPr>
          <w:fldChar w:fldCharType="end"/>
        </w:r>
      </w:hyperlink>
    </w:p>
    <w:p w:rsidR="00A3294E" w:rsidRDefault="00A3294E">
      <w:pPr>
        <w:pStyle w:val="TOC3"/>
        <w:tabs>
          <w:tab w:val="left" w:pos="1162"/>
          <w:tab w:val="right" w:leader="dot" w:pos="9017"/>
        </w:tabs>
        <w:rPr>
          <w:rFonts w:ascii="Calibri" w:hAnsi="Calibri"/>
          <w:iCs w:val="0"/>
          <w:noProof/>
          <w:sz w:val="22"/>
          <w:szCs w:val="22"/>
          <w:lang w:eastAsia="en-AU"/>
        </w:rPr>
      </w:pPr>
      <w:hyperlink w:anchor="_Toc337546930" w:history="1">
        <w:r w:rsidRPr="000C48C4">
          <w:rPr>
            <w:rStyle w:val="Hyperlink"/>
            <w:noProof/>
          </w:rPr>
          <w:t>E.2.4</w:t>
        </w:r>
        <w:r>
          <w:rPr>
            <w:rFonts w:ascii="Calibri" w:hAnsi="Calibri"/>
            <w:iCs w:val="0"/>
            <w:noProof/>
            <w:sz w:val="22"/>
            <w:szCs w:val="22"/>
            <w:lang w:eastAsia="en-AU"/>
          </w:rPr>
          <w:tab/>
        </w:r>
        <w:r w:rsidRPr="000C48C4">
          <w:rPr>
            <w:rStyle w:val="Hyperlink"/>
            <w:noProof/>
          </w:rPr>
          <w:t>Estimated costs of cell enrichment LBC on the MBS</w:t>
        </w:r>
        <w:r>
          <w:rPr>
            <w:noProof/>
            <w:webHidden/>
          </w:rPr>
          <w:tab/>
        </w:r>
        <w:r>
          <w:rPr>
            <w:noProof/>
            <w:webHidden/>
          </w:rPr>
          <w:fldChar w:fldCharType="begin"/>
        </w:r>
        <w:r>
          <w:rPr>
            <w:noProof/>
            <w:webHidden/>
          </w:rPr>
          <w:instrText xml:space="preserve"> PAGEREF _Toc337546930 \h </w:instrText>
        </w:r>
        <w:r>
          <w:rPr>
            <w:noProof/>
            <w:webHidden/>
          </w:rPr>
        </w:r>
        <w:r>
          <w:rPr>
            <w:noProof/>
            <w:webHidden/>
          </w:rPr>
          <w:fldChar w:fldCharType="separate"/>
        </w:r>
        <w:r w:rsidR="003361A8">
          <w:rPr>
            <w:noProof/>
            <w:webHidden/>
          </w:rPr>
          <w:t>205</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31" w:history="1">
        <w:r w:rsidRPr="000C48C4">
          <w:rPr>
            <w:rStyle w:val="Hyperlink"/>
            <w:noProof/>
          </w:rPr>
          <w:t>E.3</w:t>
        </w:r>
        <w:r>
          <w:rPr>
            <w:rFonts w:ascii="Calibri" w:hAnsi="Calibri"/>
            <w:noProof/>
            <w:sz w:val="22"/>
            <w:szCs w:val="22"/>
            <w:lang w:eastAsia="en-AU"/>
          </w:rPr>
          <w:tab/>
        </w:r>
        <w:r w:rsidRPr="000C48C4">
          <w:rPr>
            <w:rStyle w:val="Hyperlink"/>
            <w:noProof/>
          </w:rPr>
          <w:t>Estimation of changes in use and cost of conventional cytology</w:t>
        </w:r>
        <w:r>
          <w:rPr>
            <w:noProof/>
            <w:webHidden/>
          </w:rPr>
          <w:tab/>
        </w:r>
        <w:r>
          <w:rPr>
            <w:noProof/>
            <w:webHidden/>
          </w:rPr>
          <w:fldChar w:fldCharType="begin"/>
        </w:r>
        <w:r>
          <w:rPr>
            <w:noProof/>
            <w:webHidden/>
          </w:rPr>
          <w:instrText xml:space="preserve"> PAGEREF _Toc337546931 \h </w:instrText>
        </w:r>
        <w:r>
          <w:rPr>
            <w:noProof/>
            <w:webHidden/>
          </w:rPr>
        </w:r>
        <w:r>
          <w:rPr>
            <w:noProof/>
            <w:webHidden/>
          </w:rPr>
          <w:fldChar w:fldCharType="separate"/>
        </w:r>
        <w:r w:rsidR="003361A8">
          <w:rPr>
            <w:noProof/>
            <w:webHidden/>
          </w:rPr>
          <w:t>207</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32" w:history="1">
        <w:r w:rsidRPr="000C48C4">
          <w:rPr>
            <w:rStyle w:val="Hyperlink"/>
            <w:noProof/>
          </w:rPr>
          <w:t>E.4</w:t>
        </w:r>
        <w:r>
          <w:rPr>
            <w:rFonts w:ascii="Calibri" w:hAnsi="Calibri"/>
            <w:noProof/>
            <w:sz w:val="22"/>
            <w:szCs w:val="22"/>
            <w:lang w:eastAsia="en-AU"/>
          </w:rPr>
          <w:tab/>
        </w:r>
        <w:r w:rsidRPr="000C48C4">
          <w:rPr>
            <w:rStyle w:val="Hyperlink"/>
            <w:noProof/>
          </w:rPr>
          <w:t>Net financial implications to the MBS</w:t>
        </w:r>
        <w:r>
          <w:rPr>
            <w:noProof/>
            <w:webHidden/>
          </w:rPr>
          <w:tab/>
        </w:r>
        <w:r>
          <w:rPr>
            <w:noProof/>
            <w:webHidden/>
          </w:rPr>
          <w:fldChar w:fldCharType="begin"/>
        </w:r>
        <w:r>
          <w:rPr>
            <w:noProof/>
            <w:webHidden/>
          </w:rPr>
          <w:instrText xml:space="preserve"> PAGEREF _Toc337546932 \h </w:instrText>
        </w:r>
        <w:r>
          <w:rPr>
            <w:noProof/>
            <w:webHidden/>
          </w:rPr>
        </w:r>
        <w:r>
          <w:rPr>
            <w:noProof/>
            <w:webHidden/>
          </w:rPr>
          <w:fldChar w:fldCharType="separate"/>
        </w:r>
        <w:r w:rsidR="003361A8">
          <w:rPr>
            <w:noProof/>
            <w:webHidden/>
          </w:rPr>
          <w:t>208</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33" w:history="1">
        <w:r w:rsidRPr="000C48C4">
          <w:rPr>
            <w:rStyle w:val="Hyperlink"/>
            <w:noProof/>
          </w:rPr>
          <w:t>E.5</w:t>
        </w:r>
        <w:r>
          <w:rPr>
            <w:rFonts w:ascii="Calibri" w:hAnsi="Calibri"/>
            <w:noProof/>
            <w:sz w:val="22"/>
            <w:szCs w:val="22"/>
            <w:lang w:eastAsia="en-AU"/>
          </w:rPr>
          <w:tab/>
        </w:r>
        <w:r w:rsidRPr="000C48C4">
          <w:rPr>
            <w:rStyle w:val="Hyperlink"/>
            <w:noProof/>
          </w:rPr>
          <w:t>Estimated financial implications for government health budgets</w:t>
        </w:r>
        <w:r>
          <w:rPr>
            <w:noProof/>
            <w:webHidden/>
          </w:rPr>
          <w:tab/>
        </w:r>
        <w:r>
          <w:rPr>
            <w:noProof/>
            <w:webHidden/>
          </w:rPr>
          <w:fldChar w:fldCharType="begin"/>
        </w:r>
        <w:r>
          <w:rPr>
            <w:noProof/>
            <w:webHidden/>
          </w:rPr>
          <w:instrText xml:space="preserve"> PAGEREF _Toc337546933 \h </w:instrText>
        </w:r>
        <w:r>
          <w:rPr>
            <w:noProof/>
            <w:webHidden/>
          </w:rPr>
        </w:r>
        <w:r>
          <w:rPr>
            <w:noProof/>
            <w:webHidden/>
          </w:rPr>
          <w:fldChar w:fldCharType="separate"/>
        </w:r>
        <w:r w:rsidR="003361A8">
          <w:rPr>
            <w:noProof/>
            <w:webHidden/>
          </w:rPr>
          <w:t>211</w:t>
        </w:r>
        <w:r>
          <w:rPr>
            <w:noProof/>
            <w:webHidden/>
          </w:rPr>
          <w:fldChar w:fldCharType="end"/>
        </w:r>
      </w:hyperlink>
    </w:p>
    <w:p w:rsidR="00A3294E" w:rsidRDefault="00A3294E">
      <w:pPr>
        <w:pStyle w:val="TOC2"/>
        <w:tabs>
          <w:tab w:val="left" w:pos="720"/>
          <w:tab w:val="right" w:leader="dot" w:pos="9017"/>
        </w:tabs>
        <w:rPr>
          <w:rFonts w:ascii="Calibri" w:hAnsi="Calibri"/>
          <w:noProof/>
          <w:sz w:val="22"/>
          <w:szCs w:val="22"/>
          <w:lang w:eastAsia="en-AU"/>
        </w:rPr>
      </w:pPr>
      <w:hyperlink w:anchor="_Toc337546934" w:history="1">
        <w:r w:rsidRPr="000C48C4">
          <w:rPr>
            <w:rStyle w:val="Hyperlink"/>
            <w:noProof/>
          </w:rPr>
          <w:t>E.6</w:t>
        </w:r>
        <w:r>
          <w:rPr>
            <w:rFonts w:ascii="Calibri" w:hAnsi="Calibri"/>
            <w:noProof/>
            <w:sz w:val="22"/>
            <w:szCs w:val="22"/>
            <w:lang w:eastAsia="en-AU"/>
          </w:rPr>
          <w:tab/>
        </w:r>
        <w:r w:rsidRPr="000C48C4">
          <w:rPr>
            <w:rStyle w:val="Hyperlink"/>
            <w:noProof/>
          </w:rPr>
          <w:t>Identification, estimation and reduction of uncertainty</w:t>
        </w:r>
        <w:r>
          <w:rPr>
            <w:noProof/>
            <w:webHidden/>
          </w:rPr>
          <w:tab/>
        </w:r>
        <w:r>
          <w:rPr>
            <w:noProof/>
            <w:webHidden/>
          </w:rPr>
          <w:fldChar w:fldCharType="begin"/>
        </w:r>
        <w:r>
          <w:rPr>
            <w:noProof/>
            <w:webHidden/>
          </w:rPr>
          <w:instrText xml:space="preserve"> PAGEREF _Toc337546934 \h </w:instrText>
        </w:r>
        <w:r>
          <w:rPr>
            <w:noProof/>
            <w:webHidden/>
          </w:rPr>
        </w:r>
        <w:r>
          <w:rPr>
            <w:noProof/>
            <w:webHidden/>
          </w:rPr>
          <w:fldChar w:fldCharType="separate"/>
        </w:r>
        <w:r w:rsidR="003361A8">
          <w:rPr>
            <w:noProof/>
            <w:webHidden/>
          </w:rPr>
          <w:t>211</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935" w:history="1">
        <w:r w:rsidRPr="000C48C4">
          <w:rPr>
            <w:rStyle w:val="Hyperlink"/>
            <w:noProof/>
          </w:rPr>
          <w:t>List of References</w:t>
        </w:r>
        <w:r>
          <w:rPr>
            <w:noProof/>
            <w:webHidden/>
          </w:rPr>
          <w:tab/>
        </w:r>
        <w:r>
          <w:rPr>
            <w:noProof/>
            <w:webHidden/>
          </w:rPr>
          <w:fldChar w:fldCharType="begin"/>
        </w:r>
        <w:r>
          <w:rPr>
            <w:noProof/>
            <w:webHidden/>
          </w:rPr>
          <w:instrText xml:space="preserve"> PAGEREF _Toc337546935 \h </w:instrText>
        </w:r>
        <w:r>
          <w:rPr>
            <w:noProof/>
            <w:webHidden/>
          </w:rPr>
        </w:r>
        <w:r>
          <w:rPr>
            <w:noProof/>
            <w:webHidden/>
          </w:rPr>
          <w:fldChar w:fldCharType="separate"/>
        </w:r>
        <w:r w:rsidR="003361A8">
          <w:rPr>
            <w:noProof/>
            <w:webHidden/>
          </w:rPr>
          <w:t>215</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936" w:history="1">
        <w:r w:rsidRPr="000C48C4">
          <w:rPr>
            <w:rStyle w:val="Hyperlink"/>
            <w:noProof/>
          </w:rPr>
          <w:t>Appendix A</w:t>
        </w:r>
        <w:r>
          <w:rPr>
            <w:noProof/>
            <w:webHidden/>
          </w:rPr>
          <w:tab/>
        </w:r>
        <w:r>
          <w:rPr>
            <w:noProof/>
            <w:webHidden/>
          </w:rPr>
          <w:fldChar w:fldCharType="begin"/>
        </w:r>
        <w:r>
          <w:rPr>
            <w:noProof/>
            <w:webHidden/>
          </w:rPr>
          <w:instrText xml:space="preserve"> PAGEREF _Toc337546936 \h </w:instrText>
        </w:r>
        <w:r>
          <w:rPr>
            <w:noProof/>
            <w:webHidden/>
          </w:rPr>
        </w:r>
        <w:r>
          <w:rPr>
            <w:noProof/>
            <w:webHidden/>
          </w:rPr>
          <w:fldChar w:fldCharType="separate"/>
        </w:r>
        <w:r w:rsidR="003361A8">
          <w:rPr>
            <w:noProof/>
            <w:webHidden/>
          </w:rPr>
          <w:t>224</w:t>
        </w:r>
        <w:r>
          <w:rPr>
            <w:noProof/>
            <w:webHidden/>
          </w:rPr>
          <w:fldChar w:fldCharType="end"/>
        </w:r>
      </w:hyperlink>
    </w:p>
    <w:p w:rsidR="00A3294E" w:rsidRDefault="00A3294E">
      <w:pPr>
        <w:pStyle w:val="TOC1"/>
        <w:tabs>
          <w:tab w:val="right" w:leader="dot" w:pos="9017"/>
        </w:tabs>
        <w:rPr>
          <w:rFonts w:ascii="Calibri" w:hAnsi="Calibri"/>
          <w:b w:val="0"/>
          <w:bCs w:val="0"/>
          <w:noProof/>
          <w:sz w:val="22"/>
          <w:szCs w:val="22"/>
          <w:lang w:eastAsia="en-AU"/>
        </w:rPr>
      </w:pPr>
      <w:hyperlink w:anchor="_Toc337546937" w:history="1">
        <w:r w:rsidRPr="000C48C4">
          <w:rPr>
            <w:rStyle w:val="Hyperlink"/>
            <w:noProof/>
          </w:rPr>
          <w:t>Appendix B</w:t>
        </w:r>
        <w:r>
          <w:rPr>
            <w:noProof/>
            <w:webHidden/>
          </w:rPr>
          <w:tab/>
        </w:r>
        <w:r>
          <w:rPr>
            <w:noProof/>
            <w:webHidden/>
          </w:rPr>
          <w:fldChar w:fldCharType="begin"/>
        </w:r>
        <w:r>
          <w:rPr>
            <w:noProof/>
            <w:webHidden/>
          </w:rPr>
          <w:instrText xml:space="preserve"> PAGEREF _Toc337546937 \h </w:instrText>
        </w:r>
        <w:r>
          <w:rPr>
            <w:noProof/>
            <w:webHidden/>
          </w:rPr>
        </w:r>
        <w:r>
          <w:rPr>
            <w:noProof/>
            <w:webHidden/>
          </w:rPr>
          <w:fldChar w:fldCharType="separate"/>
        </w:r>
        <w:r w:rsidR="003361A8">
          <w:rPr>
            <w:noProof/>
            <w:webHidden/>
          </w:rPr>
          <w:t>225</w:t>
        </w:r>
        <w:r>
          <w:rPr>
            <w:noProof/>
            <w:webHidden/>
          </w:rPr>
          <w:fldChar w:fldCharType="end"/>
        </w:r>
      </w:hyperlink>
    </w:p>
    <w:p w:rsidR="00B65845" w:rsidRDefault="00086C77" w:rsidP="00606621">
      <w:pPr>
        <w:rPr>
          <w:sz w:val="20"/>
          <w:szCs w:val="20"/>
        </w:rPr>
      </w:pPr>
      <w:r>
        <w:rPr>
          <w:sz w:val="20"/>
          <w:szCs w:val="20"/>
        </w:rPr>
        <w:fldChar w:fldCharType="end"/>
      </w:r>
    </w:p>
    <w:p w:rsidR="009512FE" w:rsidRDefault="009512FE" w:rsidP="00606621">
      <w:pPr>
        <w:rPr>
          <w:sz w:val="20"/>
          <w:szCs w:val="20"/>
        </w:rPr>
      </w:pPr>
    </w:p>
    <w:p w:rsidR="009512FE" w:rsidRPr="00606621" w:rsidRDefault="009512FE" w:rsidP="00606621"/>
    <w:p w:rsidR="00FF05EE" w:rsidRDefault="00FF05EE">
      <w:pPr>
        <w:sectPr w:rsidR="00FF05EE" w:rsidSect="008846BA">
          <w:headerReference w:type="default" r:id="rId13"/>
          <w:pgSz w:w="11907" w:h="16839" w:code="9"/>
          <w:pgMar w:top="1440" w:right="1440" w:bottom="1440" w:left="1440" w:header="720" w:footer="720" w:gutter="0"/>
          <w:paperSrc w:first="7" w:other="7"/>
          <w:pgNumType w:fmt="lowerRoman" w:start="1"/>
          <w:cols w:space="720"/>
          <w:docGrid w:linePitch="299"/>
        </w:sectPr>
      </w:pPr>
    </w:p>
    <w:p w:rsidR="00FF05EE" w:rsidRDefault="00844317" w:rsidP="00881BD2">
      <w:pPr>
        <w:pStyle w:val="Heading1"/>
      </w:pPr>
      <w:bookmarkStart w:id="14" w:name="_Toc258501754"/>
      <w:bookmarkStart w:id="15" w:name="_Toc335667777"/>
      <w:bookmarkStart w:id="16" w:name="_Toc335735588"/>
      <w:bookmarkStart w:id="17" w:name="_Toc335982476"/>
      <w:bookmarkStart w:id="18" w:name="_Toc336018325"/>
      <w:bookmarkStart w:id="19" w:name="_Toc336189652"/>
      <w:bookmarkStart w:id="20" w:name="_Toc336190191"/>
      <w:bookmarkStart w:id="21" w:name="_Toc337546859"/>
      <w:r>
        <w:lastRenderedPageBreak/>
        <w:t xml:space="preserve">List of </w:t>
      </w:r>
      <w:r w:rsidR="00362526">
        <w:t>T</w:t>
      </w:r>
      <w:r w:rsidR="00FF05EE">
        <w:t>ables</w:t>
      </w:r>
      <w:bookmarkEnd w:id="14"/>
      <w:bookmarkEnd w:id="15"/>
      <w:bookmarkEnd w:id="16"/>
      <w:bookmarkEnd w:id="17"/>
      <w:bookmarkEnd w:id="18"/>
      <w:bookmarkEnd w:id="19"/>
      <w:bookmarkEnd w:id="20"/>
      <w:bookmarkEnd w:id="21"/>
    </w:p>
    <w:p w:rsidR="00A3294E" w:rsidRDefault="00086C77">
      <w:pPr>
        <w:pStyle w:val="TableofFigures"/>
        <w:rPr>
          <w:rFonts w:ascii="Calibri" w:hAnsi="Calibri"/>
          <w:sz w:val="22"/>
          <w:szCs w:val="22"/>
          <w:lang w:val="en-AU" w:eastAsia="en-AU"/>
        </w:rPr>
      </w:pPr>
      <w:r w:rsidRPr="005F6015">
        <w:rPr>
          <w:rFonts w:ascii="Arial Narrow" w:hAnsi="Arial Narrow"/>
          <w:szCs w:val="20"/>
        </w:rPr>
        <w:fldChar w:fldCharType="begin"/>
      </w:r>
      <w:r w:rsidR="00B21043" w:rsidRPr="005F6015">
        <w:rPr>
          <w:rFonts w:ascii="Arial Narrow" w:hAnsi="Arial Narrow"/>
          <w:szCs w:val="20"/>
        </w:rPr>
        <w:instrText xml:space="preserve"> TOC \h \z \c "Table" </w:instrText>
      </w:r>
      <w:r w:rsidRPr="005F6015">
        <w:rPr>
          <w:rFonts w:ascii="Arial Narrow" w:hAnsi="Arial Narrow"/>
          <w:szCs w:val="20"/>
        </w:rPr>
        <w:fldChar w:fldCharType="separate"/>
      </w:r>
      <w:hyperlink w:anchor="_Toc337546938" w:history="1">
        <w:r w:rsidR="00A3294E" w:rsidRPr="005769E8">
          <w:rPr>
            <w:rStyle w:val="Hyperlink"/>
          </w:rPr>
          <w:t>Table 1 Summary of RCT evidence and limitations</w:t>
        </w:r>
        <w:r w:rsidR="00A3294E">
          <w:rPr>
            <w:webHidden/>
          </w:rPr>
          <w:tab/>
        </w:r>
        <w:r w:rsidR="00A3294E">
          <w:rPr>
            <w:webHidden/>
          </w:rPr>
          <w:fldChar w:fldCharType="begin"/>
        </w:r>
        <w:r w:rsidR="00A3294E">
          <w:rPr>
            <w:webHidden/>
          </w:rPr>
          <w:instrText xml:space="preserve"> PAGEREF _Toc337546938 \h </w:instrText>
        </w:r>
        <w:r w:rsidR="00A3294E">
          <w:rPr>
            <w:webHidden/>
          </w:rPr>
        </w:r>
        <w:r w:rsidR="00A3294E">
          <w:rPr>
            <w:webHidden/>
          </w:rPr>
          <w:fldChar w:fldCharType="separate"/>
        </w:r>
        <w:r w:rsidR="003361A8">
          <w:rPr>
            <w:webHidden/>
          </w:rPr>
          <w:t>vii</w:t>
        </w:r>
        <w:r w:rsidR="00A3294E">
          <w:rPr>
            <w:webHidden/>
          </w:rPr>
          <w:fldChar w:fldCharType="end"/>
        </w:r>
      </w:hyperlink>
    </w:p>
    <w:p w:rsidR="00A3294E" w:rsidRDefault="00A3294E">
      <w:pPr>
        <w:pStyle w:val="TableofFigures"/>
        <w:rPr>
          <w:rFonts w:ascii="Calibri" w:hAnsi="Calibri"/>
          <w:sz w:val="22"/>
          <w:szCs w:val="22"/>
          <w:lang w:val="en-AU" w:eastAsia="en-AU"/>
        </w:rPr>
      </w:pPr>
      <w:hyperlink w:anchor="_Toc337546939" w:history="1">
        <w:r w:rsidRPr="005769E8">
          <w:rPr>
            <w:rStyle w:val="Hyperlink"/>
          </w:rPr>
          <w:t>Table 2 Summary of the evidence base supporting the therapeutic claims</w:t>
        </w:r>
        <w:r>
          <w:rPr>
            <w:webHidden/>
          </w:rPr>
          <w:tab/>
        </w:r>
        <w:r>
          <w:rPr>
            <w:webHidden/>
          </w:rPr>
          <w:fldChar w:fldCharType="begin"/>
        </w:r>
        <w:r>
          <w:rPr>
            <w:webHidden/>
          </w:rPr>
          <w:instrText xml:space="preserve"> PAGEREF _Toc337546939 \h </w:instrText>
        </w:r>
        <w:r>
          <w:rPr>
            <w:webHidden/>
          </w:rPr>
        </w:r>
        <w:r>
          <w:rPr>
            <w:webHidden/>
          </w:rPr>
          <w:fldChar w:fldCharType="separate"/>
        </w:r>
        <w:r w:rsidR="003361A8">
          <w:rPr>
            <w:webHidden/>
          </w:rPr>
          <w:t>x</w:t>
        </w:r>
        <w:r>
          <w:rPr>
            <w:webHidden/>
          </w:rPr>
          <w:fldChar w:fldCharType="end"/>
        </w:r>
      </w:hyperlink>
    </w:p>
    <w:p w:rsidR="00A3294E" w:rsidRDefault="00A3294E">
      <w:pPr>
        <w:pStyle w:val="TableofFigures"/>
        <w:rPr>
          <w:rFonts w:ascii="Calibri" w:hAnsi="Calibri"/>
          <w:sz w:val="22"/>
          <w:szCs w:val="22"/>
          <w:lang w:val="en-AU" w:eastAsia="en-AU"/>
        </w:rPr>
      </w:pPr>
      <w:hyperlink w:anchor="_Toc337546940" w:history="1">
        <w:r w:rsidRPr="005769E8">
          <w:rPr>
            <w:rStyle w:val="Hyperlink"/>
          </w:rPr>
          <w:t>Table 3</w:t>
        </w:r>
        <w:r>
          <w:rPr>
            <w:rFonts w:ascii="Calibri" w:hAnsi="Calibri"/>
            <w:sz w:val="22"/>
            <w:szCs w:val="22"/>
            <w:lang w:val="en-AU" w:eastAsia="en-AU"/>
          </w:rPr>
          <w:tab/>
        </w:r>
        <w:r w:rsidRPr="005769E8">
          <w:rPr>
            <w:rStyle w:val="Hyperlink"/>
          </w:rPr>
          <w:t>Comparison of the Australian Modified Bethesda System (2004) and the US Bethesda System (2001)</w:t>
        </w:r>
        <w:r>
          <w:rPr>
            <w:webHidden/>
          </w:rPr>
          <w:tab/>
        </w:r>
        <w:r>
          <w:rPr>
            <w:webHidden/>
          </w:rPr>
          <w:fldChar w:fldCharType="begin"/>
        </w:r>
        <w:r>
          <w:rPr>
            <w:webHidden/>
          </w:rPr>
          <w:instrText xml:space="preserve"> PAGEREF _Toc337546940 \h </w:instrText>
        </w:r>
        <w:r>
          <w:rPr>
            <w:webHidden/>
          </w:rPr>
        </w:r>
        <w:r>
          <w:rPr>
            <w:webHidden/>
          </w:rPr>
          <w:fldChar w:fldCharType="separate"/>
        </w:r>
        <w:r w:rsidR="003361A8">
          <w:rPr>
            <w:webHidden/>
          </w:rPr>
          <w:t>4</w:t>
        </w:r>
        <w:r>
          <w:rPr>
            <w:webHidden/>
          </w:rPr>
          <w:fldChar w:fldCharType="end"/>
        </w:r>
      </w:hyperlink>
    </w:p>
    <w:p w:rsidR="00A3294E" w:rsidRDefault="00A3294E">
      <w:pPr>
        <w:pStyle w:val="TableofFigures"/>
        <w:rPr>
          <w:rFonts w:ascii="Calibri" w:hAnsi="Calibri"/>
          <w:sz w:val="22"/>
          <w:szCs w:val="22"/>
          <w:lang w:val="en-AU" w:eastAsia="en-AU"/>
        </w:rPr>
      </w:pPr>
      <w:hyperlink w:anchor="_Toc337546941" w:history="1">
        <w:r w:rsidRPr="005769E8">
          <w:rPr>
            <w:rStyle w:val="Hyperlink"/>
          </w:rPr>
          <w:t>Table 4</w:t>
        </w:r>
        <w:r>
          <w:rPr>
            <w:rFonts w:ascii="Calibri" w:hAnsi="Calibri"/>
            <w:sz w:val="22"/>
            <w:szCs w:val="22"/>
            <w:lang w:val="en-AU" w:eastAsia="en-AU"/>
          </w:rPr>
          <w:tab/>
        </w:r>
        <w:r w:rsidRPr="005769E8">
          <w:rPr>
            <w:rStyle w:val="Hyperlink"/>
          </w:rPr>
          <w:t>Classification of histological abnormalities as grades of CIN</w:t>
        </w:r>
        <w:r>
          <w:rPr>
            <w:webHidden/>
          </w:rPr>
          <w:tab/>
        </w:r>
        <w:r>
          <w:rPr>
            <w:webHidden/>
          </w:rPr>
          <w:fldChar w:fldCharType="begin"/>
        </w:r>
        <w:r>
          <w:rPr>
            <w:webHidden/>
          </w:rPr>
          <w:instrText xml:space="preserve"> PAGEREF _Toc337546941 \h </w:instrText>
        </w:r>
        <w:r>
          <w:rPr>
            <w:webHidden/>
          </w:rPr>
        </w:r>
        <w:r>
          <w:rPr>
            <w:webHidden/>
          </w:rPr>
          <w:fldChar w:fldCharType="separate"/>
        </w:r>
        <w:r w:rsidR="003361A8">
          <w:rPr>
            <w:webHidden/>
          </w:rPr>
          <w:t>5</w:t>
        </w:r>
        <w:r>
          <w:rPr>
            <w:webHidden/>
          </w:rPr>
          <w:fldChar w:fldCharType="end"/>
        </w:r>
      </w:hyperlink>
    </w:p>
    <w:p w:rsidR="00A3294E" w:rsidRDefault="00A3294E">
      <w:pPr>
        <w:pStyle w:val="TableofFigures"/>
        <w:rPr>
          <w:rFonts w:ascii="Calibri" w:hAnsi="Calibri"/>
          <w:sz w:val="22"/>
          <w:szCs w:val="22"/>
          <w:lang w:val="en-AU" w:eastAsia="en-AU"/>
        </w:rPr>
      </w:pPr>
      <w:hyperlink w:anchor="_Toc337546942" w:history="1">
        <w:r w:rsidRPr="005769E8">
          <w:rPr>
            <w:rStyle w:val="Hyperlink"/>
          </w:rPr>
          <w:t>Table 5</w:t>
        </w:r>
        <w:r>
          <w:rPr>
            <w:rFonts w:ascii="Calibri" w:hAnsi="Calibri"/>
            <w:sz w:val="22"/>
            <w:szCs w:val="22"/>
            <w:lang w:val="en-AU" w:eastAsia="en-AU"/>
          </w:rPr>
          <w:tab/>
        </w:r>
        <w:r w:rsidRPr="005769E8">
          <w:rPr>
            <w:rStyle w:val="Hyperlink"/>
          </w:rPr>
          <w:t>Current MBS item descriptor for conventional Pap smears</w:t>
        </w:r>
        <w:r>
          <w:rPr>
            <w:webHidden/>
          </w:rPr>
          <w:tab/>
        </w:r>
        <w:r>
          <w:rPr>
            <w:webHidden/>
          </w:rPr>
          <w:fldChar w:fldCharType="begin"/>
        </w:r>
        <w:r>
          <w:rPr>
            <w:webHidden/>
          </w:rPr>
          <w:instrText xml:space="preserve"> PAGEREF _Toc337546942 \h </w:instrText>
        </w:r>
        <w:r>
          <w:rPr>
            <w:webHidden/>
          </w:rPr>
        </w:r>
        <w:r>
          <w:rPr>
            <w:webHidden/>
          </w:rPr>
          <w:fldChar w:fldCharType="separate"/>
        </w:r>
        <w:r w:rsidR="003361A8">
          <w:rPr>
            <w:webHidden/>
          </w:rPr>
          <w:t>6</w:t>
        </w:r>
        <w:r>
          <w:rPr>
            <w:webHidden/>
          </w:rPr>
          <w:fldChar w:fldCharType="end"/>
        </w:r>
      </w:hyperlink>
    </w:p>
    <w:p w:rsidR="00A3294E" w:rsidRDefault="00A3294E">
      <w:pPr>
        <w:pStyle w:val="TableofFigures"/>
        <w:rPr>
          <w:rFonts w:ascii="Calibri" w:hAnsi="Calibri"/>
          <w:sz w:val="22"/>
          <w:szCs w:val="22"/>
          <w:lang w:val="en-AU" w:eastAsia="en-AU"/>
        </w:rPr>
      </w:pPr>
      <w:hyperlink w:anchor="_Toc337546943" w:history="1">
        <w:r w:rsidRPr="005769E8">
          <w:rPr>
            <w:rStyle w:val="Hyperlink"/>
          </w:rPr>
          <w:t>Table 6</w:t>
        </w:r>
        <w:r>
          <w:rPr>
            <w:rFonts w:ascii="Calibri" w:hAnsi="Calibri"/>
            <w:sz w:val="22"/>
            <w:szCs w:val="22"/>
            <w:lang w:val="en-AU" w:eastAsia="en-AU"/>
          </w:rPr>
          <w:tab/>
        </w:r>
        <w:r w:rsidRPr="005769E8">
          <w:rPr>
            <w:rStyle w:val="Hyperlink"/>
          </w:rPr>
          <w:t>Summary of research questions that the assessment will investigate</w:t>
        </w:r>
        <w:r>
          <w:rPr>
            <w:webHidden/>
          </w:rPr>
          <w:tab/>
        </w:r>
        <w:r>
          <w:rPr>
            <w:webHidden/>
          </w:rPr>
          <w:fldChar w:fldCharType="begin"/>
        </w:r>
        <w:r>
          <w:rPr>
            <w:webHidden/>
          </w:rPr>
          <w:instrText xml:space="preserve"> PAGEREF _Toc337546943 \h </w:instrText>
        </w:r>
        <w:r>
          <w:rPr>
            <w:webHidden/>
          </w:rPr>
        </w:r>
        <w:r>
          <w:rPr>
            <w:webHidden/>
          </w:rPr>
          <w:fldChar w:fldCharType="separate"/>
        </w:r>
        <w:r w:rsidR="003361A8">
          <w:rPr>
            <w:webHidden/>
          </w:rPr>
          <w:t>15</w:t>
        </w:r>
        <w:r>
          <w:rPr>
            <w:webHidden/>
          </w:rPr>
          <w:fldChar w:fldCharType="end"/>
        </w:r>
      </w:hyperlink>
    </w:p>
    <w:p w:rsidR="00A3294E" w:rsidRDefault="00A3294E">
      <w:pPr>
        <w:pStyle w:val="TableofFigures"/>
        <w:rPr>
          <w:rFonts w:ascii="Calibri" w:hAnsi="Calibri"/>
          <w:sz w:val="22"/>
          <w:szCs w:val="22"/>
          <w:lang w:val="en-AU" w:eastAsia="en-AU"/>
        </w:rPr>
      </w:pPr>
      <w:hyperlink w:anchor="_Toc337546944" w:history="1">
        <w:r w:rsidRPr="005769E8">
          <w:rPr>
            <w:rStyle w:val="Hyperlink"/>
          </w:rPr>
          <w:t>Table 7</w:t>
        </w:r>
        <w:r>
          <w:rPr>
            <w:rFonts w:ascii="Calibri" w:hAnsi="Calibri"/>
            <w:sz w:val="22"/>
            <w:szCs w:val="22"/>
            <w:lang w:val="en-AU" w:eastAsia="en-AU"/>
          </w:rPr>
          <w:tab/>
        </w:r>
        <w:r w:rsidRPr="005769E8">
          <w:rPr>
            <w:rStyle w:val="Hyperlink"/>
          </w:rPr>
          <w:t>Technical and general cytological differences between LBC (cell enrichment and filtration) and conventional cytology</w:t>
        </w:r>
        <w:r>
          <w:rPr>
            <w:webHidden/>
          </w:rPr>
          <w:tab/>
        </w:r>
        <w:r>
          <w:rPr>
            <w:webHidden/>
          </w:rPr>
          <w:fldChar w:fldCharType="begin"/>
        </w:r>
        <w:r>
          <w:rPr>
            <w:webHidden/>
          </w:rPr>
          <w:instrText xml:space="preserve"> PAGEREF _Toc337546944 \h </w:instrText>
        </w:r>
        <w:r>
          <w:rPr>
            <w:webHidden/>
          </w:rPr>
        </w:r>
        <w:r>
          <w:rPr>
            <w:webHidden/>
          </w:rPr>
          <w:fldChar w:fldCharType="separate"/>
        </w:r>
        <w:r w:rsidR="003361A8">
          <w:rPr>
            <w:webHidden/>
          </w:rPr>
          <w:t>18</w:t>
        </w:r>
        <w:r>
          <w:rPr>
            <w:webHidden/>
          </w:rPr>
          <w:fldChar w:fldCharType="end"/>
        </w:r>
      </w:hyperlink>
    </w:p>
    <w:p w:rsidR="00A3294E" w:rsidRDefault="00A3294E">
      <w:pPr>
        <w:pStyle w:val="TableofFigures"/>
        <w:rPr>
          <w:rFonts w:ascii="Calibri" w:hAnsi="Calibri"/>
          <w:sz w:val="22"/>
          <w:szCs w:val="22"/>
          <w:lang w:val="en-AU" w:eastAsia="en-AU"/>
        </w:rPr>
      </w:pPr>
      <w:hyperlink w:anchor="_Toc337546945" w:history="1">
        <w:r w:rsidRPr="005769E8">
          <w:rPr>
            <w:rStyle w:val="Hyperlink"/>
          </w:rPr>
          <w:t>Table 8</w:t>
        </w:r>
        <w:r>
          <w:rPr>
            <w:rFonts w:ascii="Calibri" w:hAnsi="Calibri"/>
            <w:sz w:val="22"/>
            <w:szCs w:val="22"/>
            <w:lang w:val="en-AU" w:eastAsia="en-AU"/>
          </w:rPr>
          <w:tab/>
        </w:r>
        <w:r w:rsidRPr="005769E8">
          <w:rPr>
            <w:rStyle w:val="Hyperlink"/>
          </w:rPr>
          <w:t>Summary of identification of randomised trials of LBC from the search of the published literature</w:t>
        </w:r>
        <w:r>
          <w:rPr>
            <w:webHidden/>
          </w:rPr>
          <w:tab/>
        </w:r>
        <w:r>
          <w:rPr>
            <w:webHidden/>
          </w:rPr>
          <w:fldChar w:fldCharType="begin"/>
        </w:r>
        <w:r>
          <w:rPr>
            <w:webHidden/>
          </w:rPr>
          <w:instrText xml:space="preserve"> PAGEREF _Toc337546945 \h </w:instrText>
        </w:r>
        <w:r>
          <w:rPr>
            <w:webHidden/>
          </w:rPr>
        </w:r>
        <w:r>
          <w:rPr>
            <w:webHidden/>
          </w:rPr>
          <w:fldChar w:fldCharType="separate"/>
        </w:r>
        <w:r w:rsidR="003361A8">
          <w:rPr>
            <w:webHidden/>
          </w:rPr>
          <w:t>24</w:t>
        </w:r>
        <w:r>
          <w:rPr>
            <w:webHidden/>
          </w:rPr>
          <w:fldChar w:fldCharType="end"/>
        </w:r>
      </w:hyperlink>
    </w:p>
    <w:p w:rsidR="00A3294E" w:rsidRDefault="00A3294E">
      <w:pPr>
        <w:pStyle w:val="TableofFigures"/>
        <w:rPr>
          <w:rFonts w:ascii="Calibri" w:hAnsi="Calibri"/>
          <w:sz w:val="22"/>
          <w:szCs w:val="22"/>
          <w:lang w:val="en-AU" w:eastAsia="en-AU"/>
        </w:rPr>
      </w:pPr>
      <w:hyperlink w:anchor="_Toc337546946" w:history="1">
        <w:r w:rsidRPr="005769E8">
          <w:rPr>
            <w:rStyle w:val="Hyperlink"/>
          </w:rPr>
          <w:t>Table 9</w:t>
        </w:r>
        <w:r>
          <w:rPr>
            <w:rFonts w:ascii="Calibri" w:hAnsi="Calibri"/>
            <w:sz w:val="22"/>
            <w:szCs w:val="22"/>
            <w:lang w:val="en-AU" w:eastAsia="en-AU"/>
          </w:rPr>
          <w:tab/>
        </w:r>
        <w:r w:rsidRPr="005769E8">
          <w:rPr>
            <w:rStyle w:val="Hyperlink"/>
          </w:rPr>
          <w:t>RCTs (and associated reports) of cervical cancer screening methodologies</w:t>
        </w:r>
        <w:r>
          <w:rPr>
            <w:webHidden/>
          </w:rPr>
          <w:tab/>
        </w:r>
        <w:r>
          <w:rPr>
            <w:webHidden/>
          </w:rPr>
          <w:fldChar w:fldCharType="begin"/>
        </w:r>
        <w:r>
          <w:rPr>
            <w:webHidden/>
          </w:rPr>
          <w:instrText xml:space="preserve"> PAGEREF _Toc337546946 \h </w:instrText>
        </w:r>
        <w:r>
          <w:rPr>
            <w:webHidden/>
          </w:rPr>
        </w:r>
        <w:r>
          <w:rPr>
            <w:webHidden/>
          </w:rPr>
          <w:fldChar w:fldCharType="separate"/>
        </w:r>
        <w:r w:rsidR="003361A8">
          <w:rPr>
            <w:webHidden/>
          </w:rPr>
          <w:t>26</w:t>
        </w:r>
        <w:r>
          <w:rPr>
            <w:webHidden/>
          </w:rPr>
          <w:fldChar w:fldCharType="end"/>
        </w:r>
      </w:hyperlink>
    </w:p>
    <w:p w:rsidR="00A3294E" w:rsidRDefault="00A3294E">
      <w:pPr>
        <w:pStyle w:val="TableofFigures"/>
        <w:rPr>
          <w:rFonts w:ascii="Calibri" w:hAnsi="Calibri"/>
          <w:sz w:val="22"/>
          <w:szCs w:val="22"/>
          <w:lang w:val="en-AU" w:eastAsia="en-AU"/>
        </w:rPr>
      </w:pPr>
      <w:hyperlink w:anchor="_Toc337546947" w:history="1">
        <w:r w:rsidRPr="005769E8">
          <w:rPr>
            <w:rStyle w:val="Hyperlink"/>
          </w:rPr>
          <w:t>Table 10</w:t>
        </w:r>
        <w:r>
          <w:rPr>
            <w:rFonts w:ascii="Calibri" w:hAnsi="Calibri"/>
            <w:sz w:val="22"/>
            <w:szCs w:val="22"/>
            <w:lang w:val="en-AU" w:eastAsia="en-AU"/>
          </w:rPr>
          <w:tab/>
        </w:r>
        <w:r w:rsidRPr="005769E8">
          <w:rPr>
            <w:rStyle w:val="Hyperlink"/>
          </w:rPr>
          <w:t>Meta-analyses and systematic reviews of cervical cancer screening methodologies</w:t>
        </w:r>
        <w:r>
          <w:rPr>
            <w:webHidden/>
          </w:rPr>
          <w:tab/>
        </w:r>
        <w:r>
          <w:rPr>
            <w:webHidden/>
          </w:rPr>
          <w:fldChar w:fldCharType="begin"/>
        </w:r>
        <w:r>
          <w:rPr>
            <w:webHidden/>
          </w:rPr>
          <w:instrText xml:space="preserve"> PAGEREF _Toc337546947 \h </w:instrText>
        </w:r>
        <w:r>
          <w:rPr>
            <w:webHidden/>
          </w:rPr>
        </w:r>
        <w:r>
          <w:rPr>
            <w:webHidden/>
          </w:rPr>
          <w:fldChar w:fldCharType="separate"/>
        </w:r>
        <w:r w:rsidR="003361A8">
          <w:rPr>
            <w:webHidden/>
          </w:rPr>
          <w:t>28</w:t>
        </w:r>
        <w:r>
          <w:rPr>
            <w:webHidden/>
          </w:rPr>
          <w:fldChar w:fldCharType="end"/>
        </w:r>
      </w:hyperlink>
    </w:p>
    <w:p w:rsidR="00A3294E" w:rsidRDefault="00A3294E">
      <w:pPr>
        <w:pStyle w:val="TableofFigures"/>
        <w:rPr>
          <w:rFonts w:ascii="Calibri" w:hAnsi="Calibri"/>
          <w:sz w:val="22"/>
          <w:szCs w:val="22"/>
          <w:lang w:val="en-AU" w:eastAsia="en-AU"/>
        </w:rPr>
      </w:pPr>
      <w:hyperlink w:anchor="_Toc337546948" w:history="1">
        <w:r w:rsidRPr="005769E8">
          <w:rPr>
            <w:rStyle w:val="Hyperlink"/>
          </w:rPr>
          <w:t>Table 11</w:t>
        </w:r>
        <w:r>
          <w:rPr>
            <w:rFonts w:ascii="Calibri" w:hAnsi="Calibri"/>
            <w:sz w:val="22"/>
            <w:szCs w:val="22"/>
            <w:lang w:val="en-AU" w:eastAsia="en-AU"/>
          </w:rPr>
          <w:tab/>
        </w:r>
        <w:r w:rsidRPr="005769E8">
          <w:rPr>
            <w:rStyle w:val="Hyperlink"/>
          </w:rPr>
          <w:t>Comparative summary of characteristics of the included direct randomised trials</w:t>
        </w:r>
        <w:r>
          <w:rPr>
            <w:webHidden/>
          </w:rPr>
          <w:tab/>
        </w:r>
        <w:r>
          <w:rPr>
            <w:webHidden/>
          </w:rPr>
          <w:fldChar w:fldCharType="begin"/>
        </w:r>
        <w:r>
          <w:rPr>
            <w:webHidden/>
          </w:rPr>
          <w:instrText xml:space="preserve"> PAGEREF _Toc337546948 \h </w:instrText>
        </w:r>
        <w:r>
          <w:rPr>
            <w:webHidden/>
          </w:rPr>
        </w:r>
        <w:r>
          <w:rPr>
            <w:webHidden/>
          </w:rPr>
          <w:fldChar w:fldCharType="separate"/>
        </w:r>
        <w:r w:rsidR="003361A8">
          <w:rPr>
            <w:webHidden/>
          </w:rPr>
          <w:t>32</w:t>
        </w:r>
        <w:r>
          <w:rPr>
            <w:webHidden/>
          </w:rPr>
          <w:fldChar w:fldCharType="end"/>
        </w:r>
      </w:hyperlink>
    </w:p>
    <w:p w:rsidR="00A3294E" w:rsidRDefault="00A3294E">
      <w:pPr>
        <w:pStyle w:val="TableofFigures"/>
        <w:rPr>
          <w:rFonts w:ascii="Calibri" w:hAnsi="Calibri"/>
          <w:sz w:val="22"/>
          <w:szCs w:val="22"/>
          <w:lang w:val="en-AU" w:eastAsia="en-AU"/>
        </w:rPr>
      </w:pPr>
      <w:hyperlink w:anchor="_Toc337546949" w:history="1">
        <w:r w:rsidRPr="005769E8">
          <w:rPr>
            <w:rStyle w:val="Hyperlink"/>
          </w:rPr>
          <w:t>Table 12</w:t>
        </w:r>
        <w:r>
          <w:rPr>
            <w:rFonts w:ascii="Calibri" w:hAnsi="Calibri"/>
            <w:sz w:val="22"/>
            <w:szCs w:val="22"/>
            <w:lang w:val="en-AU" w:eastAsia="en-AU"/>
          </w:rPr>
          <w:tab/>
        </w:r>
        <w:r w:rsidRPr="005769E8">
          <w:rPr>
            <w:rStyle w:val="Hyperlink"/>
          </w:rPr>
          <w:t>Summary of the measures undertaken to minimise bias</w:t>
        </w:r>
        <w:r>
          <w:rPr>
            <w:webHidden/>
          </w:rPr>
          <w:tab/>
        </w:r>
        <w:r>
          <w:rPr>
            <w:webHidden/>
          </w:rPr>
          <w:fldChar w:fldCharType="begin"/>
        </w:r>
        <w:r>
          <w:rPr>
            <w:webHidden/>
          </w:rPr>
          <w:instrText xml:space="preserve"> PAGEREF _Toc337546949 \h </w:instrText>
        </w:r>
        <w:r>
          <w:rPr>
            <w:webHidden/>
          </w:rPr>
        </w:r>
        <w:r>
          <w:rPr>
            <w:webHidden/>
          </w:rPr>
          <w:fldChar w:fldCharType="separate"/>
        </w:r>
        <w:r w:rsidR="003361A8">
          <w:rPr>
            <w:webHidden/>
          </w:rPr>
          <w:t>39</w:t>
        </w:r>
        <w:r>
          <w:rPr>
            <w:webHidden/>
          </w:rPr>
          <w:fldChar w:fldCharType="end"/>
        </w:r>
      </w:hyperlink>
    </w:p>
    <w:p w:rsidR="00A3294E" w:rsidRDefault="00A3294E">
      <w:pPr>
        <w:pStyle w:val="TableofFigures"/>
        <w:rPr>
          <w:rFonts w:ascii="Calibri" w:hAnsi="Calibri"/>
          <w:sz w:val="22"/>
          <w:szCs w:val="22"/>
          <w:lang w:val="en-AU" w:eastAsia="en-AU"/>
        </w:rPr>
      </w:pPr>
      <w:hyperlink w:anchor="_Toc337546950" w:history="1">
        <w:r w:rsidRPr="005769E8">
          <w:rPr>
            <w:rStyle w:val="Hyperlink"/>
          </w:rPr>
          <w:t>Table 13</w:t>
        </w:r>
        <w:r>
          <w:rPr>
            <w:rFonts w:ascii="Calibri" w:hAnsi="Calibri"/>
            <w:sz w:val="22"/>
            <w:szCs w:val="22"/>
            <w:lang w:val="en-AU" w:eastAsia="en-AU"/>
          </w:rPr>
          <w:tab/>
        </w:r>
        <w:r w:rsidRPr="005769E8">
          <w:rPr>
            <w:rStyle w:val="Hyperlink"/>
          </w:rPr>
          <w:t>Reference standards applied to the included trials</w:t>
        </w:r>
        <w:r>
          <w:rPr>
            <w:webHidden/>
          </w:rPr>
          <w:tab/>
        </w:r>
        <w:r>
          <w:rPr>
            <w:webHidden/>
          </w:rPr>
          <w:fldChar w:fldCharType="begin"/>
        </w:r>
        <w:r>
          <w:rPr>
            <w:webHidden/>
          </w:rPr>
          <w:instrText xml:space="preserve"> PAGEREF _Toc337546950 \h </w:instrText>
        </w:r>
        <w:r>
          <w:rPr>
            <w:webHidden/>
          </w:rPr>
        </w:r>
        <w:r>
          <w:rPr>
            <w:webHidden/>
          </w:rPr>
          <w:fldChar w:fldCharType="separate"/>
        </w:r>
        <w:r w:rsidR="003361A8">
          <w:rPr>
            <w:webHidden/>
          </w:rPr>
          <w:t>43</w:t>
        </w:r>
        <w:r>
          <w:rPr>
            <w:webHidden/>
          </w:rPr>
          <w:fldChar w:fldCharType="end"/>
        </w:r>
      </w:hyperlink>
    </w:p>
    <w:p w:rsidR="00A3294E" w:rsidRDefault="00A3294E">
      <w:pPr>
        <w:pStyle w:val="TableofFigures"/>
        <w:rPr>
          <w:rFonts w:ascii="Calibri" w:hAnsi="Calibri"/>
          <w:sz w:val="22"/>
          <w:szCs w:val="22"/>
          <w:lang w:val="en-AU" w:eastAsia="en-AU"/>
        </w:rPr>
      </w:pPr>
      <w:hyperlink w:anchor="_Toc337546951" w:history="1">
        <w:r w:rsidRPr="005769E8">
          <w:rPr>
            <w:rStyle w:val="Hyperlink"/>
          </w:rPr>
          <w:t>Table 14</w:t>
        </w:r>
        <w:r>
          <w:rPr>
            <w:rFonts w:ascii="Calibri" w:hAnsi="Calibri"/>
            <w:sz w:val="22"/>
            <w:szCs w:val="22"/>
            <w:lang w:val="en-AU" w:eastAsia="en-AU"/>
          </w:rPr>
          <w:tab/>
        </w:r>
        <w:r w:rsidRPr="005769E8">
          <w:rPr>
            <w:rStyle w:val="Hyperlink"/>
          </w:rPr>
          <w:t>Flow of participants in the direct randomised trials</w:t>
        </w:r>
        <w:r>
          <w:rPr>
            <w:webHidden/>
          </w:rPr>
          <w:tab/>
        </w:r>
        <w:r>
          <w:rPr>
            <w:webHidden/>
          </w:rPr>
          <w:fldChar w:fldCharType="begin"/>
        </w:r>
        <w:r>
          <w:rPr>
            <w:webHidden/>
          </w:rPr>
          <w:instrText xml:space="preserve"> PAGEREF _Toc337546951 \h </w:instrText>
        </w:r>
        <w:r>
          <w:rPr>
            <w:webHidden/>
          </w:rPr>
        </w:r>
        <w:r>
          <w:rPr>
            <w:webHidden/>
          </w:rPr>
          <w:fldChar w:fldCharType="separate"/>
        </w:r>
        <w:r w:rsidR="003361A8">
          <w:rPr>
            <w:webHidden/>
          </w:rPr>
          <w:t>47</w:t>
        </w:r>
        <w:r>
          <w:rPr>
            <w:webHidden/>
          </w:rPr>
          <w:fldChar w:fldCharType="end"/>
        </w:r>
      </w:hyperlink>
    </w:p>
    <w:p w:rsidR="00A3294E" w:rsidRDefault="00A3294E">
      <w:pPr>
        <w:pStyle w:val="TableofFigures"/>
        <w:rPr>
          <w:rFonts w:ascii="Calibri" w:hAnsi="Calibri"/>
          <w:sz w:val="22"/>
          <w:szCs w:val="22"/>
          <w:lang w:val="en-AU" w:eastAsia="en-AU"/>
        </w:rPr>
      </w:pPr>
      <w:hyperlink w:anchor="_Toc337546952" w:history="1">
        <w:r w:rsidRPr="005769E8">
          <w:rPr>
            <w:rStyle w:val="Hyperlink"/>
          </w:rPr>
          <w:t>Table 15</w:t>
        </w:r>
        <w:r>
          <w:rPr>
            <w:rFonts w:ascii="Calibri" w:hAnsi="Calibri"/>
            <w:sz w:val="22"/>
            <w:szCs w:val="22"/>
            <w:lang w:val="en-AU" w:eastAsia="en-AU"/>
          </w:rPr>
          <w:tab/>
        </w:r>
        <w:r w:rsidRPr="005769E8">
          <w:rPr>
            <w:rStyle w:val="Hyperlink"/>
          </w:rPr>
          <w:t>Eligibility criteria applied to the included trials</w:t>
        </w:r>
        <w:r>
          <w:rPr>
            <w:webHidden/>
          </w:rPr>
          <w:tab/>
        </w:r>
        <w:r>
          <w:rPr>
            <w:webHidden/>
          </w:rPr>
          <w:fldChar w:fldCharType="begin"/>
        </w:r>
        <w:r>
          <w:rPr>
            <w:webHidden/>
          </w:rPr>
          <w:instrText xml:space="preserve"> PAGEREF _Toc337546952 \h </w:instrText>
        </w:r>
        <w:r>
          <w:rPr>
            <w:webHidden/>
          </w:rPr>
        </w:r>
        <w:r>
          <w:rPr>
            <w:webHidden/>
          </w:rPr>
          <w:fldChar w:fldCharType="separate"/>
        </w:r>
        <w:r w:rsidR="003361A8">
          <w:rPr>
            <w:webHidden/>
          </w:rPr>
          <w:t>50</w:t>
        </w:r>
        <w:r>
          <w:rPr>
            <w:webHidden/>
          </w:rPr>
          <w:fldChar w:fldCharType="end"/>
        </w:r>
      </w:hyperlink>
    </w:p>
    <w:p w:rsidR="00A3294E" w:rsidRDefault="00A3294E">
      <w:pPr>
        <w:pStyle w:val="TableofFigures"/>
        <w:rPr>
          <w:rFonts w:ascii="Calibri" w:hAnsi="Calibri"/>
          <w:sz w:val="22"/>
          <w:szCs w:val="22"/>
          <w:lang w:val="en-AU" w:eastAsia="en-AU"/>
        </w:rPr>
      </w:pPr>
      <w:hyperlink w:anchor="_Toc337546953" w:history="1">
        <w:r w:rsidRPr="005769E8">
          <w:rPr>
            <w:rStyle w:val="Hyperlink"/>
          </w:rPr>
          <w:t>Table 16</w:t>
        </w:r>
        <w:r>
          <w:rPr>
            <w:rFonts w:ascii="Calibri" w:hAnsi="Calibri"/>
            <w:sz w:val="22"/>
            <w:szCs w:val="22"/>
            <w:lang w:val="en-AU" w:eastAsia="en-AU"/>
          </w:rPr>
          <w:tab/>
        </w:r>
        <w:r w:rsidRPr="005769E8">
          <w:rPr>
            <w:rStyle w:val="Hyperlink"/>
          </w:rPr>
          <w:t>Characteristics of participants in the direct randomised trials varying across randomised groups</w:t>
        </w:r>
        <w:r>
          <w:rPr>
            <w:webHidden/>
          </w:rPr>
          <w:tab/>
        </w:r>
        <w:r>
          <w:rPr>
            <w:webHidden/>
          </w:rPr>
          <w:fldChar w:fldCharType="begin"/>
        </w:r>
        <w:r>
          <w:rPr>
            <w:webHidden/>
          </w:rPr>
          <w:instrText xml:space="preserve"> PAGEREF _Toc337546953 \h </w:instrText>
        </w:r>
        <w:r>
          <w:rPr>
            <w:webHidden/>
          </w:rPr>
        </w:r>
        <w:r>
          <w:rPr>
            <w:webHidden/>
          </w:rPr>
          <w:fldChar w:fldCharType="separate"/>
        </w:r>
        <w:r w:rsidR="003361A8">
          <w:rPr>
            <w:webHidden/>
          </w:rPr>
          <w:t>52</w:t>
        </w:r>
        <w:r>
          <w:rPr>
            <w:webHidden/>
          </w:rPr>
          <w:fldChar w:fldCharType="end"/>
        </w:r>
      </w:hyperlink>
    </w:p>
    <w:p w:rsidR="00A3294E" w:rsidRDefault="00A3294E">
      <w:pPr>
        <w:pStyle w:val="TableofFigures"/>
        <w:rPr>
          <w:rFonts w:ascii="Calibri" w:hAnsi="Calibri"/>
          <w:sz w:val="22"/>
          <w:szCs w:val="22"/>
          <w:lang w:val="en-AU" w:eastAsia="en-AU"/>
        </w:rPr>
      </w:pPr>
      <w:hyperlink w:anchor="_Toc337546954" w:history="1">
        <w:r w:rsidRPr="005769E8">
          <w:rPr>
            <w:rStyle w:val="Hyperlink"/>
          </w:rPr>
          <w:t>Table 17</w:t>
        </w:r>
        <w:r>
          <w:rPr>
            <w:rFonts w:ascii="Calibri" w:hAnsi="Calibri"/>
            <w:sz w:val="22"/>
            <w:szCs w:val="22"/>
            <w:lang w:val="en-AU" w:eastAsia="en-AU"/>
          </w:rPr>
          <w:tab/>
        </w:r>
        <w:r w:rsidRPr="005769E8">
          <w:rPr>
            <w:rStyle w:val="Hyperlink"/>
          </w:rPr>
          <w:t>Interventions compared by the direct randomised trials</w:t>
        </w:r>
        <w:r>
          <w:rPr>
            <w:webHidden/>
          </w:rPr>
          <w:tab/>
        </w:r>
        <w:r>
          <w:rPr>
            <w:webHidden/>
          </w:rPr>
          <w:fldChar w:fldCharType="begin"/>
        </w:r>
        <w:r>
          <w:rPr>
            <w:webHidden/>
          </w:rPr>
          <w:instrText xml:space="preserve"> PAGEREF _Toc337546954 \h </w:instrText>
        </w:r>
        <w:r>
          <w:rPr>
            <w:webHidden/>
          </w:rPr>
        </w:r>
        <w:r>
          <w:rPr>
            <w:webHidden/>
          </w:rPr>
          <w:fldChar w:fldCharType="separate"/>
        </w:r>
        <w:r w:rsidR="003361A8">
          <w:rPr>
            <w:webHidden/>
          </w:rPr>
          <w:t>56</w:t>
        </w:r>
        <w:r>
          <w:rPr>
            <w:webHidden/>
          </w:rPr>
          <w:fldChar w:fldCharType="end"/>
        </w:r>
      </w:hyperlink>
    </w:p>
    <w:p w:rsidR="00A3294E" w:rsidRDefault="00A3294E">
      <w:pPr>
        <w:pStyle w:val="TableofFigures"/>
        <w:rPr>
          <w:rFonts w:ascii="Calibri" w:hAnsi="Calibri"/>
          <w:sz w:val="22"/>
          <w:szCs w:val="22"/>
          <w:lang w:val="en-AU" w:eastAsia="en-AU"/>
        </w:rPr>
      </w:pPr>
      <w:hyperlink w:anchor="_Toc337546955" w:history="1">
        <w:r w:rsidRPr="005769E8">
          <w:rPr>
            <w:rStyle w:val="Hyperlink"/>
          </w:rPr>
          <w:t>Table 18</w:t>
        </w:r>
        <w:r>
          <w:rPr>
            <w:rFonts w:ascii="Calibri" w:hAnsi="Calibri"/>
            <w:sz w:val="22"/>
            <w:szCs w:val="22"/>
            <w:lang w:val="en-AU" w:eastAsia="en-AU"/>
          </w:rPr>
          <w:tab/>
        </w:r>
        <w:r w:rsidRPr="005769E8">
          <w:rPr>
            <w:rStyle w:val="Hyperlink"/>
          </w:rPr>
          <w:t>Outcome measures and statistical analyses of the direct randomised trials</w:t>
        </w:r>
        <w:r>
          <w:rPr>
            <w:webHidden/>
          </w:rPr>
          <w:tab/>
        </w:r>
        <w:r>
          <w:rPr>
            <w:webHidden/>
          </w:rPr>
          <w:fldChar w:fldCharType="begin"/>
        </w:r>
        <w:r>
          <w:rPr>
            <w:webHidden/>
          </w:rPr>
          <w:instrText xml:space="preserve"> PAGEREF _Toc337546955 \h </w:instrText>
        </w:r>
        <w:r>
          <w:rPr>
            <w:webHidden/>
          </w:rPr>
        </w:r>
        <w:r>
          <w:rPr>
            <w:webHidden/>
          </w:rPr>
          <w:fldChar w:fldCharType="separate"/>
        </w:r>
        <w:r w:rsidR="003361A8">
          <w:rPr>
            <w:webHidden/>
          </w:rPr>
          <w:t>66</w:t>
        </w:r>
        <w:r>
          <w:rPr>
            <w:webHidden/>
          </w:rPr>
          <w:fldChar w:fldCharType="end"/>
        </w:r>
      </w:hyperlink>
    </w:p>
    <w:p w:rsidR="00A3294E" w:rsidRDefault="00A3294E">
      <w:pPr>
        <w:pStyle w:val="TableofFigures"/>
        <w:rPr>
          <w:rFonts w:ascii="Calibri" w:hAnsi="Calibri"/>
          <w:sz w:val="22"/>
          <w:szCs w:val="22"/>
          <w:lang w:val="en-AU" w:eastAsia="en-AU"/>
        </w:rPr>
      </w:pPr>
      <w:hyperlink w:anchor="_Toc337546956" w:history="1">
        <w:r w:rsidRPr="005769E8">
          <w:rPr>
            <w:rStyle w:val="Hyperlink"/>
          </w:rPr>
          <w:t>Table 19</w:t>
        </w:r>
        <w:r>
          <w:rPr>
            <w:rFonts w:ascii="Calibri" w:hAnsi="Calibri"/>
            <w:sz w:val="22"/>
            <w:szCs w:val="22"/>
            <w:lang w:val="en-AU" w:eastAsia="en-AU"/>
          </w:rPr>
          <w:tab/>
        </w:r>
        <w:r w:rsidRPr="005769E8">
          <w:rPr>
            <w:rStyle w:val="Hyperlink"/>
          </w:rPr>
          <w:t>Comparison of different cytological and histological classification systems</w:t>
        </w:r>
        <w:r>
          <w:rPr>
            <w:webHidden/>
          </w:rPr>
          <w:tab/>
        </w:r>
        <w:r>
          <w:rPr>
            <w:webHidden/>
          </w:rPr>
          <w:fldChar w:fldCharType="begin"/>
        </w:r>
        <w:r>
          <w:rPr>
            <w:webHidden/>
          </w:rPr>
          <w:instrText xml:space="preserve"> PAGEREF _Toc337546956 \h </w:instrText>
        </w:r>
        <w:r>
          <w:rPr>
            <w:webHidden/>
          </w:rPr>
        </w:r>
        <w:r>
          <w:rPr>
            <w:webHidden/>
          </w:rPr>
          <w:fldChar w:fldCharType="separate"/>
        </w:r>
        <w:r w:rsidR="003361A8">
          <w:rPr>
            <w:webHidden/>
          </w:rPr>
          <w:t>70</w:t>
        </w:r>
        <w:r>
          <w:rPr>
            <w:webHidden/>
          </w:rPr>
          <w:fldChar w:fldCharType="end"/>
        </w:r>
      </w:hyperlink>
    </w:p>
    <w:p w:rsidR="00A3294E" w:rsidRDefault="00A3294E">
      <w:pPr>
        <w:pStyle w:val="TableofFigures"/>
        <w:rPr>
          <w:rFonts w:ascii="Calibri" w:hAnsi="Calibri"/>
          <w:sz w:val="22"/>
          <w:szCs w:val="22"/>
          <w:lang w:val="en-AU" w:eastAsia="en-AU"/>
        </w:rPr>
      </w:pPr>
      <w:hyperlink w:anchor="_Toc337546957" w:history="1">
        <w:r w:rsidRPr="005769E8">
          <w:rPr>
            <w:rStyle w:val="Hyperlink"/>
          </w:rPr>
          <w:t>Table 20</w:t>
        </w:r>
        <w:r>
          <w:rPr>
            <w:rFonts w:ascii="Calibri" w:hAnsi="Calibri"/>
            <w:sz w:val="22"/>
            <w:szCs w:val="22"/>
            <w:lang w:val="en-AU" w:eastAsia="en-AU"/>
          </w:rPr>
          <w:tab/>
        </w:r>
        <w:r w:rsidRPr="005769E8">
          <w:rPr>
            <w:rStyle w:val="Hyperlink"/>
          </w:rPr>
          <w:t>Changes made between the 1991 and 2011 Bethesda Classification Systems</w:t>
        </w:r>
        <w:r>
          <w:rPr>
            <w:webHidden/>
          </w:rPr>
          <w:tab/>
        </w:r>
        <w:r>
          <w:rPr>
            <w:webHidden/>
          </w:rPr>
          <w:fldChar w:fldCharType="begin"/>
        </w:r>
        <w:r>
          <w:rPr>
            <w:webHidden/>
          </w:rPr>
          <w:instrText xml:space="preserve"> PAGEREF _Toc337546957 \h </w:instrText>
        </w:r>
        <w:r>
          <w:rPr>
            <w:webHidden/>
          </w:rPr>
        </w:r>
        <w:r>
          <w:rPr>
            <w:webHidden/>
          </w:rPr>
          <w:fldChar w:fldCharType="separate"/>
        </w:r>
        <w:r w:rsidR="003361A8">
          <w:rPr>
            <w:webHidden/>
          </w:rPr>
          <w:t>71</w:t>
        </w:r>
        <w:r>
          <w:rPr>
            <w:webHidden/>
          </w:rPr>
          <w:fldChar w:fldCharType="end"/>
        </w:r>
      </w:hyperlink>
    </w:p>
    <w:p w:rsidR="00A3294E" w:rsidRDefault="00A3294E">
      <w:pPr>
        <w:pStyle w:val="TableofFigures"/>
        <w:rPr>
          <w:rFonts w:ascii="Calibri" w:hAnsi="Calibri"/>
          <w:sz w:val="22"/>
          <w:szCs w:val="22"/>
          <w:lang w:val="en-AU" w:eastAsia="en-AU"/>
        </w:rPr>
      </w:pPr>
      <w:hyperlink w:anchor="_Toc337546958" w:history="1">
        <w:r w:rsidRPr="005769E8">
          <w:rPr>
            <w:rStyle w:val="Hyperlink"/>
          </w:rPr>
          <w:t>Table 21</w:t>
        </w:r>
        <w:r>
          <w:rPr>
            <w:rFonts w:ascii="Calibri" w:hAnsi="Calibri"/>
            <w:sz w:val="22"/>
            <w:szCs w:val="22"/>
            <w:lang w:val="en-AU" w:eastAsia="en-AU"/>
          </w:rPr>
          <w:tab/>
        </w:r>
        <w:r w:rsidRPr="005769E8">
          <w:rPr>
            <w:rStyle w:val="Hyperlink"/>
          </w:rPr>
          <w:t>Classification systems used in the included trials</w:t>
        </w:r>
        <w:r>
          <w:rPr>
            <w:webHidden/>
          </w:rPr>
          <w:tab/>
        </w:r>
        <w:r>
          <w:rPr>
            <w:webHidden/>
          </w:rPr>
          <w:fldChar w:fldCharType="begin"/>
        </w:r>
        <w:r>
          <w:rPr>
            <w:webHidden/>
          </w:rPr>
          <w:instrText xml:space="preserve"> PAGEREF _Toc337546958 \h </w:instrText>
        </w:r>
        <w:r>
          <w:rPr>
            <w:webHidden/>
          </w:rPr>
        </w:r>
        <w:r>
          <w:rPr>
            <w:webHidden/>
          </w:rPr>
          <w:fldChar w:fldCharType="separate"/>
        </w:r>
        <w:r w:rsidR="003361A8">
          <w:rPr>
            <w:webHidden/>
          </w:rPr>
          <w:t>71</w:t>
        </w:r>
        <w:r>
          <w:rPr>
            <w:webHidden/>
          </w:rPr>
          <w:fldChar w:fldCharType="end"/>
        </w:r>
      </w:hyperlink>
    </w:p>
    <w:p w:rsidR="00A3294E" w:rsidRDefault="00A3294E">
      <w:pPr>
        <w:pStyle w:val="TableofFigures"/>
        <w:rPr>
          <w:rFonts w:ascii="Calibri" w:hAnsi="Calibri"/>
          <w:sz w:val="22"/>
          <w:szCs w:val="22"/>
          <w:lang w:val="en-AU" w:eastAsia="en-AU"/>
        </w:rPr>
      </w:pPr>
      <w:hyperlink w:anchor="_Toc337546959" w:history="1">
        <w:r w:rsidRPr="005769E8">
          <w:rPr>
            <w:rStyle w:val="Hyperlink"/>
          </w:rPr>
          <w:t>Table 22</w:t>
        </w:r>
        <w:r>
          <w:rPr>
            <w:rFonts w:ascii="Calibri" w:hAnsi="Calibri"/>
            <w:sz w:val="22"/>
            <w:szCs w:val="22"/>
            <w:lang w:val="en-AU" w:eastAsia="en-AU"/>
          </w:rPr>
          <w:tab/>
        </w:r>
        <w:r w:rsidRPr="005769E8">
          <w:rPr>
            <w:rStyle w:val="Hyperlink"/>
          </w:rPr>
          <w:t>Sensitivity, specificity, positive and negative predictive value equations</w:t>
        </w:r>
        <w:r>
          <w:rPr>
            <w:webHidden/>
          </w:rPr>
          <w:tab/>
        </w:r>
        <w:r>
          <w:rPr>
            <w:webHidden/>
          </w:rPr>
          <w:fldChar w:fldCharType="begin"/>
        </w:r>
        <w:r>
          <w:rPr>
            <w:webHidden/>
          </w:rPr>
          <w:instrText xml:space="preserve"> PAGEREF _Toc337546959 \h </w:instrText>
        </w:r>
        <w:r>
          <w:rPr>
            <w:webHidden/>
          </w:rPr>
        </w:r>
        <w:r>
          <w:rPr>
            <w:webHidden/>
          </w:rPr>
          <w:fldChar w:fldCharType="separate"/>
        </w:r>
        <w:r w:rsidR="003361A8">
          <w:rPr>
            <w:webHidden/>
          </w:rPr>
          <w:t>76</w:t>
        </w:r>
        <w:r>
          <w:rPr>
            <w:webHidden/>
          </w:rPr>
          <w:fldChar w:fldCharType="end"/>
        </w:r>
      </w:hyperlink>
    </w:p>
    <w:p w:rsidR="00A3294E" w:rsidRDefault="00A3294E">
      <w:pPr>
        <w:pStyle w:val="TableofFigures"/>
        <w:rPr>
          <w:rFonts w:ascii="Calibri" w:hAnsi="Calibri"/>
          <w:sz w:val="22"/>
          <w:szCs w:val="22"/>
          <w:lang w:val="en-AU" w:eastAsia="en-AU"/>
        </w:rPr>
      </w:pPr>
      <w:hyperlink w:anchor="_Toc337546960" w:history="1">
        <w:r w:rsidRPr="005769E8">
          <w:rPr>
            <w:rStyle w:val="Hyperlink"/>
          </w:rPr>
          <w:t>Table 23</w:t>
        </w:r>
        <w:r>
          <w:rPr>
            <w:rFonts w:ascii="Calibri" w:hAnsi="Calibri"/>
            <w:sz w:val="22"/>
            <w:szCs w:val="22"/>
            <w:lang w:val="en-AU" w:eastAsia="en-AU"/>
          </w:rPr>
          <w:tab/>
        </w:r>
        <w:r w:rsidRPr="005769E8">
          <w:rPr>
            <w:rStyle w:val="Hyperlink"/>
          </w:rPr>
          <w:t>Summary of outcomes presented from the direct comparison of LBC and CC</w:t>
        </w:r>
        <w:r>
          <w:rPr>
            <w:webHidden/>
          </w:rPr>
          <w:tab/>
        </w:r>
        <w:r>
          <w:rPr>
            <w:webHidden/>
          </w:rPr>
          <w:fldChar w:fldCharType="begin"/>
        </w:r>
        <w:r>
          <w:rPr>
            <w:webHidden/>
          </w:rPr>
          <w:instrText xml:space="preserve"> PAGEREF _Toc337546960 \h </w:instrText>
        </w:r>
        <w:r>
          <w:rPr>
            <w:webHidden/>
          </w:rPr>
        </w:r>
        <w:r>
          <w:rPr>
            <w:webHidden/>
          </w:rPr>
          <w:fldChar w:fldCharType="separate"/>
        </w:r>
        <w:r w:rsidR="003361A8">
          <w:rPr>
            <w:webHidden/>
          </w:rPr>
          <w:t>82</w:t>
        </w:r>
        <w:r>
          <w:rPr>
            <w:webHidden/>
          </w:rPr>
          <w:fldChar w:fldCharType="end"/>
        </w:r>
      </w:hyperlink>
    </w:p>
    <w:p w:rsidR="00A3294E" w:rsidRDefault="00A3294E">
      <w:pPr>
        <w:pStyle w:val="TableofFigures"/>
        <w:rPr>
          <w:rFonts w:ascii="Calibri" w:hAnsi="Calibri"/>
          <w:sz w:val="22"/>
          <w:szCs w:val="22"/>
          <w:lang w:val="en-AU" w:eastAsia="en-AU"/>
        </w:rPr>
      </w:pPr>
      <w:hyperlink w:anchor="_Toc337546961" w:history="1">
        <w:r w:rsidRPr="005769E8">
          <w:rPr>
            <w:rStyle w:val="Hyperlink"/>
          </w:rPr>
          <w:t>Table 24</w:t>
        </w:r>
        <w:r>
          <w:rPr>
            <w:rFonts w:ascii="Calibri" w:hAnsi="Calibri"/>
            <w:sz w:val="22"/>
            <w:szCs w:val="22"/>
            <w:lang w:val="en-AU" w:eastAsia="en-AU"/>
          </w:rPr>
          <w:tab/>
        </w:r>
        <w:r w:rsidRPr="005769E8">
          <w:rPr>
            <w:rStyle w:val="Hyperlink"/>
          </w:rPr>
          <w:t>Unsatisfactory rates—CC versus cell enrichment LBC: Beerman 2009</w:t>
        </w:r>
        <w:r>
          <w:rPr>
            <w:webHidden/>
          </w:rPr>
          <w:tab/>
        </w:r>
        <w:r>
          <w:rPr>
            <w:webHidden/>
          </w:rPr>
          <w:fldChar w:fldCharType="begin"/>
        </w:r>
        <w:r>
          <w:rPr>
            <w:webHidden/>
          </w:rPr>
          <w:instrText xml:space="preserve"> PAGEREF _Toc337546961 \h </w:instrText>
        </w:r>
        <w:r>
          <w:rPr>
            <w:webHidden/>
          </w:rPr>
        </w:r>
        <w:r>
          <w:rPr>
            <w:webHidden/>
          </w:rPr>
          <w:fldChar w:fldCharType="separate"/>
        </w:r>
        <w:r w:rsidR="003361A8">
          <w:rPr>
            <w:webHidden/>
          </w:rPr>
          <w:t>85</w:t>
        </w:r>
        <w:r>
          <w:rPr>
            <w:webHidden/>
          </w:rPr>
          <w:fldChar w:fldCharType="end"/>
        </w:r>
      </w:hyperlink>
    </w:p>
    <w:p w:rsidR="00A3294E" w:rsidRDefault="00A3294E">
      <w:pPr>
        <w:pStyle w:val="TableofFigures"/>
        <w:rPr>
          <w:rFonts w:ascii="Calibri" w:hAnsi="Calibri"/>
          <w:sz w:val="22"/>
          <w:szCs w:val="22"/>
          <w:lang w:val="en-AU" w:eastAsia="en-AU"/>
        </w:rPr>
      </w:pPr>
      <w:hyperlink w:anchor="_Toc337546962" w:history="1">
        <w:r w:rsidRPr="005769E8">
          <w:rPr>
            <w:rStyle w:val="Hyperlink"/>
          </w:rPr>
          <w:t>Table 25</w:t>
        </w:r>
        <w:r>
          <w:rPr>
            <w:rFonts w:ascii="Calibri" w:hAnsi="Calibri"/>
            <w:sz w:val="22"/>
            <w:szCs w:val="22"/>
            <w:lang w:val="en-AU" w:eastAsia="en-AU"/>
          </w:rPr>
          <w:tab/>
        </w:r>
        <w:r w:rsidRPr="005769E8">
          <w:rPr>
            <w:rStyle w:val="Hyperlink"/>
          </w:rPr>
          <w:t>Unsatisfactory rates—CC versus cell filtration LBC: Ronco 2007</w:t>
        </w:r>
        <w:r>
          <w:rPr>
            <w:webHidden/>
          </w:rPr>
          <w:tab/>
        </w:r>
        <w:r>
          <w:rPr>
            <w:webHidden/>
          </w:rPr>
          <w:fldChar w:fldCharType="begin"/>
        </w:r>
        <w:r>
          <w:rPr>
            <w:webHidden/>
          </w:rPr>
          <w:instrText xml:space="preserve"> PAGEREF _Toc337546962 \h </w:instrText>
        </w:r>
        <w:r>
          <w:rPr>
            <w:webHidden/>
          </w:rPr>
        </w:r>
        <w:r>
          <w:rPr>
            <w:webHidden/>
          </w:rPr>
          <w:fldChar w:fldCharType="separate"/>
        </w:r>
        <w:r w:rsidR="003361A8">
          <w:rPr>
            <w:webHidden/>
          </w:rPr>
          <w:t>86</w:t>
        </w:r>
        <w:r>
          <w:rPr>
            <w:webHidden/>
          </w:rPr>
          <w:fldChar w:fldCharType="end"/>
        </w:r>
      </w:hyperlink>
    </w:p>
    <w:p w:rsidR="00A3294E" w:rsidRDefault="00A3294E">
      <w:pPr>
        <w:pStyle w:val="TableofFigures"/>
        <w:rPr>
          <w:rFonts w:ascii="Calibri" w:hAnsi="Calibri"/>
          <w:sz w:val="22"/>
          <w:szCs w:val="22"/>
          <w:lang w:val="en-AU" w:eastAsia="en-AU"/>
        </w:rPr>
      </w:pPr>
      <w:hyperlink w:anchor="_Toc337546963" w:history="1">
        <w:r w:rsidRPr="005769E8">
          <w:rPr>
            <w:rStyle w:val="Hyperlink"/>
          </w:rPr>
          <w:t>Table 26</w:t>
        </w:r>
        <w:r>
          <w:rPr>
            <w:rFonts w:ascii="Calibri" w:hAnsi="Calibri"/>
            <w:sz w:val="22"/>
            <w:szCs w:val="22"/>
            <w:lang w:val="en-AU" w:eastAsia="en-AU"/>
          </w:rPr>
          <w:tab/>
        </w:r>
        <w:r w:rsidRPr="005769E8">
          <w:rPr>
            <w:rStyle w:val="Hyperlink"/>
          </w:rPr>
          <w:t>Unsatisfactory rates—CC versus cell filtration LBC, NETHCON trial: Siebers 2008</w:t>
        </w:r>
        <w:r>
          <w:rPr>
            <w:webHidden/>
          </w:rPr>
          <w:tab/>
        </w:r>
        <w:r>
          <w:rPr>
            <w:webHidden/>
          </w:rPr>
          <w:fldChar w:fldCharType="begin"/>
        </w:r>
        <w:r>
          <w:rPr>
            <w:webHidden/>
          </w:rPr>
          <w:instrText xml:space="preserve"> PAGEREF _Toc337546963 \h </w:instrText>
        </w:r>
        <w:r>
          <w:rPr>
            <w:webHidden/>
          </w:rPr>
        </w:r>
        <w:r>
          <w:rPr>
            <w:webHidden/>
          </w:rPr>
          <w:fldChar w:fldCharType="separate"/>
        </w:r>
        <w:r w:rsidR="003361A8">
          <w:rPr>
            <w:webHidden/>
          </w:rPr>
          <w:t>86</w:t>
        </w:r>
        <w:r>
          <w:rPr>
            <w:webHidden/>
          </w:rPr>
          <w:fldChar w:fldCharType="end"/>
        </w:r>
      </w:hyperlink>
    </w:p>
    <w:p w:rsidR="00A3294E" w:rsidRDefault="00A3294E">
      <w:pPr>
        <w:pStyle w:val="TableofFigures"/>
        <w:rPr>
          <w:rFonts w:ascii="Calibri" w:hAnsi="Calibri"/>
          <w:sz w:val="22"/>
          <w:szCs w:val="22"/>
          <w:lang w:val="en-AU" w:eastAsia="en-AU"/>
        </w:rPr>
      </w:pPr>
      <w:hyperlink w:anchor="_Toc337546964" w:history="1">
        <w:r w:rsidRPr="005769E8">
          <w:rPr>
            <w:rStyle w:val="Hyperlink"/>
          </w:rPr>
          <w:t>Table 27</w:t>
        </w:r>
        <w:r>
          <w:rPr>
            <w:rFonts w:ascii="Calibri" w:hAnsi="Calibri"/>
            <w:sz w:val="22"/>
            <w:szCs w:val="22"/>
            <w:lang w:val="en-AU" w:eastAsia="en-AU"/>
          </w:rPr>
          <w:tab/>
        </w:r>
        <w:r w:rsidRPr="005769E8">
          <w:rPr>
            <w:rStyle w:val="Hyperlink"/>
          </w:rPr>
          <w:t>Unsatisfactory rates—CC versus cell filtration LBC: Strander 2007</w:t>
        </w:r>
        <w:r>
          <w:rPr>
            <w:webHidden/>
          </w:rPr>
          <w:tab/>
        </w:r>
        <w:r>
          <w:rPr>
            <w:webHidden/>
          </w:rPr>
          <w:fldChar w:fldCharType="begin"/>
        </w:r>
        <w:r>
          <w:rPr>
            <w:webHidden/>
          </w:rPr>
          <w:instrText xml:space="preserve"> PAGEREF _Toc337546964 \h </w:instrText>
        </w:r>
        <w:r>
          <w:rPr>
            <w:webHidden/>
          </w:rPr>
        </w:r>
        <w:r>
          <w:rPr>
            <w:webHidden/>
          </w:rPr>
          <w:fldChar w:fldCharType="separate"/>
        </w:r>
        <w:r w:rsidR="003361A8">
          <w:rPr>
            <w:webHidden/>
          </w:rPr>
          <w:t>86</w:t>
        </w:r>
        <w:r>
          <w:rPr>
            <w:webHidden/>
          </w:rPr>
          <w:fldChar w:fldCharType="end"/>
        </w:r>
      </w:hyperlink>
    </w:p>
    <w:p w:rsidR="00A3294E" w:rsidRDefault="00A3294E">
      <w:pPr>
        <w:pStyle w:val="TableofFigures"/>
        <w:rPr>
          <w:rFonts w:ascii="Calibri" w:hAnsi="Calibri"/>
          <w:sz w:val="22"/>
          <w:szCs w:val="22"/>
          <w:lang w:val="en-AU" w:eastAsia="en-AU"/>
        </w:rPr>
      </w:pPr>
      <w:hyperlink w:anchor="_Toc337546965" w:history="1">
        <w:r w:rsidRPr="005769E8">
          <w:rPr>
            <w:rStyle w:val="Hyperlink"/>
          </w:rPr>
          <w:t xml:space="preserve">Table 28 </w:t>
        </w:r>
        <w:r>
          <w:rPr>
            <w:rFonts w:ascii="Calibri" w:hAnsi="Calibri"/>
            <w:sz w:val="22"/>
            <w:szCs w:val="22"/>
            <w:lang w:val="en-AU" w:eastAsia="en-AU"/>
          </w:rPr>
          <w:tab/>
        </w:r>
        <w:r w:rsidRPr="005769E8">
          <w:rPr>
            <w:rStyle w:val="Hyperlink"/>
          </w:rPr>
          <w:t>Unsatisfactory rates—CC versus cell filtration LBC: Maccallini 2008</w:t>
        </w:r>
        <w:r>
          <w:rPr>
            <w:webHidden/>
          </w:rPr>
          <w:tab/>
        </w:r>
        <w:r>
          <w:rPr>
            <w:webHidden/>
          </w:rPr>
          <w:fldChar w:fldCharType="begin"/>
        </w:r>
        <w:r>
          <w:rPr>
            <w:webHidden/>
          </w:rPr>
          <w:instrText xml:space="preserve"> PAGEREF _Toc337546965 \h </w:instrText>
        </w:r>
        <w:r>
          <w:rPr>
            <w:webHidden/>
          </w:rPr>
        </w:r>
        <w:r>
          <w:rPr>
            <w:webHidden/>
          </w:rPr>
          <w:fldChar w:fldCharType="separate"/>
        </w:r>
        <w:r w:rsidR="003361A8">
          <w:rPr>
            <w:webHidden/>
          </w:rPr>
          <w:t>87</w:t>
        </w:r>
        <w:r>
          <w:rPr>
            <w:webHidden/>
          </w:rPr>
          <w:fldChar w:fldCharType="end"/>
        </w:r>
      </w:hyperlink>
    </w:p>
    <w:p w:rsidR="00A3294E" w:rsidRDefault="00A3294E">
      <w:pPr>
        <w:pStyle w:val="TableofFigures"/>
        <w:rPr>
          <w:rFonts w:ascii="Calibri" w:hAnsi="Calibri"/>
          <w:sz w:val="22"/>
          <w:szCs w:val="22"/>
          <w:lang w:val="en-AU" w:eastAsia="en-AU"/>
        </w:rPr>
      </w:pPr>
      <w:hyperlink w:anchor="_Toc337546966" w:history="1">
        <w:r w:rsidRPr="005769E8">
          <w:rPr>
            <w:rStyle w:val="Hyperlink"/>
          </w:rPr>
          <w:t>Table 29</w:t>
        </w:r>
        <w:r>
          <w:rPr>
            <w:rFonts w:ascii="Calibri" w:hAnsi="Calibri"/>
            <w:sz w:val="22"/>
            <w:szCs w:val="22"/>
            <w:lang w:val="en-AU" w:eastAsia="en-AU"/>
          </w:rPr>
          <w:tab/>
        </w:r>
        <w:r w:rsidRPr="005769E8">
          <w:rPr>
            <w:rStyle w:val="Hyperlink"/>
          </w:rPr>
          <w:t>Specimen adequacy (unsatisfactory and SBLB rates)</w:t>
        </w:r>
        <w:r w:rsidRPr="005769E8">
          <w:rPr>
            <w:rStyle w:val="Hyperlink"/>
            <w:vertAlign w:val="superscript"/>
          </w:rPr>
          <w:t>a</w:t>
        </w:r>
        <w:r w:rsidRPr="005769E8">
          <w:rPr>
            <w:rStyle w:val="Hyperlink"/>
          </w:rPr>
          <w:t>—CC versus cell filtration LBC: Obwegeser 2001</w:t>
        </w:r>
        <w:r>
          <w:rPr>
            <w:webHidden/>
          </w:rPr>
          <w:tab/>
        </w:r>
        <w:r>
          <w:rPr>
            <w:webHidden/>
          </w:rPr>
          <w:fldChar w:fldCharType="begin"/>
        </w:r>
        <w:r>
          <w:rPr>
            <w:webHidden/>
          </w:rPr>
          <w:instrText xml:space="preserve"> PAGEREF _Toc337546966 \h </w:instrText>
        </w:r>
        <w:r>
          <w:rPr>
            <w:webHidden/>
          </w:rPr>
        </w:r>
        <w:r>
          <w:rPr>
            <w:webHidden/>
          </w:rPr>
          <w:fldChar w:fldCharType="separate"/>
        </w:r>
        <w:r w:rsidR="003361A8">
          <w:rPr>
            <w:webHidden/>
          </w:rPr>
          <w:t>88</w:t>
        </w:r>
        <w:r>
          <w:rPr>
            <w:webHidden/>
          </w:rPr>
          <w:fldChar w:fldCharType="end"/>
        </w:r>
      </w:hyperlink>
    </w:p>
    <w:p w:rsidR="00A3294E" w:rsidRDefault="00A3294E">
      <w:pPr>
        <w:pStyle w:val="TableofFigures"/>
        <w:rPr>
          <w:rFonts w:ascii="Calibri" w:hAnsi="Calibri"/>
          <w:sz w:val="22"/>
          <w:szCs w:val="22"/>
          <w:lang w:val="en-AU" w:eastAsia="en-AU"/>
        </w:rPr>
      </w:pPr>
      <w:hyperlink w:anchor="_Toc337546967" w:history="1">
        <w:r w:rsidRPr="005769E8">
          <w:rPr>
            <w:rStyle w:val="Hyperlink"/>
          </w:rPr>
          <w:t>Table 30</w:t>
        </w:r>
        <w:r>
          <w:rPr>
            <w:rFonts w:ascii="Calibri" w:hAnsi="Calibri"/>
            <w:sz w:val="22"/>
            <w:szCs w:val="22"/>
            <w:lang w:val="en-AU" w:eastAsia="en-AU"/>
          </w:rPr>
          <w:tab/>
        </w:r>
        <w:r w:rsidRPr="005769E8">
          <w:rPr>
            <w:rStyle w:val="Hyperlink"/>
          </w:rPr>
          <w:t>Unsatisfactory cervical cytology smear rates with conventional cytology by year and location</w:t>
        </w:r>
        <w:r>
          <w:rPr>
            <w:webHidden/>
          </w:rPr>
          <w:tab/>
        </w:r>
        <w:r>
          <w:rPr>
            <w:webHidden/>
          </w:rPr>
          <w:fldChar w:fldCharType="begin"/>
        </w:r>
        <w:r>
          <w:rPr>
            <w:webHidden/>
          </w:rPr>
          <w:instrText xml:space="preserve"> PAGEREF _Toc337546967 \h </w:instrText>
        </w:r>
        <w:r>
          <w:rPr>
            <w:webHidden/>
          </w:rPr>
        </w:r>
        <w:r>
          <w:rPr>
            <w:webHidden/>
          </w:rPr>
          <w:fldChar w:fldCharType="separate"/>
        </w:r>
        <w:r w:rsidR="003361A8">
          <w:rPr>
            <w:webHidden/>
          </w:rPr>
          <w:t>90</w:t>
        </w:r>
        <w:r>
          <w:rPr>
            <w:webHidden/>
          </w:rPr>
          <w:fldChar w:fldCharType="end"/>
        </w:r>
      </w:hyperlink>
    </w:p>
    <w:p w:rsidR="00A3294E" w:rsidRDefault="00A3294E">
      <w:pPr>
        <w:pStyle w:val="TableofFigures"/>
        <w:rPr>
          <w:rFonts w:ascii="Calibri" w:hAnsi="Calibri"/>
          <w:sz w:val="22"/>
          <w:szCs w:val="22"/>
          <w:lang w:val="en-AU" w:eastAsia="en-AU"/>
        </w:rPr>
      </w:pPr>
      <w:hyperlink w:anchor="_Toc337546968" w:history="1">
        <w:r w:rsidRPr="005769E8">
          <w:rPr>
            <w:rStyle w:val="Hyperlink"/>
          </w:rPr>
          <w:t>Table 31</w:t>
        </w:r>
        <w:r>
          <w:rPr>
            <w:rFonts w:ascii="Calibri" w:hAnsi="Calibri"/>
            <w:sz w:val="22"/>
            <w:szCs w:val="22"/>
            <w:lang w:val="en-AU" w:eastAsia="en-AU"/>
          </w:rPr>
          <w:tab/>
        </w:r>
        <w:r w:rsidRPr="005769E8">
          <w:rPr>
            <w:rStyle w:val="Hyperlink"/>
          </w:rPr>
          <w:t>Summary of results of the indirect comparison of cell enrichment LBC and cell filtration LBC proportion with unsatisfactory slides</w:t>
        </w:r>
        <w:r>
          <w:rPr>
            <w:webHidden/>
          </w:rPr>
          <w:tab/>
        </w:r>
        <w:r>
          <w:rPr>
            <w:webHidden/>
          </w:rPr>
          <w:fldChar w:fldCharType="begin"/>
        </w:r>
        <w:r>
          <w:rPr>
            <w:webHidden/>
          </w:rPr>
          <w:instrText xml:space="preserve"> PAGEREF _Toc337546968 \h </w:instrText>
        </w:r>
        <w:r>
          <w:rPr>
            <w:webHidden/>
          </w:rPr>
        </w:r>
        <w:r>
          <w:rPr>
            <w:webHidden/>
          </w:rPr>
          <w:fldChar w:fldCharType="separate"/>
        </w:r>
        <w:r w:rsidR="003361A8">
          <w:rPr>
            <w:webHidden/>
          </w:rPr>
          <w:t>91</w:t>
        </w:r>
        <w:r>
          <w:rPr>
            <w:webHidden/>
          </w:rPr>
          <w:fldChar w:fldCharType="end"/>
        </w:r>
      </w:hyperlink>
    </w:p>
    <w:p w:rsidR="00A3294E" w:rsidRDefault="00A3294E">
      <w:pPr>
        <w:pStyle w:val="TableofFigures"/>
        <w:rPr>
          <w:rFonts w:ascii="Calibri" w:hAnsi="Calibri"/>
          <w:sz w:val="22"/>
          <w:szCs w:val="22"/>
          <w:lang w:val="en-AU" w:eastAsia="en-AU"/>
        </w:rPr>
      </w:pPr>
      <w:hyperlink w:anchor="_Toc337546969" w:history="1">
        <w:r w:rsidRPr="005769E8">
          <w:rPr>
            <w:rStyle w:val="Hyperlink"/>
          </w:rPr>
          <w:t>Table 32</w:t>
        </w:r>
        <w:r>
          <w:rPr>
            <w:rFonts w:ascii="Calibri" w:hAnsi="Calibri"/>
            <w:sz w:val="22"/>
            <w:szCs w:val="22"/>
            <w:lang w:val="en-AU" w:eastAsia="en-AU"/>
          </w:rPr>
          <w:tab/>
        </w:r>
        <w:r w:rsidRPr="005769E8">
          <w:rPr>
            <w:rStyle w:val="Hyperlink"/>
          </w:rPr>
          <w:t>Test yield comparison (by cytology)—CC versus cell enrichment LBC: Beerman 2009</w:t>
        </w:r>
        <w:r>
          <w:rPr>
            <w:webHidden/>
          </w:rPr>
          <w:tab/>
        </w:r>
        <w:r>
          <w:rPr>
            <w:webHidden/>
          </w:rPr>
          <w:fldChar w:fldCharType="begin"/>
        </w:r>
        <w:r>
          <w:rPr>
            <w:webHidden/>
          </w:rPr>
          <w:instrText xml:space="preserve"> PAGEREF _Toc337546969 \h </w:instrText>
        </w:r>
        <w:r>
          <w:rPr>
            <w:webHidden/>
          </w:rPr>
        </w:r>
        <w:r>
          <w:rPr>
            <w:webHidden/>
          </w:rPr>
          <w:fldChar w:fldCharType="separate"/>
        </w:r>
        <w:r w:rsidR="003361A8">
          <w:rPr>
            <w:webHidden/>
          </w:rPr>
          <w:t>92</w:t>
        </w:r>
        <w:r>
          <w:rPr>
            <w:webHidden/>
          </w:rPr>
          <w:fldChar w:fldCharType="end"/>
        </w:r>
      </w:hyperlink>
    </w:p>
    <w:p w:rsidR="00A3294E" w:rsidRDefault="00A3294E">
      <w:pPr>
        <w:pStyle w:val="TableofFigures"/>
        <w:rPr>
          <w:rFonts w:ascii="Calibri" w:hAnsi="Calibri"/>
          <w:sz w:val="22"/>
          <w:szCs w:val="22"/>
          <w:lang w:val="en-AU" w:eastAsia="en-AU"/>
        </w:rPr>
      </w:pPr>
      <w:hyperlink w:anchor="_Toc337546970" w:history="1">
        <w:r w:rsidRPr="005769E8">
          <w:rPr>
            <w:rStyle w:val="Hyperlink"/>
          </w:rPr>
          <w:t>Table 33</w:t>
        </w:r>
        <w:r>
          <w:rPr>
            <w:rFonts w:ascii="Calibri" w:hAnsi="Calibri"/>
            <w:sz w:val="22"/>
            <w:szCs w:val="22"/>
            <w:lang w:val="en-AU" w:eastAsia="en-AU"/>
          </w:rPr>
          <w:tab/>
        </w:r>
        <w:r w:rsidRPr="005769E8">
          <w:rPr>
            <w:rStyle w:val="Hyperlink"/>
          </w:rPr>
          <w:t>Test yield comparison (by cytology)—CC versus LBC (cell enrichment): RODEO study (Longatto-Filho 2011; Fregnani 2012)</w:t>
        </w:r>
        <w:r>
          <w:rPr>
            <w:webHidden/>
          </w:rPr>
          <w:tab/>
        </w:r>
        <w:r>
          <w:rPr>
            <w:webHidden/>
          </w:rPr>
          <w:fldChar w:fldCharType="begin"/>
        </w:r>
        <w:r>
          <w:rPr>
            <w:webHidden/>
          </w:rPr>
          <w:instrText xml:space="preserve"> PAGEREF _Toc337546970 \h </w:instrText>
        </w:r>
        <w:r>
          <w:rPr>
            <w:webHidden/>
          </w:rPr>
        </w:r>
        <w:r>
          <w:rPr>
            <w:webHidden/>
          </w:rPr>
          <w:fldChar w:fldCharType="separate"/>
        </w:r>
        <w:r w:rsidR="003361A8">
          <w:rPr>
            <w:webHidden/>
          </w:rPr>
          <w:t>93</w:t>
        </w:r>
        <w:r>
          <w:rPr>
            <w:webHidden/>
          </w:rPr>
          <w:fldChar w:fldCharType="end"/>
        </w:r>
      </w:hyperlink>
    </w:p>
    <w:p w:rsidR="00A3294E" w:rsidRDefault="00A3294E">
      <w:pPr>
        <w:pStyle w:val="TableofFigures"/>
        <w:rPr>
          <w:rFonts w:ascii="Calibri" w:hAnsi="Calibri"/>
          <w:sz w:val="22"/>
          <w:szCs w:val="22"/>
          <w:lang w:val="en-AU" w:eastAsia="en-AU"/>
        </w:rPr>
      </w:pPr>
      <w:hyperlink w:anchor="_Toc337546971" w:history="1">
        <w:r w:rsidRPr="005769E8">
          <w:rPr>
            <w:rStyle w:val="Hyperlink"/>
          </w:rPr>
          <w:t>Table 34</w:t>
        </w:r>
        <w:r>
          <w:rPr>
            <w:rFonts w:ascii="Calibri" w:hAnsi="Calibri"/>
            <w:sz w:val="22"/>
            <w:szCs w:val="22"/>
            <w:lang w:val="en-AU" w:eastAsia="en-AU"/>
          </w:rPr>
          <w:tab/>
        </w:r>
        <w:r w:rsidRPr="005769E8">
          <w:rPr>
            <w:rStyle w:val="Hyperlink"/>
          </w:rPr>
          <w:t>Test yield comparison (by cytology)—CC versus cell filtration LBC, NTCC trial age 24 to 60 years: Ronco 2007</w:t>
        </w:r>
        <w:r>
          <w:rPr>
            <w:webHidden/>
          </w:rPr>
          <w:tab/>
        </w:r>
        <w:r>
          <w:rPr>
            <w:webHidden/>
          </w:rPr>
          <w:fldChar w:fldCharType="begin"/>
        </w:r>
        <w:r>
          <w:rPr>
            <w:webHidden/>
          </w:rPr>
          <w:instrText xml:space="preserve"> PAGEREF _Toc337546971 \h </w:instrText>
        </w:r>
        <w:r>
          <w:rPr>
            <w:webHidden/>
          </w:rPr>
        </w:r>
        <w:r>
          <w:rPr>
            <w:webHidden/>
          </w:rPr>
          <w:fldChar w:fldCharType="separate"/>
        </w:r>
        <w:r w:rsidR="003361A8">
          <w:rPr>
            <w:webHidden/>
          </w:rPr>
          <w:t>94</w:t>
        </w:r>
        <w:r>
          <w:rPr>
            <w:webHidden/>
          </w:rPr>
          <w:fldChar w:fldCharType="end"/>
        </w:r>
      </w:hyperlink>
    </w:p>
    <w:p w:rsidR="00A3294E" w:rsidRDefault="00A3294E">
      <w:pPr>
        <w:pStyle w:val="TableofFigures"/>
        <w:rPr>
          <w:rFonts w:ascii="Calibri" w:hAnsi="Calibri"/>
          <w:sz w:val="22"/>
          <w:szCs w:val="22"/>
          <w:lang w:val="en-AU" w:eastAsia="en-AU"/>
        </w:rPr>
      </w:pPr>
      <w:hyperlink w:anchor="_Toc337546972" w:history="1">
        <w:r w:rsidRPr="005769E8">
          <w:rPr>
            <w:rStyle w:val="Hyperlink"/>
          </w:rPr>
          <w:t>Table 35</w:t>
        </w:r>
        <w:r>
          <w:rPr>
            <w:rFonts w:ascii="Calibri" w:hAnsi="Calibri"/>
            <w:sz w:val="22"/>
            <w:szCs w:val="22"/>
            <w:lang w:val="en-AU" w:eastAsia="en-AU"/>
          </w:rPr>
          <w:tab/>
        </w:r>
        <w:r w:rsidRPr="005769E8">
          <w:rPr>
            <w:rStyle w:val="Hyperlink"/>
          </w:rPr>
          <w:t>Test yield comparison (by cytology)—CC versus cell filtration LBC; NETHCON trial, Siebers 2008</w:t>
        </w:r>
        <w:r>
          <w:rPr>
            <w:webHidden/>
          </w:rPr>
          <w:tab/>
        </w:r>
        <w:r>
          <w:rPr>
            <w:webHidden/>
          </w:rPr>
          <w:fldChar w:fldCharType="begin"/>
        </w:r>
        <w:r>
          <w:rPr>
            <w:webHidden/>
          </w:rPr>
          <w:instrText xml:space="preserve"> PAGEREF _Toc337546972 \h </w:instrText>
        </w:r>
        <w:r>
          <w:rPr>
            <w:webHidden/>
          </w:rPr>
        </w:r>
        <w:r>
          <w:rPr>
            <w:webHidden/>
          </w:rPr>
          <w:fldChar w:fldCharType="separate"/>
        </w:r>
        <w:r w:rsidR="003361A8">
          <w:rPr>
            <w:webHidden/>
          </w:rPr>
          <w:t>95</w:t>
        </w:r>
        <w:r>
          <w:rPr>
            <w:webHidden/>
          </w:rPr>
          <w:fldChar w:fldCharType="end"/>
        </w:r>
      </w:hyperlink>
    </w:p>
    <w:p w:rsidR="00A3294E" w:rsidRDefault="00A3294E">
      <w:pPr>
        <w:pStyle w:val="TableofFigures"/>
        <w:rPr>
          <w:rFonts w:ascii="Calibri" w:hAnsi="Calibri"/>
          <w:sz w:val="22"/>
          <w:szCs w:val="22"/>
          <w:lang w:val="en-AU" w:eastAsia="en-AU"/>
        </w:rPr>
      </w:pPr>
      <w:hyperlink w:anchor="_Toc337546973" w:history="1">
        <w:r w:rsidRPr="005769E8">
          <w:rPr>
            <w:rStyle w:val="Hyperlink"/>
          </w:rPr>
          <w:t>Table 36</w:t>
        </w:r>
        <w:r>
          <w:rPr>
            <w:rFonts w:ascii="Calibri" w:hAnsi="Calibri"/>
            <w:sz w:val="22"/>
            <w:szCs w:val="22"/>
            <w:lang w:val="en-AU" w:eastAsia="en-AU"/>
          </w:rPr>
          <w:tab/>
        </w:r>
        <w:r w:rsidRPr="005769E8">
          <w:rPr>
            <w:rStyle w:val="Hyperlink"/>
          </w:rPr>
          <w:t>Test yield comparison (by cytology)—CC versus cell filtration LBC: Strander 2007</w:t>
        </w:r>
        <w:r>
          <w:rPr>
            <w:webHidden/>
          </w:rPr>
          <w:tab/>
        </w:r>
        <w:r>
          <w:rPr>
            <w:webHidden/>
          </w:rPr>
          <w:fldChar w:fldCharType="begin"/>
        </w:r>
        <w:r>
          <w:rPr>
            <w:webHidden/>
          </w:rPr>
          <w:instrText xml:space="preserve"> PAGEREF _Toc337546973 \h </w:instrText>
        </w:r>
        <w:r>
          <w:rPr>
            <w:webHidden/>
          </w:rPr>
        </w:r>
        <w:r>
          <w:rPr>
            <w:webHidden/>
          </w:rPr>
          <w:fldChar w:fldCharType="separate"/>
        </w:r>
        <w:r w:rsidR="003361A8">
          <w:rPr>
            <w:webHidden/>
          </w:rPr>
          <w:t>96</w:t>
        </w:r>
        <w:r>
          <w:rPr>
            <w:webHidden/>
          </w:rPr>
          <w:fldChar w:fldCharType="end"/>
        </w:r>
      </w:hyperlink>
    </w:p>
    <w:p w:rsidR="00A3294E" w:rsidRDefault="00A3294E">
      <w:pPr>
        <w:pStyle w:val="TableofFigures"/>
        <w:rPr>
          <w:rFonts w:ascii="Calibri" w:hAnsi="Calibri"/>
          <w:sz w:val="22"/>
          <w:szCs w:val="22"/>
          <w:lang w:val="en-AU" w:eastAsia="en-AU"/>
        </w:rPr>
      </w:pPr>
      <w:hyperlink w:anchor="_Toc337546974" w:history="1">
        <w:r w:rsidRPr="005769E8">
          <w:rPr>
            <w:rStyle w:val="Hyperlink"/>
          </w:rPr>
          <w:t>Table 37</w:t>
        </w:r>
        <w:r>
          <w:rPr>
            <w:rFonts w:ascii="Calibri" w:hAnsi="Calibri"/>
            <w:sz w:val="22"/>
            <w:szCs w:val="22"/>
            <w:lang w:val="en-AU" w:eastAsia="en-AU"/>
          </w:rPr>
          <w:tab/>
        </w:r>
        <w:r w:rsidRPr="005769E8">
          <w:rPr>
            <w:rStyle w:val="Hyperlink"/>
          </w:rPr>
          <w:t>Test yield comparison (by cytology)—CC versus cell filtration LBC: Maccallini 2008</w:t>
        </w:r>
        <w:r>
          <w:rPr>
            <w:webHidden/>
          </w:rPr>
          <w:tab/>
        </w:r>
        <w:r>
          <w:rPr>
            <w:webHidden/>
          </w:rPr>
          <w:fldChar w:fldCharType="begin"/>
        </w:r>
        <w:r>
          <w:rPr>
            <w:webHidden/>
          </w:rPr>
          <w:instrText xml:space="preserve"> PAGEREF _Toc337546974 \h </w:instrText>
        </w:r>
        <w:r>
          <w:rPr>
            <w:webHidden/>
          </w:rPr>
        </w:r>
        <w:r>
          <w:rPr>
            <w:webHidden/>
          </w:rPr>
          <w:fldChar w:fldCharType="separate"/>
        </w:r>
        <w:r w:rsidR="003361A8">
          <w:rPr>
            <w:webHidden/>
          </w:rPr>
          <w:t>97</w:t>
        </w:r>
        <w:r>
          <w:rPr>
            <w:webHidden/>
          </w:rPr>
          <w:fldChar w:fldCharType="end"/>
        </w:r>
      </w:hyperlink>
    </w:p>
    <w:p w:rsidR="00A3294E" w:rsidRDefault="00A3294E">
      <w:pPr>
        <w:pStyle w:val="TableofFigures"/>
        <w:rPr>
          <w:rFonts w:ascii="Calibri" w:hAnsi="Calibri"/>
          <w:sz w:val="22"/>
          <w:szCs w:val="22"/>
          <w:lang w:val="en-AU" w:eastAsia="en-AU"/>
        </w:rPr>
      </w:pPr>
      <w:hyperlink w:anchor="_Toc337546975" w:history="1">
        <w:r w:rsidRPr="005769E8">
          <w:rPr>
            <w:rStyle w:val="Hyperlink"/>
          </w:rPr>
          <w:t>Table 38</w:t>
        </w:r>
        <w:r>
          <w:rPr>
            <w:rFonts w:ascii="Calibri" w:hAnsi="Calibri"/>
            <w:sz w:val="22"/>
            <w:szCs w:val="22"/>
            <w:lang w:val="en-AU" w:eastAsia="en-AU"/>
          </w:rPr>
          <w:tab/>
        </w:r>
        <w:r w:rsidRPr="005769E8">
          <w:rPr>
            <w:rStyle w:val="Hyperlink"/>
          </w:rPr>
          <w:t>Test yield comparison (by cytology)—CC versus cell filtration LBC at both the laboratory of the investigator and the independent rescreen results: Obwegeser 2001</w:t>
        </w:r>
        <w:r>
          <w:rPr>
            <w:webHidden/>
          </w:rPr>
          <w:tab/>
        </w:r>
        <w:r>
          <w:rPr>
            <w:webHidden/>
          </w:rPr>
          <w:fldChar w:fldCharType="begin"/>
        </w:r>
        <w:r>
          <w:rPr>
            <w:webHidden/>
          </w:rPr>
          <w:instrText xml:space="preserve"> PAGEREF _Toc337546975 \h </w:instrText>
        </w:r>
        <w:r>
          <w:rPr>
            <w:webHidden/>
          </w:rPr>
        </w:r>
        <w:r>
          <w:rPr>
            <w:webHidden/>
          </w:rPr>
          <w:fldChar w:fldCharType="separate"/>
        </w:r>
        <w:r w:rsidR="003361A8">
          <w:rPr>
            <w:webHidden/>
          </w:rPr>
          <w:t>98</w:t>
        </w:r>
        <w:r>
          <w:rPr>
            <w:webHidden/>
          </w:rPr>
          <w:fldChar w:fldCharType="end"/>
        </w:r>
      </w:hyperlink>
    </w:p>
    <w:p w:rsidR="00A3294E" w:rsidRDefault="00A3294E">
      <w:pPr>
        <w:pStyle w:val="TableofFigures"/>
        <w:rPr>
          <w:rFonts w:ascii="Calibri" w:hAnsi="Calibri"/>
          <w:sz w:val="22"/>
          <w:szCs w:val="22"/>
          <w:lang w:val="en-AU" w:eastAsia="en-AU"/>
        </w:rPr>
      </w:pPr>
      <w:hyperlink w:anchor="_Toc337546976" w:history="1">
        <w:r w:rsidRPr="005769E8">
          <w:rPr>
            <w:rStyle w:val="Hyperlink"/>
          </w:rPr>
          <w:t>Table 39</w:t>
        </w:r>
        <w:r>
          <w:rPr>
            <w:rFonts w:ascii="Calibri" w:hAnsi="Calibri"/>
            <w:sz w:val="22"/>
            <w:szCs w:val="22"/>
            <w:lang w:val="en-AU" w:eastAsia="en-AU"/>
          </w:rPr>
          <w:tab/>
        </w:r>
        <w:r w:rsidRPr="005769E8">
          <w:rPr>
            <w:rStyle w:val="Hyperlink"/>
          </w:rPr>
          <w:t>Test Yield with conventional cytology by study</w:t>
        </w:r>
        <w:r>
          <w:rPr>
            <w:webHidden/>
          </w:rPr>
          <w:tab/>
        </w:r>
        <w:r>
          <w:rPr>
            <w:webHidden/>
          </w:rPr>
          <w:fldChar w:fldCharType="begin"/>
        </w:r>
        <w:r>
          <w:rPr>
            <w:webHidden/>
          </w:rPr>
          <w:instrText xml:space="preserve"> PAGEREF _Toc337546976 \h </w:instrText>
        </w:r>
        <w:r>
          <w:rPr>
            <w:webHidden/>
          </w:rPr>
        </w:r>
        <w:r>
          <w:rPr>
            <w:webHidden/>
          </w:rPr>
          <w:fldChar w:fldCharType="separate"/>
        </w:r>
        <w:r w:rsidR="003361A8">
          <w:rPr>
            <w:webHidden/>
          </w:rPr>
          <w:t>99</w:t>
        </w:r>
        <w:r>
          <w:rPr>
            <w:webHidden/>
          </w:rPr>
          <w:fldChar w:fldCharType="end"/>
        </w:r>
      </w:hyperlink>
    </w:p>
    <w:p w:rsidR="00A3294E" w:rsidRDefault="00A3294E">
      <w:pPr>
        <w:pStyle w:val="TableofFigures"/>
        <w:rPr>
          <w:rFonts w:ascii="Calibri" w:hAnsi="Calibri"/>
          <w:sz w:val="22"/>
          <w:szCs w:val="22"/>
          <w:lang w:val="en-AU" w:eastAsia="en-AU"/>
        </w:rPr>
      </w:pPr>
      <w:hyperlink w:anchor="_Toc337546977" w:history="1">
        <w:r w:rsidRPr="005769E8">
          <w:rPr>
            <w:rStyle w:val="Hyperlink"/>
          </w:rPr>
          <w:t>Table 40</w:t>
        </w:r>
        <w:r>
          <w:rPr>
            <w:rFonts w:ascii="Calibri" w:hAnsi="Calibri"/>
            <w:sz w:val="22"/>
            <w:szCs w:val="22"/>
            <w:lang w:val="en-AU" w:eastAsia="en-AU"/>
          </w:rPr>
          <w:tab/>
        </w:r>
        <w:r w:rsidRPr="005769E8">
          <w:rPr>
            <w:rStyle w:val="Hyperlink"/>
          </w:rPr>
          <w:t>Correlation between cytological and histological data—CC versus cell enrichment LBC: Beerman 2009</w:t>
        </w:r>
        <w:r>
          <w:rPr>
            <w:webHidden/>
          </w:rPr>
          <w:tab/>
        </w:r>
        <w:r>
          <w:rPr>
            <w:webHidden/>
          </w:rPr>
          <w:fldChar w:fldCharType="begin"/>
        </w:r>
        <w:r>
          <w:rPr>
            <w:webHidden/>
          </w:rPr>
          <w:instrText xml:space="preserve"> PAGEREF _Toc337546977 \h </w:instrText>
        </w:r>
        <w:r>
          <w:rPr>
            <w:webHidden/>
          </w:rPr>
        </w:r>
        <w:r>
          <w:rPr>
            <w:webHidden/>
          </w:rPr>
          <w:fldChar w:fldCharType="separate"/>
        </w:r>
        <w:r w:rsidR="003361A8">
          <w:rPr>
            <w:webHidden/>
          </w:rPr>
          <w:t>105</w:t>
        </w:r>
        <w:r>
          <w:rPr>
            <w:webHidden/>
          </w:rPr>
          <w:fldChar w:fldCharType="end"/>
        </w:r>
      </w:hyperlink>
    </w:p>
    <w:p w:rsidR="00A3294E" w:rsidRDefault="00A3294E">
      <w:pPr>
        <w:pStyle w:val="TableofFigures"/>
        <w:rPr>
          <w:rFonts w:ascii="Calibri" w:hAnsi="Calibri"/>
          <w:sz w:val="22"/>
          <w:szCs w:val="22"/>
          <w:lang w:val="en-AU" w:eastAsia="en-AU"/>
        </w:rPr>
      </w:pPr>
      <w:hyperlink w:anchor="_Toc337546978" w:history="1">
        <w:r w:rsidRPr="005769E8">
          <w:rPr>
            <w:rStyle w:val="Hyperlink"/>
          </w:rPr>
          <w:t>Table 41</w:t>
        </w:r>
        <w:r>
          <w:rPr>
            <w:rFonts w:ascii="Calibri" w:hAnsi="Calibri"/>
            <w:sz w:val="22"/>
            <w:szCs w:val="22"/>
            <w:lang w:val="en-AU" w:eastAsia="en-AU"/>
          </w:rPr>
          <w:tab/>
        </w:r>
        <w:r w:rsidRPr="005769E8">
          <w:rPr>
            <w:rStyle w:val="Hyperlink"/>
          </w:rPr>
          <w:t>Correlation between cytological and histological data—CC versus cell filtration LBC; NTCC trial, ages 25 to 34 years: Ronco 2006a</w:t>
        </w:r>
        <w:r>
          <w:rPr>
            <w:webHidden/>
          </w:rPr>
          <w:tab/>
        </w:r>
        <w:r>
          <w:rPr>
            <w:webHidden/>
          </w:rPr>
          <w:fldChar w:fldCharType="begin"/>
        </w:r>
        <w:r>
          <w:rPr>
            <w:webHidden/>
          </w:rPr>
          <w:instrText xml:space="preserve"> PAGEREF _Toc337546978 \h </w:instrText>
        </w:r>
        <w:r>
          <w:rPr>
            <w:webHidden/>
          </w:rPr>
        </w:r>
        <w:r>
          <w:rPr>
            <w:webHidden/>
          </w:rPr>
          <w:fldChar w:fldCharType="separate"/>
        </w:r>
        <w:r w:rsidR="003361A8">
          <w:rPr>
            <w:webHidden/>
          </w:rPr>
          <w:t>107</w:t>
        </w:r>
        <w:r>
          <w:rPr>
            <w:webHidden/>
          </w:rPr>
          <w:fldChar w:fldCharType="end"/>
        </w:r>
      </w:hyperlink>
    </w:p>
    <w:p w:rsidR="00A3294E" w:rsidRDefault="00A3294E">
      <w:pPr>
        <w:pStyle w:val="TableofFigures"/>
        <w:rPr>
          <w:rFonts w:ascii="Calibri" w:hAnsi="Calibri"/>
          <w:sz w:val="22"/>
          <w:szCs w:val="22"/>
          <w:lang w:val="en-AU" w:eastAsia="en-AU"/>
        </w:rPr>
      </w:pPr>
      <w:hyperlink w:anchor="_Toc337546979" w:history="1">
        <w:r w:rsidRPr="005769E8">
          <w:rPr>
            <w:rStyle w:val="Hyperlink"/>
          </w:rPr>
          <w:t>Table 42</w:t>
        </w:r>
        <w:r>
          <w:rPr>
            <w:rFonts w:ascii="Calibri" w:hAnsi="Calibri"/>
            <w:sz w:val="22"/>
            <w:szCs w:val="22"/>
            <w:lang w:val="en-AU" w:eastAsia="en-AU"/>
          </w:rPr>
          <w:tab/>
        </w:r>
        <w:r w:rsidRPr="005769E8">
          <w:rPr>
            <w:rStyle w:val="Hyperlink"/>
          </w:rPr>
          <w:t>Correlation between cytological and histological data—CC versus cell filtration LBC; NTCC trial, ages 35 to 60 years: Ronco 2006b</w:t>
        </w:r>
        <w:r>
          <w:rPr>
            <w:webHidden/>
          </w:rPr>
          <w:tab/>
        </w:r>
        <w:r>
          <w:rPr>
            <w:webHidden/>
          </w:rPr>
          <w:fldChar w:fldCharType="begin"/>
        </w:r>
        <w:r>
          <w:rPr>
            <w:webHidden/>
          </w:rPr>
          <w:instrText xml:space="preserve"> PAGEREF _Toc337546979 \h </w:instrText>
        </w:r>
        <w:r>
          <w:rPr>
            <w:webHidden/>
          </w:rPr>
        </w:r>
        <w:r>
          <w:rPr>
            <w:webHidden/>
          </w:rPr>
          <w:fldChar w:fldCharType="separate"/>
        </w:r>
        <w:r w:rsidR="003361A8">
          <w:rPr>
            <w:webHidden/>
          </w:rPr>
          <w:t>108</w:t>
        </w:r>
        <w:r>
          <w:rPr>
            <w:webHidden/>
          </w:rPr>
          <w:fldChar w:fldCharType="end"/>
        </w:r>
      </w:hyperlink>
    </w:p>
    <w:p w:rsidR="00A3294E" w:rsidRDefault="00A3294E">
      <w:pPr>
        <w:pStyle w:val="TableofFigures"/>
        <w:rPr>
          <w:rFonts w:ascii="Calibri" w:hAnsi="Calibri"/>
          <w:sz w:val="22"/>
          <w:szCs w:val="22"/>
          <w:lang w:val="en-AU" w:eastAsia="en-AU"/>
        </w:rPr>
      </w:pPr>
      <w:hyperlink w:anchor="_Toc337546980" w:history="1">
        <w:r w:rsidRPr="005769E8">
          <w:rPr>
            <w:rStyle w:val="Hyperlink"/>
          </w:rPr>
          <w:t>Table 43</w:t>
        </w:r>
        <w:r>
          <w:rPr>
            <w:rFonts w:ascii="Calibri" w:hAnsi="Calibri"/>
            <w:sz w:val="22"/>
            <w:szCs w:val="22"/>
            <w:lang w:val="en-AU" w:eastAsia="en-AU"/>
          </w:rPr>
          <w:tab/>
        </w:r>
        <w:r w:rsidRPr="005769E8">
          <w:rPr>
            <w:rStyle w:val="Hyperlink"/>
          </w:rPr>
          <w:t>Correlation between cytological and verified follow up outcome</w:t>
        </w:r>
        <w:r w:rsidRPr="005769E8">
          <w:rPr>
            <w:rStyle w:val="Hyperlink"/>
            <w:vertAlign w:val="superscript"/>
          </w:rPr>
          <w:t>a</w:t>
        </w:r>
        <w:r w:rsidRPr="005769E8">
          <w:rPr>
            <w:rStyle w:val="Hyperlink"/>
          </w:rPr>
          <w:t>—CC versus cell filtration LBC; NETHCON trial: Siebers 2009</w:t>
        </w:r>
        <w:r>
          <w:rPr>
            <w:webHidden/>
          </w:rPr>
          <w:tab/>
        </w:r>
        <w:r>
          <w:rPr>
            <w:webHidden/>
          </w:rPr>
          <w:fldChar w:fldCharType="begin"/>
        </w:r>
        <w:r>
          <w:rPr>
            <w:webHidden/>
          </w:rPr>
          <w:instrText xml:space="preserve"> PAGEREF _Toc337546980 \h </w:instrText>
        </w:r>
        <w:r>
          <w:rPr>
            <w:webHidden/>
          </w:rPr>
        </w:r>
        <w:r>
          <w:rPr>
            <w:webHidden/>
          </w:rPr>
          <w:fldChar w:fldCharType="separate"/>
        </w:r>
        <w:r w:rsidR="003361A8">
          <w:rPr>
            <w:webHidden/>
          </w:rPr>
          <w:t>110</w:t>
        </w:r>
        <w:r>
          <w:rPr>
            <w:webHidden/>
          </w:rPr>
          <w:fldChar w:fldCharType="end"/>
        </w:r>
      </w:hyperlink>
    </w:p>
    <w:p w:rsidR="00A3294E" w:rsidRDefault="00A3294E">
      <w:pPr>
        <w:pStyle w:val="TableofFigures"/>
        <w:rPr>
          <w:rFonts w:ascii="Calibri" w:hAnsi="Calibri"/>
          <w:sz w:val="22"/>
          <w:szCs w:val="22"/>
          <w:lang w:val="en-AU" w:eastAsia="en-AU"/>
        </w:rPr>
      </w:pPr>
      <w:hyperlink w:anchor="_Toc337546981" w:history="1">
        <w:r w:rsidRPr="005769E8">
          <w:rPr>
            <w:rStyle w:val="Hyperlink"/>
          </w:rPr>
          <w:t>Table 44</w:t>
        </w:r>
        <w:r>
          <w:rPr>
            <w:rFonts w:ascii="Calibri" w:hAnsi="Calibri"/>
            <w:sz w:val="22"/>
            <w:szCs w:val="22"/>
            <w:lang w:val="en-AU" w:eastAsia="en-AU"/>
          </w:rPr>
          <w:tab/>
        </w:r>
        <w:r w:rsidRPr="005769E8">
          <w:rPr>
            <w:rStyle w:val="Hyperlink"/>
          </w:rPr>
          <w:t>Correlation between cytological and histological data—CC versus cell filtration LBC</w:t>
        </w:r>
        <w:r w:rsidRPr="005769E8">
          <w:rPr>
            <w:rStyle w:val="Hyperlink"/>
            <w:vertAlign w:val="superscript"/>
          </w:rPr>
          <w:t>a</w:t>
        </w:r>
        <w:r w:rsidRPr="005769E8">
          <w:rPr>
            <w:rStyle w:val="Hyperlink"/>
          </w:rPr>
          <w:t>: Strander 2007</w:t>
        </w:r>
        <w:r>
          <w:rPr>
            <w:webHidden/>
          </w:rPr>
          <w:tab/>
        </w:r>
        <w:r>
          <w:rPr>
            <w:webHidden/>
          </w:rPr>
          <w:fldChar w:fldCharType="begin"/>
        </w:r>
        <w:r>
          <w:rPr>
            <w:webHidden/>
          </w:rPr>
          <w:instrText xml:space="preserve"> PAGEREF _Toc337546981 \h </w:instrText>
        </w:r>
        <w:r>
          <w:rPr>
            <w:webHidden/>
          </w:rPr>
        </w:r>
        <w:r>
          <w:rPr>
            <w:webHidden/>
          </w:rPr>
          <w:fldChar w:fldCharType="separate"/>
        </w:r>
        <w:r w:rsidR="003361A8">
          <w:rPr>
            <w:webHidden/>
          </w:rPr>
          <w:t>113</w:t>
        </w:r>
        <w:r>
          <w:rPr>
            <w:webHidden/>
          </w:rPr>
          <w:fldChar w:fldCharType="end"/>
        </w:r>
      </w:hyperlink>
    </w:p>
    <w:p w:rsidR="00A3294E" w:rsidRDefault="00A3294E">
      <w:pPr>
        <w:pStyle w:val="TableofFigures"/>
        <w:rPr>
          <w:rFonts w:ascii="Calibri" w:hAnsi="Calibri"/>
          <w:sz w:val="22"/>
          <w:szCs w:val="22"/>
          <w:lang w:val="en-AU" w:eastAsia="en-AU"/>
        </w:rPr>
      </w:pPr>
      <w:hyperlink w:anchor="_Toc337546982" w:history="1">
        <w:r w:rsidRPr="005769E8">
          <w:rPr>
            <w:rStyle w:val="Hyperlink"/>
          </w:rPr>
          <w:t>Table 45</w:t>
        </w:r>
        <w:r>
          <w:rPr>
            <w:rFonts w:ascii="Calibri" w:hAnsi="Calibri"/>
            <w:sz w:val="22"/>
            <w:szCs w:val="22"/>
            <w:lang w:val="en-AU" w:eastAsia="en-AU"/>
          </w:rPr>
          <w:tab/>
        </w:r>
        <w:r w:rsidRPr="005769E8">
          <w:rPr>
            <w:rStyle w:val="Hyperlink"/>
          </w:rPr>
          <w:t>Detection rate of HSIL identified from cc versus cell filtration LBC on two follow up occasions: Strander 2007</w:t>
        </w:r>
        <w:r>
          <w:rPr>
            <w:webHidden/>
          </w:rPr>
          <w:tab/>
        </w:r>
        <w:r>
          <w:rPr>
            <w:webHidden/>
          </w:rPr>
          <w:fldChar w:fldCharType="begin"/>
        </w:r>
        <w:r>
          <w:rPr>
            <w:webHidden/>
          </w:rPr>
          <w:instrText xml:space="preserve"> PAGEREF _Toc337546982 \h </w:instrText>
        </w:r>
        <w:r>
          <w:rPr>
            <w:webHidden/>
          </w:rPr>
        </w:r>
        <w:r>
          <w:rPr>
            <w:webHidden/>
          </w:rPr>
          <w:fldChar w:fldCharType="separate"/>
        </w:r>
        <w:r w:rsidR="003361A8">
          <w:rPr>
            <w:webHidden/>
          </w:rPr>
          <w:t>114</w:t>
        </w:r>
        <w:r>
          <w:rPr>
            <w:webHidden/>
          </w:rPr>
          <w:fldChar w:fldCharType="end"/>
        </w:r>
      </w:hyperlink>
    </w:p>
    <w:p w:rsidR="00A3294E" w:rsidRDefault="00A3294E">
      <w:pPr>
        <w:pStyle w:val="TableofFigures"/>
        <w:rPr>
          <w:rFonts w:ascii="Calibri" w:hAnsi="Calibri"/>
          <w:sz w:val="22"/>
          <w:szCs w:val="22"/>
          <w:lang w:val="en-AU" w:eastAsia="en-AU"/>
        </w:rPr>
      </w:pPr>
      <w:hyperlink w:anchor="_Toc337546983" w:history="1">
        <w:r w:rsidRPr="005769E8">
          <w:rPr>
            <w:rStyle w:val="Hyperlink"/>
          </w:rPr>
          <w:t>Table 46</w:t>
        </w:r>
        <w:r>
          <w:rPr>
            <w:rFonts w:ascii="Calibri" w:hAnsi="Calibri"/>
            <w:sz w:val="22"/>
            <w:szCs w:val="22"/>
            <w:lang w:val="en-AU" w:eastAsia="en-AU"/>
          </w:rPr>
          <w:tab/>
        </w:r>
        <w:r w:rsidRPr="005769E8">
          <w:rPr>
            <w:rStyle w:val="Hyperlink"/>
          </w:rPr>
          <w:t>CIN 2+ detection rate: CC versus cell filtration LBC: Maccallini 2008</w:t>
        </w:r>
        <w:r>
          <w:rPr>
            <w:webHidden/>
          </w:rPr>
          <w:tab/>
        </w:r>
        <w:r>
          <w:rPr>
            <w:webHidden/>
          </w:rPr>
          <w:fldChar w:fldCharType="begin"/>
        </w:r>
        <w:r>
          <w:rPr>
            <w:webHidden/>
          </w:rPr>
          <w:instrText xml:space="preserve"> PAGEREF _Toc337546983 \h </w:instrText>
        </w:r>
        <w:r>
          <w:rPr>
            <w:webHidden/>
          </w:rPr>
        </w:r>
        <w:r>
          <w:rPr>
            <w:webHidden/>
          </w:rPr>
          <w:fldChar w:fldCharType="separate"/>
        </w:r>
        <w:r w:rsidR="003361A8">
          <w:rPr>
            <w:webHidden/>
          </w:rPr>
          <w:t>114</w:t>
        </w:r>
        <w:r>
          <w:rPr>
            <w:webHidden/>
          </w:rPr>
          <w:fldChar w:fldCharType="end"/>
        </w:r>
      </w:hyperlink>
    </w:p>
    <w:p w:rsidR="00A3294E" w:rsidRDefault="00A3294E">
      <w:pPr>
        <w:pStyle w:val="TableofFigures"/>
        <w:rPr>
          <w:rFonts w:ascii="Calibri" w:hAnsi="Calibri"/>
          <w:sz w:val="22"/>
          <w:szCs w:val="22"/>
          <w:lang w:val="en-AU" w:eastAsia="en-AU"/>
        </w:rPr>
      </w:pPr>
      <w:hyperlink w:anchor="_Toc337546984" w:history="1">
        <w:r w:rsidRPr="005769E8">
          <w:rPr>
            <w:rStyle w:val="Hyperlink"/>
          </w:rPr>
          <w:t>Table 47</w:t>
        </w:r>
        <w:r>
          <w:rPr>
            <w:rFonts w:ascii="Calibri" w:hAnsi="Calibri"/>
            <w:sz w:val="22"/>
            <w:szCs w:val="22"/>
            <w:lang w:val="en-AU" w:eastAsia="en-AU"/>
          </w:rPr>
          <w:tab/>
        </w:r>
        <w:r w:rsidRPr="005769E8">
          <w:rPr>
            <w:rStyle w:val="Hyperlink"/>
          </w:rPr>
          <w:t>Correlation between cytological and histological data of HSIL cases—CC versus cell filtration LBC: Obwegeser 2001</w:t>
        </w:r>
        <w:r>
          <w:rPr>
            <w:webHidden/>
          </w:rPr>
          <w:tab/>
        </w:r>
        <w:r>
          <w:rPr>
            <w:webHidden/>
          </w:rPr>
          <w:fldChar w:fldCharType="begin"/>
        </w:r>
        <w:r>
          <w:rPr>
            <w:webHidden/>
          </w:rPr>
          <w:instrText xml:space="preserve"> PAGEREF _Toc337546984 \h </w:instrText>
        </w:r>
        <w:r>
          <w:rPr>
            <w:webHidden/>
          </w:rPr>
        </w:r>
        <w:r>
          <w:rPr>
            <w:webHidden/>
          </w:rPr>
          <w:fldChar w:fldCharType="separate"/>
        </w:r>
        <w:r w:rsidR="003361A8">
          <w:rPr>
            <w:webHidden/>
          </w:rPr>
          <w:t>115</w:t>
        </w:r>
        <w:r>
          <w:rPr>
            <w:webHidden/>
          </w:rPr>
          <w:fldChar w:fldCharType="end"/>
        </w:r>
      </w:hyperlink>
    </w:p>
    <w:p w:rsidR="00A3294E" w:rsidRDefault="00A3294E">
      <w:pPr>
        <w:pStyle w:val="TableofFigures"/>
        <w:rPr>
          <w:rFonts w:ascii="Calibri" w:hAnsi="Calibri"/>
          <w:sz w:val="22"/>
          <w:szCs w:val="22"/>
          <w:lang w:val="en-AU" w:eastAsia="en-AU"/>
        </w:rPr>
      </w:pPr>
      <w:hyperlink w:anchor="_Toc337546985" w:history="1">
        <w:r w:rsidRPr="005769E8">
          <w:rPr>
            <w:rStyle w:val="Hyperlink"/>
          </w:rPr>
          <w:t>Table 48</w:t>
        </w:r>
        <w:r>
          <w:rPr>
            <w:rFonts w:ascii="Calibri" w:hAnsi="Calibri"/>
            <w:sz w:val="22"/>
            <w:szCs w:val="22"/>
            <w:lang w:val="en-AU" w:eastAsia="en-AU"/>
          </w:rPr>
          <w:tab/>
        </w:r>
        <w:r w:rsidRPr="005769E8">
          <w:rPr>
            <w:rStyle w:val="Hyperlink"/>
          </w:rPr>
          <w:t>Contingency table—cell enrichment LBC: Beerman 2009</w:t>
        </w:r>
        <w:r>
          <w:rPr>
            <w:webHidden/>
          </w:rPr>
          <w:tab/>
        </w:r>
        <w:r>
          <w:rPr>
            <w:webHidden/>
          </w:rPr>
          <w:fldChar w:fldCharType="begin"/>
        </w:r>
        <w:r>
          <w:rPr>
            <w:webHidden/>
          </w:rPr>
          <w:instrText xml:space="preserve"> PAGEREF _Toc337546985 \h </w:instrText>
        </w:r>
        <w:r>
          <w:rPr>
            <w:webHidden/>
          </w:rPr>
        </w:r>
        <w:r>
          <w:rPr>
            <w:webHidden/>
          </w:rPr>
          <w:fldChar w:fldCharType="separate"/>
        </w:r>
        <w:r w:rsidR="003361A8">
          <w:rPr>
            <w:webHidden/>
          </w:rPr>
          <w:t>117</w:t>
        </w:r>
        <w:r>
          <w:rPr>
            <w:webHidden/>
          </w:rPr>
          <w:fldChar w:fldCharType="end"/>
        </w:r>
      </w:hyperlink>
    </w:p>
    <w:p w:rsidR="00A3294E" w:rsidRDefault="00A3294E">
      <w:pPr>
        <w:pStyle w:val="TableofFigures"/>
        <w:rPr>
          <w:rFonts w:ascii="Calibri" w:hAnsi="Calibri"/>
          <w:sz w:val="22"/>
          <w:szCs w:val="22"/>
          <w:lang w:val="en-AU" w:eastAsia="en-AU"/>
        </w:rPr>
      </w:pPr>
      <w:hyperlink w:anchor="_Toc337546986" w:history="1">
        <w:r w:rsidRPr="005769E8">
          <w:rPr>
            <w:rStyle w:val="Hyperlink"/>
          </w:rPr>
          <w:t>Table 49</w:t>
        </w:r>
        <w:r>
          <w:rPr>
            <w:rFonts w:ascii="Calibri" w:hAnsi="Calibri"/>
            <w:sz w:val="22"/>
            <w:szCs w:val="22"/>
            <w:lang w:val="en-AU" w:eastAsia="en-AU"/>
          </w:rPr>
          <w:tab/>
        </w:r>
        <w:r w:rsidRPr="005769E8">
          <w:rPr>
            <w:rStyle w:val="Hyperlink"/>
          </w:rPr>
          <w:t>Contingency table—CC: Beerman 2009</w:t>
        </w:r>
        <w:r>
          <w:rPr>
            <w:webHidden/>
          </w:rPr>
          <w:tab/>
        </w:r>
        <w:r>
          <w:rPr>
            <w:webHidden/>
          </w:rPr>
          <w:fldChar w:fldCharType="begin"/>
        </w:r>
        <w:r>
          <w:rPr>
            <w:webHidden/>
          </w:rPr>
          <w:instrText xml:space="preserve"> PAGEREF _Toc337546986 \h </w:instrText>
        </w:r>
        <w:r>
          <w:rPr>
            <w:webHidden/>
          </w:rPr>
        </w:r>
        <w:r>
          <w:rPr>
            <w:webHidden/>
          </w:rPr>
          <w:fldChar w:fldCharType="separate"/>
        </w:r>
        <w:r w:rsidR="003361A8">
          <w:rPr>
            <w:webHidden/>
          </w:rPr>
          <w:t>117</w:t>
        </w:r>
        <w:r>
          <w:rPr>
            <w:webHidden/>
          </w:rPr>
          <w:fldChar w:fldCharType="end"/>
        </w:r>
      </w:hyperlink>
    </w:p>
    <w:p w:rsidR="00A3294E" w:rsidRDefault="00A3294E">
      <w:pPr>
        <w:pStyle w:val="TableofFigures"/>
        <w:rPr>
          <w:rFonts w:ascii="Calibri" w:hAnsi="Calibri"/>
          <w:sz w:val="22"/>
          <w:szCs w:val="22"/>
          <w:lang w:val="en-AU" w:eastAsia="en-AU"/>
        </w:rPr>
      </w:pPr>
      <w:hyperlink w:anchor="_Toc337546987" w:history="1">
        <w:r w:rsidRPr="005769E8">
          <w:rPr>
            <w:rStyle w:val="Hyperlink"/>
          </w:rPr>
          <w:t>Table 50</w:t>
        </w:r>
        <w:r>
          <w:rPr>
            <w:rFonts w:ascii="Calibri" w:hAnsi="Calibri"/>
            <w:sz w:val="22"/>
            <w:szCs w:val="22"/>
            <w:lang w:val="en-AU" w:eastAsia="en-AU"/>
          </w:rPr>
          <w:tab/>
        </w:r>
        <w:r w:rsidRPr="005769E8">
          <w:rPr>
            <w:rStyle w:val="Hyperlink"/>
          </w:rPr>
          <w:t>Sensitivity and specificity—CC versus cell enrichment LBC: Beerman 2009</w:t>
        </w:r>
        <w:r>
          <w:rPr>
            <w:webHidden/>
          </w:rPr>
          <w:tab/>
        </w:r>
        <w:r>
          <w:rPr>
            <w:webHidden/>
          </w:rPr>
          <w:fldChar w:fldCharType="begin"/>
        </w:r>
        <w:r>
          <w:rPr>
            <w:webHidden/>
          </w:rPr>
          <w:instrText xml:space="preserve"> PAGEREF _Toc337546987 \h </w:instrText>
        </w:r>
        <w:r>
          <w:rPr>
            <w:webHidden/>
          </w:rPr>
        </w:r>
        <w:r>
          <w:rPr>
            <w:webHidden/>
          </w:rPr>
          <w:fldChar w:fldCharType="separate"/>
        </w:r>
        <w:r w:rsidR="003361A8">
          <w:rPr>
            <w:webHidden/>
          </w:rPr>
          <w:t>118</w:t>
        </w:r>
        <w:r>
          <w:rPr>
            <w:webHidden/>
          </w:rPr>
          <w:fldChar w:fldCharType="end"/>
        </w:r>
      </w:hyperlink>
    </w:p>
    <w:p w:rsidR="00A3294E" w:rsidRDefault="00A3294E">
      <w:pPr>
        <w:pStyle w:val="TableofFigures"/>
        <w:rPr>
          <w:rFonts w:ascii="Calibri" w:hAnsi="Calibri"/>
          <w:sz w:val="22"/>
          <w:szCs w:val="22"/>
          <w:lang w:val="en-AU" w:eastAsia="en-AU"/>
        </w:rPr>
      </w:pPr>
      <w:hyperlink w:anchor="_Toc337546988" w:history="1">
        <w:r w:rsidRPr="005769E8">
          <w:rPr>
            <w:rStyle w:val="Hyperlink"/>
          </w:rPr>
          <w:t>Table 51</w:t>
        </w:r>
        <w:r>
          <w:rPr>
            <w:rFonts w:ascii="Calibri" w:hAnsi="Calibri"/>
            <w:sz w:val="22"/>
            <w:szCs w:val="22"/>
            <w:lang w:val="en-AU" w:eastAsia="en-AU"/>
          </w:rPr>
          <w:tab/>
        </w:r>
        <w:r w:rsidRPr="005769E8">
          <w:rPr>
            <w:rStyle w:val="Hyperlink"/>
          </w:rPr>
          <w:t>Contingency table—cell filtration LBC:  Strander 2007</w:t>
        </w:r>
        <w:r>
          <w:rPr>
            <w:webHidden/>
          </w:rPr>
          <w:tab/>
        </w:r>
        <w:r>
          <w:rPr>
            <w:webHidden/>
          </w:rPr>
          <w:fldChar w:fldCharType="begin"/>
        </w:r>
        <w:r>
          <w:rPr>
            <w:webHidden/>
          </w:rPr>
          <w:instrText xml:space="preserve"> PAGEREF _Toc337546988 \h </w:instrText>
        </w:r>
        <w:r>
          <w:rPr>
            <w:webHidden/>
          </w:rPr>
        </w:r>
        <w:r>
          <w:rPr>
            <w:webHidden/>
          </w:rPr>
          <w:fldChar w:fldCharType="separate"/>
        </w:r>
        <w:r w:rsidR="003361A8">
          <w:rPr>
            <w:webHidden/>
          </w:rPr>
          <w:t>119</w:t>
        </w:r>
        <w:r>
          <w:rPr>
            <w:webHidden/>
          </w:rPr>
          <w:fldChar w:fldCharType="end"/>
        </w:r>
      </w:hyperlink>
    </w:p>
    <w:p w:rsidR="00A3294E" w:rsidRDefault="00A3294E">
      <w:pPr>
        <w:pStyle w:val="TableofFigures"/>
        <w:rPr>
          <w:rFonts w:ascii="Calibri" w:hAnsi="Calibri"/>
          <w:sz w:val="22"/>
          <w:szCs w:val="22"/>
          <w:lang w:val="en-AU" w:eastAsia="en-AU"/>
        </w:rPr>
      </w:pPr>
      <w:hyperlink w:anchor="_Toc337546989" w:history="1">
        <w:r w:rsidRPr="005769E8">
          <w:rPr>
            <w:rStyle w:val="Hyperlink"/>
          </w:rPr>
          <w:t>Table 52</w:t>
        </w:r>
        <w:r>
          <w:rPr>
            <w:rFonts w:ascii="Calibri" w:hAnsi="Calibri"/>
            <w:sz w:val="22"/>
            <w:szCs w:val="22"/>
            <w:lang w:val="en-AU" w:eastAsia="en-AU"/>
          </w:rPr>
          <w:tab/>
        </w:r>
        <w:r w:rsidRPr="005769E8">
          <w:rPr>
            <w:rStyle w:val="Hyperlink"/>
          </w:rPr>
          <w:t>Contingency table—CC: Strander 2007</w:t>
        </w:r>
        <w:r>
          <w:rPr>
            <w:webHidden/>
          </w:rPr>
          <w:tab/>
        </w:r>
        <w:r>
          <w:rPr>
            <w:webHidden/>
          </w:rPr>
          <w:fldChar w:fldCharType="begin"/>
        </w:r>
        <w:r>
          <w:rPr>
            <w:webHidden/>
          </w:rPr>
          <w:instrText xml:space="preserve"> PAGEREF _Toc337546989 \h </w:instrText>
        </w:r>
        <w:r>
          <w:rPr>
            <w:webHidden/>
          </w:rPr>
        </w:r>
        <w:r>
          <w:rPr>
            <w:webHidden/>
          </w:rPr>
          <w:fldChar w:fldCharType="separate"/>
        </w:r>
        <w:r w:rsidR="003361A8">
          <w:rPr>
            <w:webHidden/>
          </w:rPr>
          <w:t>119</w:t>
        </w:r>
        <w:r>
          <w:rPr>
            <w:webHidden/>
          </w:rPr>
          <w:fldChar w:fldCharType="end"/>
        </w:r>
      </w:hyperlink>
    </w:p>
    <w:p w:rsidR="00A3294E" w:rsidRDefault="00A3294E">
      <w:pPr>
        <w:pStyle w:val="TableofFigures"/>
        <w:rPr>
          <w:rFonts w:ascii="Calibri" w:hAnsi="Calibri"/>
          <w:sz w:val="22"/>
          <w:szCs w:val="22"/>
          <w:lang w:val="en-AU" w:eastAsia="en-AU"/>
        </w:rPr>
      </w:pPr>
      <w:hyperlink w:anchor="_Toc337546990" w:history="1">
        <w:r w:rsidRPr="005769E8">
          <w:rPr>
            <w:rStyle w:val="Hyperlink"/>
          </w:rPr>
          <w:t>Table 53</w:t>
        </w:r>
        <w:r>
          <w:rPr>
            <w:rFonts w:ascii="Calibri" w:hAnsi="Calibri"/>
            <w:sz w:val="22"/>
            <w:szCs w:val="22"/>
            <w:lang w:val="en-AU" w:eastAsia="en-AU"/>
          </w:rPr>
          <w:tab/>
        </w:r>
        <w:r w:rsidRPr="005769E8">
          <w:rPr>
            <w:rStyle w:val="Hyperlink"/>
          </w:rPr>
          <w:t>Sensitivity and specificity—CC versus cell filtration LBC: Strander 2007</w:t>
        </w:r>
        <w:r>
          <w:rPr>
            <w:webHidden/>
          </w:rPr>
          <w:tab/>
        </w:r>
        <w:r>
          <w:rPr>
            <w:webHidden/>
          </w:rPr>
          <w:fldChar w:fldCharType="begin"/>
        </w:r>
        <w:r>
          <w:rPr>
            <w:webHidden/>
          </w:rPr>
          <w:instrText xml:space="preserve"> PAGEREF _Toc337546990 \h </w:instrText>
        </w:r>
        <w:r>
          <w:rPr>
            <w:webHidden/>
          </w:rPr>
        </w:r>
        <w:r>
          <w:rPr>
            <w:webHidden/>
          </w:rPr>
          <w:fldChar w:fldCharType="separate"/>
        </w:r>
        <w:r w:rsidR="003361A8">
          <w:rPr>
            <w:webHidden/>
          </w:rPr>
          <w:t>120</w:t>
        </w:r>
        <w:r>
          <w:rPr>
            <w:webHidden/>
          </w:rPr>
          <w:fldChar w:fldCharType="end"/>
        </w:r>
      </w:hyperlink>
    </w:p>
    <w:p w:rsidR="00A3294E" w:rsidRDefault="00A3294E">
      <w:pPr>
        <w:pStyle w:val="TableofFigures"/>
        <w:rPr>
          <w:rFonts w:ascii="Calibri" w:hAnsi="Calibri"/>
          <w:sz w:val="22"/>
          <w:szCs w:val="22"/>
          <w:lang w:val="en-AU" w:eastAsia="en-AU"/>
        </w:rPr>
      </w:pPr>
      <w:hyperlink w:anchor="_Toc337546991" w:history="1">
        <w:r w:rsidRPr="005769E8">
          <w:rPr>
            <w:rStyle w:val="Hyperlink"/>
          </w:rPr>
          <w:t>Table 54</w:t>
        </w:r>
        <w:r>
          <w:rPr>
            <w:rFonts w:ascii="Calibri" w:hAnsi="Calibri"/>
            <w:sz w:val="22"/>
            <w:szCs w:val="22"/>
            <w:lang w:val="en-AU" w:eastAsia="en-AU"/>
          </w:rPr>
          <w:tab/>
        </w:r>
        <w:r w:rsidRPr="005769E8">
          <w:rPr>
            <w:rStyle w:val="Hyperlink"/>
          </w:rPr>
          <w:t>Relative sensitivity—CC versus cell filtration LBC; NTCC trial, age 24–60 years: Ronco 2007</w:t>
        </w:r>
        <w:r>
          <w:rPr>
            <w:webHidden/>
          </w:rPr>
          <w:tab/>
        </w:r>
        <w:r>
          <w:rPr>
            <w:webHidden/>
          </w:rPr>
          <w:fldChar w:fldCharType="begin"/>
        </w:r>
        <w:r>
          <w:rPr>
            <w:webHidden/>
          </w:rPr>
          <w:instrText xml:space="preserve"> PAGEREF _Toc337546991 \h </w:instrText>
        </w:r>
        <w:r>
          <w:rPr>
            <w:webHidden/>
          </w:rPr>
        </w:r>
        <w:r>
          <w:rPr>
            <w:webHidden/>
          </w:rPr>
          <w:fldChar w:fldCharType="separate"/>
        </w:r>
        <w:r w:rsidR="003361A8">
          <w:rPr>
            <w:webHidden/>
          </w:rPr>
          <w:t>121</w:t>
        </w:r>
        <w:r>
          <w:rPr>
            <w:webHidden/>
          </w:rPr>
          <w:fldChar w:fldCharType="end"/>
        </w:r>
      </w:hyperlink>
    </w:p>
    <w:p w:rsidR="00A3294E" w:rsidRDefault="00A3294E">
      <w:pPr>
        <w:pStyle w:val="TableofFigures"/>
        <w:rPr>
          <w:rFonts w:ascii="Calibri" w:hAnsi="Calibri"/>
          <w:sz w:val="22"/>
          <w:szCs w:val="22"/>
          <w:lang w:val="en-AU" w:eastAsia="en-AU"/>
        </w:rPr>
      </w:pPr>
      <w:hyperlink w:anchor="_Toc337546992" w:history="1">
        <w:r w:rsidRPr="005769E8">
          <w:rPr>
            <w:rStyle w:val="Hyperlink"/>
          </w:rPr>
          <w:t xml:space="preserve">Table 55 </w:t>
        </w:r>
        <w:r>
          <w:rPr>
            <w:rFonts w:ascii="Calibri" w:hAnsi="Calibri"/>
            <w:sz w:val="22"/>
            <w:szCs w:val="22"/>
            <w:lang w:val="en-AU" w:eastAsia="en-AU"/>
          </w:rPr>
          <w:tab/>
        </w:r>
        <w:r w:rsidRPr="005769E8">
          <w:rPr>
            <w:rStyle w:val="Hyperlink"/>
          </w:rPr>
          <w:t>Relative sensitivity for histologically confirmed CIN 2+ of CC versus cell filtration LBC (manual and automated analysis): RHINE-SAAR Study 2010–2011</w:t>
        </w:r>
        <w:r>
          <w:rPr>
            <w:webHidden/>
          </w:rPr>
          <w:tab/>
        </w:r>
        <w:r>
          <w:rPr>
            <w:webHidden/>
          </w:rPr>
          <w:fldChar w:fldCharType="begin"/>
        </w:r>
        <w:r>
          <w:rPr>
            <w:webHidden/>
          </w:rPr>
          <w:instrText xml:space="preserve"> PAGEREF _Toc337546992 \h </w:instrText>
        </w:r>
        <w:r>
          <w:rPr>
            <w:webHidden/>
          </w:rPr>
        </w:r>
        <w:r>
          <w:rPr>
            <w:webHidden/>
          </w:rPr>
          <w:fldChar w:fldCharType="separate"/>
        </w:r>
        <w:r w:rsidR="003361A8">
          <w:rPr>
            <w:webHidden/>
          </w:rPr>
          <w:t>122</w:t>
        </w:r>
        <w:r>
          <w:rPr>
            <w:webHidden/>
          </w:rPr>
          <w:fldChar w:fldCharType="end"/>
        </w:r>
      </w:hyperlink>
    </w:p>
    <w:p w:rsidR="00A3294E" w:rsidRDefault="00A3294E">
      <w:pPr>
        <w:pStyle w:val="TableofFigures"/>
        <w:rPr>
          <w:rFonts w:ascii="Calibri" w:hAnsi="Calibri"/>
          <w:sz w:val="22"/>
          <w:szCs w:val="22"/>
          <w:lang w:val="en-AU" w:eastAsia="en-AU"/>
        </w:rPr>
      </w:pPr>
      <w:hyperlink w:anchor="_Toc337546993" w:history="1">
        <w:r w:rsidRPr="005769E8">
          <w:rPr>
            <w:rStyle w:val="Hyperlink"/>
          </w:rPr>
          <w:t>Table 56</w:t>
        </w:r>
        <w:r>
          <w:rPr>
            <w:rFonts w:ascii="Calibri" w:hAnsi="Calibri"/>
            <w:sz w:val="22"/>
            <w:szCs w:val="22"/>
            <w:lang w:val="en-AU" w:eastAsia="en-AU"/>
          </w:rPr>
          <w:tab/>
        </w:r>
        <w:r w:rsidRPr="005769E8">
          <w:rPr>
            <w:rStyle w:val="Hyperlink"/>
          </w:rPr>
          <w:t>Summary of results of the indirect comparison of cell enrichment LBC and cell filtration LBC sensitivity for CIN 1+</w:t>
        </w:r>
        <w:r>
          <w:rPr>
            <w:webHidden/>
          </w:rPr>
          <w:tab/>
        </w:r>
        <w:r>
          <w:rPr>
            <w:webHidden/>
          </w:rPr>
          <w:fldChar w:fldCharType="begin"/>
        </w:r>
        <w:r>
          <w:rPr>
            <w:webHidden/>
          </w:rPr>
          <w:instrText xml:space="preserve"> PAGEREF _Toc337546993 \h </w:instrText>
        </w:r>
        <w:r>
          <w:rPr>
            <w:webHidden/>
          </w:rPr>
        </w:r>
        <w:r>
          <w:rPr>
            <w:webHidden/>
          </w:rPr>
          <w:fldChar w:fldCharType="separate"/>
        </w:r>
        <w:r w:rsidR="003361A8">
          <w:rPr>
            <w:webHidden/>
          </w:rPr>
          <w:t>123</w:t>
        </w:r>
        <w:r>
          <w:rPr>
            <w:webHidden/>
          </w:rPr>
          <w:fldChar w:fldCharType="end"/>
        </w:r>
      </w:hyperlink>
    </w:p>
    <w:p w:rsidR="00A3294E" w:rsidRDefault="00A3294E">
      <w:pPr>
        <w:pStyle w:val="TableofFigures"/>
        <w:rPr>
          <w:rFonts w:ascii="Calibri" w:hAnsi="Calibri"/>
          <w:sz w:val="22"/>
          <w:szCs w:val="22"/>
          <w:lang w:val="en-AU" w:eastAsia="en-AU"/>
        </w:rPr>
      </w:pPr>
      <w:hyperlink w:anchor="_Toc337546994" w:history="1">
        <w:r w:rsidRPr="005769E8">
          <w:rPr>
            <w:rStyle w:val="Hyperlink"/>
          </w:rPr>
          <w:t>Table 57</w:t>
        </w:r>
        <w:r>
          <w:rPr>
            <w:rFonts w:ascii="Calibri" w:hAnsi="Calibri"/>
            <w:sz w:val="22"/>
            <w:szCs w:val="22"/>
            <w:lang w:val="en-AU" w:eastAsia="en-AU"/>
          </w:rPr>
          <w:tab/>
        </w:r>
        <w:r w:rsidRPr="005769E8">
          <w:rPr>
            <w:rStyle w:val="Hyperlink"/>
          </w:rPr>
          <w:t>Summary of results of the indirect comparison of cell enrichment LBC and cell filtration LBC specificity for CIN 1+</w:t>
        </w:r>
        <w:r>
          <w:rPr>
            <w:webHidden/>
          </w:rPr>
          <w:tab/>
        </w:r>
        <w:r>
          <w:rPr>
            <w:webHidden/>
          </w:rPr>
          <w:fldChar w:fldCharType="begin"/>
        </w:r>
        <w:r>
          <w:rPr>
            <w:webHidden/>
          </w:rPr>
          <w:instrText xml:space="preserve"> PAGEREF _Toc337546994 \h </w:instrText>
        </w:r>
        <w:r>
          <w:rPr>
            <w:webHidden/>
          </w:rPr>
        </w:r>
        <w:r>
          <w:rPr>
            <w:webHidden/>
          </w:rPr>
          <w:fldChar w:fldCharType="separate"/>
        </w:r>
        <w:r w:rsidR="003361A8">
          <w:rPr>
            <w:webHidden/>
          </w:rPr>
          <w:t>124</w:t>
        </w:r>
        <w:r>
          <w:rPr>
            <w:webHidden/>
          </w:rPr>
          <w:fldChar w:fldCharType="end"/>
        </w:r>
      </w:hyperlink>
    </w:p>
    <w:p w:rsidR="00A3294E" w:rsidRDefault="00A3294E">
      <w:pPr>
        <w:pStyle w:val="TableofFigures"/>
        <w:rPr>
          <w:rFonts w:ascii="Calibri" w:hAnsi="Calibri"/>
          <w:sz w:val="22"/>
          <w:szCs w:val="22"/>
          <w:lang w:val="en-AU" w:eastAsia="en-AU"/>
        </w:rPr>
      </w:pPr>
      <w:hyperlink w:anchor="_Toc337546995" w:history="1">
        <w:r w:rsidRPr="005769E8">
          <w:rPr>
            <w:rStyle w:val="Hyperlink"/>
          </w:rPr>
          <w:t>Table 58</w:t>
        </w:r>
        <w:r>
          <w:rPr>
            <w:rFonts w:ascii="Calibri" w:hAnsi="Calibri"/>
            <w:sz w:val="22"/>
            <w:szCs w:val="22"/>
            <w:lang w:val="en-AU" w:eastAsia="en-AU"/>
          </w:rPr>
          <w:tab/>
        </w:r>
        <w:r w:rsidRPr="005769E8">
          <w:rPr>
            <w:rStyle w:val="Hyperlink"/>
          </w:rPr>
          <w:t>Positive predictive value and negative predictive value for CIN 1+—CC versus cell enrichment LBC: Beerman 2009</w:t>
        </w:r>
        <w:r>
          <w:rPr>
            <w:webHidden/>
          </w:rPr>
          <w:tab/>
        </w:r>
        <w:r>
          <w:rPr>
            <w:webHidden/>
          </w:rPr>
          <w:fldChar w:fldCharType="begin"/>
        </w:r>
        <w:r>
          <w:rPr>
            <w:webHidden/>
          </w:rPr>
          <w:instrText xml:space="preserve"> PAGEREF _Toc337546995 \h </w:instrText>
        </w:r>
        <w:r>
          <w:rPr>
            <w:webHidden/>
          </w:rPr>
        </w:r>
        <w:r>
          <w:rPr>
            <w:webHidden/>
          </w:rPr>
          <w:fldChar w:fldCharType="separate"/>
        </w:r>
        <w:r w:rsidR="003361A8">
          <w:rPr>
            <w:webHidden/>
          </w:rPr>
          <w:t>124</w:t>
        </w:r>
        <w:r>
          <w:rPr>
            <w:webHidden/>
          </w:rPr>
          <w:fldChar w:fldCharType="end"/>
        </w:r>
      </w:hyperlink>
    </w:p>
    <w:p w:rsidR="00A3294E" w:rsidRDefault="00A3294E">
      <w:pPr>
        <w:pStyle w:val="TableofFigures"/>
        <w:rPr>
          <w:rFonts w:ascii="Calibri" w:hAnsi="Calibri"/>
          <w:sz w:val="22"/>
          <w:szCs w:val="22"/>
          <w:lang w:val="en-AU" w:eastAsia="en-AU"/>
        </w:rPr>
      </w:pPr>
      <w:hyperlink w:anchor="_Toc337546996" w:history="1">
        <w:r w:rsidRPr="005769E8">
          <w:rPr>
            <w:rStyle w:val="Hyperlink"/>
          </w:rPr>
          <w:t>Table 59</w:t>
        </w:r>
        <w:r>
          <w:rPr>
            <w:rFonts w:ascii="Calibri" w:hAnsi="Calibri"/>
            <w:sz w:val="22"/>
            <w:szCs w:val="22"/>
            <w:lang w:val="en-AU" w:eastAsia="en-AU"/>
          </w:rPr>
          <w:tab/>
        </w:r>
        <w:r w:rsidRPr="005769E8">
          <w:rPr>
            <w:rStyle w:val="Hyperlink"/>
          </w:rPr>
          <w:t>Positive predictive value—CC versus cell enrichment LBC: Beerman 2009</w:t>
        </w:r>
        <w:r>
          <w:rPr>
            <w:webHidden/>
          </w:rPr>
          <w:tab/>
        </w:r>
        <w:r>
          <w:rPr>
            <w:webHidden/>
          </w:rPr>
          <w:fldChar w:fldCharType="begin"/>
        </w:r>
        <w:r>
          <w:rPr>
            <w:webHidden/>
          </w:rPr>
          <w:instrText xml:space="preserve"> PAGEREF _Toc337546996 \h </w:instrText>
        </w:r>
        <w:r>
          <w:rPr>
            <w:webHidden/>
          </w:rPr>
        </w:r>
        <w:r>
          <w:rPr>
            <w:webHidden/>
          </w:rPr>
          <w:fldChar w:fldCharType="separate"/>
        </w:r>
        <w:r w:rsidR="003361A8">
          <w:rPr>
            <w:webHidden/>
          </w:rPr>
          <w:t>125</w:t>
        </w:r>
        <w:r>
          <w:rPr>
            <w:webHidden/>
          </w:rPr>
          <w:fldChar w:fldCharType="end"/>
        </w:r>
      </w:hyperlink>
    </w:p>
    <w:p w:rsidR="00A3294E" w:rsidRDefault="00A3294E">
      <w:pPr>
        <w:pStyle w:val="TableofFigures"/>
        <w:rPr>
          <w:rFonts w:ascii="Calibri" w:hAnsi="Calibri"/>
          <w:sz w:val="22"/>
          <w:szCs w:val="22"/>
          <w:lang w:val="en-AU" w:eastAsia="en-AU"/>
        </w:rPr>
      </w:pPr>
      <w:hyperlink w:anchor="_Toc337546997" w:history="1">
        <w:r w:rsidRPr="005769E8">
          <w:rPr>
            <w:rStyle w:val="Hyperlink"/>
          </w:rPr>
          <w:t>Table 60</w:t>
        </w:r>
        <w:r>
          <w:rPr>
            <w:rFonts w:ascii="Calibri" w:hAnsi="Calibri"/>
            <w:sz w:val="22"/>
            <w:szCs w:val="22"/>
            <w:lang w:val="en-AU" w:eastAsia="en-AU"/>
          </w:rPr>
          <w:tab/>
        </w:r>
        <w:r w:rsidRPr="005769E8">
          <w:rPr>
            <w:rStyle w:val="Hyperlink"/>
          </w:rPr>
          <w:t>Relative positive predictive value—CC versus cell filtration LBC; NTCC trial, age 24 to 60 years: Ronco 2007</w:t>
        </w:r>
        <w:r>
          <w:rPr>
            <w:webHidden/>
          </w:rPr>
          <w:tab/>
        </w:r>
        <w:r>
          <w:rPr>
            <w:webHidden/>
          </w:rPr>
          <w:fldChar w:fldCharType="begin"/>
        </w:r>
        <w:r>
          <w:rPr>
            <w:webHidden/>
          </w:rPr>
          <w:instrText xml:space="preserve"> PAGEREF _Toc337546997 \h </w:instrText>
        </w:r>
        <w:r>
          <w:rPr>
            <w:webHidden/>
          </w:rPr>
        </w:r>
        <w:r>
          <w:rPr>
            <w:webHidden/>
          </w:rPr>
          <w:fldChar w:fldCharType="separate"/>
        </w:r>
        <w:r w:rsidR="003361A8">
          <w:rPr>
            <w:webHidden/>
          </w:rPr>
          <w:t>126</w:t>
        </w:r>
        <w:r>
          <w:rPr>
            <w:webHidden/>
          </w:rPr>
          <w:fldChar w:fldCharType="end"/>
        </w:r>
      </w:hyperlink>
    </w:p>
    <w:p w:rsidR="00A3294E" w:rsidRDefault="00A3294E">
      <w:pPr>
        <w:pStyle w:val="TableofFigures"/>
        <w:rPr>
          <w:rFonts w:ascii="Calibri" w:hAnsi="Calibri"/>
          <w:sz w:val="22"/>
          <w:szCs w:val="22"/>
          <w:lang w:val="en-AU" w:eastAsia="en-AU"/>
        </w:rPr>
      </w:pPr>
      <w:hyperlink w:anchor="_Toc337546998" w:history="1">
        <w:r w:rsidRPr="005769E8">
          <w:rPr>
            <w:rStyle w:val="Hyperlink"/>
          </w:rPr>
          <w:t>Table 61</w:t>
        </w:r>
        <w:r>
          <w:rPr>
            <w:rFonts w:ascii="Calibri" w:hAnsi="Calibri"/>
            <w:sz w:val="22"/>
            <w:szCs w:val="22"/>
            <w:lang w:val="en-AU" w:eastAsia="en-AU"/>
          </w:rPr>
          <w:tab/>
        </w:r>
        <w:r w:rsidRPr="005769E8">
          <w:rPr>
            <w:rStyle w:val="Hyperlink"/>
          </w:rPr>
          <w:t>Comparison of positive predictive value—CC versus cell filtration LBC; NETHCON: Siebers 2009</w:t>
        </w:r>
        <w:r>
          <w:rPr>
            <w:webHidden/>
          </w:rPr>
          <w:tab/>
        </w:r>
        <w:r>
          <w:rPr>
            <w:webHidden/>
          </w:rPr>
          <w:fldChar w:fldCharType="begin"/>
        </w:r>
        <w:r>
          <w:rPr>
            <w:webHidden/>
          </w:rPr>
          <w:instrText xml:space="preserve"> PAGEREF _Toc337546998 \h </w:instrText>
        </w:r>
        <w:r>
          <w:rPr>
            <w:webHidden/>
          </w:rPr>
        </w:r>
        <w:r>
          <w:rPr>
            <w:webHidden/>
          </w:rPr>
          <w:fldChar w:fldCharType="separate"/>
        </w:r>
        <w:r w:rsidR="003361A8">
          <w:rPr>
            <w:webHidden/>
          </w:rPr>
          <w:t>127</w:t>
        </w:r>
        <w:r>
          <w:rPr>
            <w:webHidden/>
          </w:rPr>
          <w:fldChar w:fldCharType="end"/>
        </w:r>
      </w:hyperlink>
    </w:p>
    <w:p w:rsidR="00A3294E" w:rsidRDefault="00A3294E">
      <w:pPr>
        <w:pStyle w:val="TableofFigures"/>
        <w:rPr>
          <w:rFonts w:ascii="Calibri" w:hAnsi="Calibri"/>
          <w:sz w:val="22"/>
          <w:szCs w:val="22"/>
          <w:lang w:val="en-AU" w:eastAsia="en-AU"/>
        </w:rPr>
      </w:pPr>
      <w:hyperlink w:anchor="_Toc337546999" w:history="1">
        <w:r w:rsidRPr="005769E8">
          <w:rPr>
            <w:rStyle w:val="Hyperlink"/>
          </w:rPr>
          <w:t>Table 62</w:t>
        </w:r>
        <w:r>
          <w:rPr>
            <w:rFonts w:ascii="Calibri" w:hAnsi="Calibri"/>
            <w:sz w:val="22"/>
            <w:szCs w:val="22"/>
            <w:lang w:val="en-AU" w:eastAsia="en-AU"/>
          </w:rPr>
          <w:tab/>
        </w:r>
        <w:r w:rsidRPr="005769E8">
          <w:rPr>
            <w:rStyle w:val="Hyperlink"/>
          </w:rPr>
          <w:t>Positive predictive value and negative predictive value for CIN 1+—CC versus cell enrichment LBC: Strander 2007</w:t>
        </w:r>
        <w:r>
          <w:rPr>
            <w:webHidden/>
          </w:rPr>
          <w:tab/>
        </w:r>
        <w:r>
          <w:rPr>
            <w:webHidden/>
          </w:rPr>
          <w:fldChar w:fldCharType="begin"/>
        </w:r>
        <w:r>
          <w:rPr>
            <w:webHidden/>
          </w:rPr>
          <w:instrText xml:space="preserve"> PAGEREF _Toc337546999 \h </w:instrText>
        </w:r>
        <w:r>
          <w:rPr>
            <w:webHidden/>
          </w:rPr>
        </w:r>
        <w:r>
          <w:rPr>
            <w:webHidden/>
          </w:rPr>
          <w:fldChar w:fldCharType="separate"/>
        </w:r>
        <w:r w:rsidR="003361A8">
          <w:rPr>
            <w:webHidden/>
          </w:rPr>
          <w:t>127</w:t>
        </w:r>
        <w:r>
          <w:rPr>
            <w:webHidden/>
          </w:rPr>
          <w:fldChar w:fldCharType="end"/>
        </w:r>
      </w:hyperlink>
    </w:p>
    <w:p w:rsidR="00A3294E" w:rsidRDefault="00A3294E">
      <w:pPr>
        <w:pStyle w:val="TableofFigures"/>
        <w:rPr>
          <w:rFonts w:ascii="Calibri" w:hAnsi="Calibri"/>
          <w:sz w:val="22"/>
          <w:szCs w:val="22"/>
          <w:lang w:val="en-AU" w:eastAsia="en-AU"/>
        </w:rPr>
      </w:pPr>
      <w:hyperlink w:anchor="_Toc337547000" w:history="1">
        <w:r w:rsidRPr="005769E8">
          <w:rPr>
            <w:rStyle w:val="Hyperlink"/>
          </w:rPr>
          <w:t>Table 63</w:t>
        </w:r>
        <w:r>
          <w:rPr>
            <w:rFonts w:ascii="Calibri" w:hAnsi="Calibri"/>
            <w:sz w:val="22"/>
            <w:szCs w:val="22"/>
            <w:lang w:val="en-AU" w:eastAsia="en-AU"/>
          </w:rPr>
          <w:tab/>
        </w:r>
        <w:r w:rsidRPr="005769E8">
          <w:rPr>
            <w:rStyle w:val="Hyperlink"/>
          </w:rPr>
          <w:t>Comparison of positive predictive value—CC versus cell filtration LBC: Strander 2007</w:t>
        </w:r>
        <w:r>
          <w:rPr>
            <w:webHidden/>
          </w:rPr>
          <w:tab/>
        </w:r>
        <w:r>
          <w:rPr>
            <w:webHidden/>
          </w:rPr>
          <w:fldChar w:fldCharType="begin"/>
        </w:r>
        <w:r>
          <w:rPr>
            <w:webHidden/>
          </w:rPr>
          <w:instrText xml:space="preserve"> PAGEREF _Toc337547000 \h </w:instrText>
        </w:r>
        <w:r>
          <w:rPr>
            <w:webHidden/>
          </w:rPr>
        </w:r>
        <w:r>
          <w:rPr>
            <w:webHidden/>
          </w:rPr>
          <w:fldChar w:fldCharType="separate"/>
        </w:r>
        <w:r w:rsidR="003361A8">
          <w:rPr>
            <w:webHidden/>
          </w:rPr>
          <w:t>128</w:t>
        </w:r>
        <w:r>
          <w:rPr>
            <w:webHidden/>
          </w:rPr>
          <w:fldChar w:fldCharType="end"/>
        </w:r>
      </w:hyperlink>
    </w:p>
    <w:p w:rsidR="00A3294E" w:rsidRDefault="00A3294E">
      <w:pPr>
        <w:pStyle w:val="TableofFigures"/>
        <w:rPr>
          <w:rFonts w:ascii="Calibri" w:hAnsi="Calibri"/>
          <w:sz w:val="22"/>
          <w:szCs w:val="22"/>
          <w:lang w:val="en-AU" w:eastAsia="en-AU"/>
        </w:rPr>
      </w:pPr>
      <w:hyperlink w:anchor="_Toc337547001" w:history="1">
        <w:r w:rsidRPr="005769E8">
          <w:rPr>
            <w:rStyle w:val="Hyperlink"/>
          </w:rPr>
          <w:t>Table 64</w:t>
        </w:r>
        <w:r>
          <w:rPr>
            <w:rFonts w:ascii="Calibri" w:hAnsi="Calibri"/>
            <w:sz w:val="22"/>
            <w:szCs w:val="22"/>
            <w:lang w:val="en-AU" w:eastAsia="en-AU"/>
          </w:rPr>
          <w:tab/>
        </w:r>
        <w:r w:rsidRPr="005769E8">
          <w:rPr>
            <w:rStyle w:val="Hyperlink"/>
          </w:rPr>
          <w:t>Positive predictive value for CIN 2+—CC versus cell filtration LBC: Maccallini 2008</w:t>
        </w:r>
        <w:r>
          <w:rPr>
            <w:webHidden/>
          </w:rPr>
          <w:tab/>
        </w:r>
        <w:r>
          <w:rPr>
            <w:webHidden/>
          </w:rPr>
          <w:fldChar w:fldCharType="begin"/>
        </w:r>
        <w:r>
          <w:rPr>
            <w:webHidden/>
          </w:rPr>
          <w:instrText xml:space="preserve"> PAGEREF _Toc337547001 \h </w:instrText>
        </w:r>
        <w:r>
          <w:rPr>
            <w:webHidden/>
          </w:rPr>
        </w:r>
        <w:r>
          <w:rPr>
            <w:webHidden/>
          </w:rPr>
          <w:fldChar w:fldCharType="separate"/>
        </w:r>
        <w:r w:rsidR="003361A8">
          <w:rPr>
            <w:webHidden/>
          </w:rPr>
          <w:t>129</w:t>
        </w:r>
        <w:r>
          <w:rPr>
            <w:webHidden/>
          </w:rPr>
          <w:fldChar w:fldCharType="end"/>
        </w:r>
      </w:hyperlink>
    </w:p>
    <w:p w:rsidR="00A3294E" w:rsidRDefault="00A3294E">
      <w:pPr>
        <w:pStyle w:val="TableofFigures"/>
        <w:rPr>
          <w:rFonts w:ascii="Calibri" w:hAnsi="Calibri"/>
          <w:sz w:val="22"/>
          <w:szCs w:val="22"/>
          <w:lang w:val="en-AU" w:eastAsia="en-AU"/>
        </w:rPr>
      </w:pPr>
      <w:hyperlink w:anchor="_Toc337547002" w:history="1">
        <w:r w:rsidRPr="005769E8">
          <w:rPr>
            <w:rStyle w:val="Hyperlink"/>
          </w:rPr>
          <w:t>Table 65</w:t>
        </w:r>
        <w:r>
          <w:rPr>
            <w:rFonts w:ascii="Calibri" w:hAnsi="Calibri"/>
            <w:sz w:val="22"/>
            <w:szCs w:val="22"/>
            <w:lang w:val="en-AU" w:eastAsia="en-AU"/>
          </w:rPr>
          <w:tab/>
        </w:r>
        <w:r w:rsidRPr="005769E8">
          <w:rPr>
            <w:rStyle w:val="Hyperlink"/>
          </w:rPr>
          <w:t>Positive predictive value for histologically confirmed CIN 2+ of CC versus cell filtration LBC (manual and automated analysis): RHINE-SAAR study 2010–2011</w:t>
        </w:r>
        <w:r>
          <w:rPr>
            <w:webHidden/>
          </w:rPr>
          <w:tab/>
        </w:r>
        <w:r>
          <w:rPr>
            <w:webHidden/>
          </w:rPr>
          <w:fldChar w:fldCharType="begin"/>
        </w:r>
        <w:r>
          <w:rPr>
            <w:webHidden/>
          </w:rPr>
          <w:instrText xml:space="preserve"> PAGEREF _Toc337547002 \h </w:instrText>
        </w:r>
        <w:r>
          <w:rPr>
            <w:webHidden/>
          </w:rPr>
        </w:r>
        <w:r>
          <w:rPr>
            <w:webHidden/>
          </w:rPr>
          <w:fldChar w:fldCharType="separate"/>
        </w:r>
        <w:r w:rsidR="003361A8">
          <w:rPr>
            <w:webHidden/>
          </w:rPr>
          <w:t>129</w:t>
        </w:r>
        <w:r>
          <w:rPr>
            <w:webHidden/>
          </w:rPr>
          <w:fldChar w:fldCharType="end"/>
        </w:r>
      </w:hyperlink>
    </w:p>
    <w:p w:rsidR="00A3294E" w:rsidRDefault="00A3294E">
      <w:pPr>
        <w:pStyle w:val="TableofFigures"/>
        <w:rPr>
          <w:rFonts w:ascii="Calibri" w:hAnsi="Calibri"/>
          <w:sz w:val="22"/>
          <w:szCs w:val="22"/>
          <w:lang w:val="en-AU" w:eastAsia="en-AU"/>
        </w:rPr>
      </w:pPr>
      <w:hyperlink w:anchor="_Toc337547003" w:history="1">
        <w:r w:rsidRPr="005769E8">
          <w:rPr>
            <w:rStyle w:val="Hyperlink"/>
          </w:rPr>
          <w:t>Table 66</w:t>
        </w:r>
        <w:r>
          <w:rPr>
            <w:rFonts w:ascii="Calibri" w:hAnsi="Calibri"/>
            <w:sz w:val="22"/>
            <w:szCs w:val="22"/>
            <w:lang w:val="en-AU" w:eastAsia="en-AU"/>
          </w:rPr>
          <w:tab/>
        </w:r>
        <w:r w:rsidRPr="005769E8">
          <w:rPr>
            <w:rStyle w:val="Hyperlink"/>
          </w:rPr>
          <w:t>Source of the randomised samples</w:t>
        </w:r>
        <w:r>
          <w:rPr>
            <w:webHidden/>
          </w:rPr>
          <w:tab/>
        </w:r>
        <w:r>
          <w:rPr>
            <w:webHidden/>
          </w:rPr>
          <w:fldChar w:fldCharType="begin"/>
        </w:r>
        <w:r>
          <w:rPr>
            <w:webHidden/>
          </w:rPr>
          <w:instrText xml:space="preserve"> PAGEREF _Toc337547003 \h </w:instrText>
        </w:r>
        <w:r>
          <w:rPr>
            <w:webHidden/>
          </w:rPr>
        </w:r>
        <w:r>
          <w:rPr>
            <w:webHidden/>
          </w:rPr>
          <w:fldChar w:fldCharType="separate"/>
        </w:r>
        <w:r w:rsidR="003361A8">
          <w:rPr>
            <w:webHidden/>
          </w:rPr>
          <w:t>133</w:t>
        </w:r>
        <w:r>
          <w:rPr>
            <w:webHidden/>
          </w:rPr>
          <w:fldChar w:fldCharType="end"/>
        </w:r>
      </w:hyperlink>
    </w:p>
    <w:p w:rsidR="00A3294E" w:rsidRDefault="00A3294E">
      <w:pPr>
        <w:pStyle w:val="TableofFigures"/>
        <w:rPr>
          <w:rFonts w:ascii="Calibri" w:hAnsi="Calibri"/>
          <w:sz w:val="22"/>
          <w:szCs w:val="22"/>
          <w:lang w:val="en-AU" w:eastAsia="en-AU"/>
        </w:rPr>
      </w:pPr>
      <w:hyperlink w:anchor="_Toc337547004" w:history="1">
        <w:r w:rsidRPr="005769E8">
          <w:rPr>
            <w:rStyle w:val="Hyperlink"/>
          </w:rPr>
          <w:t>Table 67</w:t>
        </w:r>
        <w:r>
          <w:rPr>
            <w:rFonts w:ascii="Calibri" w:hAnsi="Calibri"/>
            <w:sz w:val="22"/>
            <w:szCs w:val="22"/>
            <w:lang w:val="en-AU" w:eastAsia="en-AU"/>
          </w:rPr>
          <w:tab/>
        </w:r>
        <w:r w:rsidRPr="005769E8">
          <w:rPr>
            <w:rStyle w:val="Hyperlink"/>
          </w:rPr>
          <w:t>Cytology classification: Kitchener 2011a</w:t>
        </w:r>
        <w:r>
          <w:rPr>
            <w:webHidden/>
          </w:rPr>
          <w:tab/>
        </w:r>
        <w:r>
          <w:rPr>
            <w:webHidden/>
          </w:rPr>
          <w:fldChar w:fldCharType="begin"/>
        </w:r>
        <w:r>
          <w:rPr>
            <w:webHidden/>
          </w:rPr>
          <w:instrText xml:space="preserve"> PAGEREF _Toc337547004 \h </w:instrText>
        </w:r>
        <w:r>
          <w:rPr>
            <w:webHidden/>
          </w:rPr>
        </w:r>
        <w:r>
          <w:rPr>
            <w:webHidden/>
          </w:rPr>
          <w:fldChar w:fldCharType="separate"/>
        </w:r>
        <w:r w:rsidR="003361A8">
          <w:rPr>
            <w:webHidden/>
          </w:rPr>
          <w:t>133</w:t>
        </w:r>
        <w:r>
          <w:rPr>
            <w:webHidden/>
          </w:rPr>
          <w:fldChar w:fldCharType="end"/>
        </w:r>
      </w:hyperlink>
    </w:p>
    <w:p w:rsidR="00A3294E" w:rsidRDefault="00A3294E">
      <w:pPr>
        <w:pStyle w:val="TableofFigures"/>
        <w:rPr>
          <w:rFonts w:ascii="Calibri" w:hAnsi="Calibri"/>
          <w:sz w:val="22"/>
          <w:szCs w:val="22"/>
          <w:lang w:val="en-AU" w:eastAsia="en-AU"/>
        </w:rPr>
      </w:pPr>
      <w:hyperlink w:anchor="_Toc337547005" w:history="1">
        <w:r w:rsidRPr="005769E8">
          <w:rPr>
            <w:rStyle w:val="Hyperlink"/>
          </w:rPr>
          <w:t>Table 68</w:t>
        </w:r>
        <w:r>
          <w:rPr>
            <w:rFonts w:ascii="Calibri" w:hAnsi="Calibri"/>
            <w:sz w:val="22"/>
            <w:szCs w:val="22"/>
            <w:lang w:val="en-AU" w:eastAsia="en-AU"/>
          </w:rPr>
          <w:tab/>
        </w:r>
        <w:r w:rsidRPr="005769E8">
          <w:rPr>
            <w:rStyle w:val="Hyperlink"/>
          </w:rPr>
          <w:t>Test yield comparison (by cytology)—Automated review versus manual review (SurePath and ThinPrep): Kitchener 2011a</w:t>
        </w:r>
        <w:r>
          <w:rPr>
            <w:webHidden/>
          </w:rPr>
          <w:tab/>
        </w:r>
        <w:r>
          <w:rPr>
            <w:webHidden/>
          </w:rPr>
          <w:fldChar w:fldCharType="begin"/>
        </w:r>
        <w:r>
          <w:rPr>
            <w:webHidden/>
          </w:rPr>
          <w:instrText xml:space="preserve"> PAGEREF _Toc337547005 \h </w:instrText>
        </w:r>
        <w:r>
          <w:rPr>
            <w:webHidden/>
          </w:rPr>
        </w:r>
        <w:r>
          <w:rPr>
            <w:webHidden/>
          </w:rPr>
          <w:fldChar w:fldCharType="separate"/>
        </w:r>
        <w:r w:rsidR="003361A8">
          <w:rPr>
            <w:webHidden/>
          </w:rPr>
          <w:t>134</w:t>
        </w:r>
        <w:r>
          <w:rPr>
            <w:webHidden/>
          </w:rPr>
          <w:fldChar w:fldCharType="end"/>
        </w:r>
      </w:hyperlink>
    </w:p>
    <w:p w:rsidR="00A3294E" w:rsidRDefault="00A3294E">
      <w:pPr>
        <w:pStyle w:val="TableofFigures"/>
        <w:rPr>
          <w:rFonts w:ascii="Calibri" w:hAnsi="Calibri"/>
          <w:sz w:val="22"/>
          <w:szCs w:val="22"/>
          <w:lang w:val="en-AU" w:eastAsia="en-AU"/>
        </w:rPr>
      </w:pPr>
      <w:hyperlink w:anchor="_Toc337547006" w:history="1">
        <w:r w:rsidRPr="005769E8">
          <w:rPr>
            <w:rStyle w:val="Hyperlink"/>
          </w:rPr>
          <w:t>Table 69</w:t>
        </w:r>
        <w:r>
          <w:rPr>
            <w:rFonts w:ascii="Calibri" w:hAnsi="Calibri"/>
            <w:sz w:val="22"/>
            <w:szCs w:val="22"/>
            <w:lang w:val="en-AU" w:eastAsia="en-AU"/>
          </w:rPr>
          <w:tab/>
        </w:r>
        <w:r w:rsidRPr="005769E8">
          <w:rPr>
            <w:rStyle w:val="Hyperlink"/>
          </w:rPr>
          <w:t>Manual review concordance—First manual result versus final manual result (SurePath and ThinPrep smears): Kitchener 2011a</w:t>
        </w:r>
        <w:r>
          <w:rPr>
            <w:webHidden/>
          </w:rPr>
          <w:tab/>
        </w:r>
        <w:r>
          <w:rPr>
            <w:webHidden/>
          </w:rPr>
          <w:fldChar w:fldCharType="begin"/>
        </w:r>
        <w:r>
          <w:rPr>
            <w:webHidden/>
          </w:rPr>
          <w:instrText xml:space="preserve"> PAGEREF _Toc337547006 \h </w:instrText>
        </w:r>
        <w:r>
          <w:rPr>
            <w:webHidden/>
          </w:rPr>
        </w:r>
        <w:r>
          <w:rPr>
            <w:webHidden/>
          </w:rPr>
          <w:fldChar w:fldCharType="separate"/>
        </w:r>
        <w:r w:rsidR="003361A8">
          <w:rPr>
            <w:webHidden/>
          </w:rPr>
          <w:t>135</w:t>
        </w:r>
        <w:r>
          <w:rPr>
            <w:webHidden/>
          </w:rPr>
          <w:fldChar w:fldCharType="end"/>
        </w:r>
      </w:hyperlink>
    </w:p>
    <w:p w:rsidR="00A3294E" w:rsidRDefault="00A3294E">
      <w:pPr>
        <w:pStyle w:val="TableofFigures"/>
        <w:rPr>
          <w:rFonts w:ascii="Calibri" w:hAnsi="Calibri"/>
          <w:sz w:val="22"/>
          <w:szCs w:val="22"/>
          <w:lang w:val="en-AU" w:eastAsia="en-AU"/>
        </w:rPr>
      </w:pPr>
      <w:hyperlink w:anchor="_Toc337547007" w:history="1">
        <w:r w:rsidRPr="005769E8">
          <w:rPr>
            <w:rStyle w:val="Hyperlink"/>
          </w:rPr>
          <w:t>Table 70</w:t>
        </w:r>
        <w:r>
          <w:rPr>
            <w:rFonts w:ascii="Calibri" w:hAnsi="Calibri"/>
            <w:sz w:val="22"/>
            <w:szCs w:val="22"/>
            <w:lang w:val="en-AU" w:eastAsia="en-AU"/>
          </w:rPr>
          <w:tab/>
        </w:r>
        <w:r w:rsidRPr="005769E8">
          <w:rPr>
            <w:rStyle w:val="Hyperlink"/>
          </w:rPr>
          <w:t>Manual review versus automated review concordance—Final manual result versus final auto result (SurePath and ThinPrep smears): Kitchener 2011a</w:t>
        </w:r>
        <w:r>
          <w:rPr>
            <w:webHidden/>
          </w:rPr>
          <w:tab/>
        </w:r>
        <w:r>
          <w:rPr>
            <w:webHidden/>
          </w:rPr>
          <w:fldChar w:fldCharType="begin"/>
        </w:r>
        <w:r>
          <w:rPr>
            <w:webHidden/>
          </w:rPr>
          <w:instrText xml:space="preserve"> PAGEREF _Toc337547007 \h </w:instrText>
        </w:r>
        <w:r>
          <w:rPr>
            <w:webHidden/>
          </w:rPr>
        </w:r>
        <w:r>
          <w:rPr>
            <w:webHidden/>
          </w:rPr>
          <w:fldChar w:fldCharType="separate"/>
        </w:r>
        <w:r w:rsidR="003361A8">
          <w:rPr>
            <w:webHidden/>
          </w:rPr>
          <w:t>136</w:t>
        </w:r>
        <w:r>
          <w:rPr>
            <w:webHidden/>
          </w:rPr>
          <w:fldChar w:fldCharType="end"/>
        </w:r>
      </w:hyperlink>
    </w:p>
    <w:p w:rsidR="00A3294E" w:rsidRDefault="00A3294E">
      <w:pPr>
        <w:pStyle w:val="TableofFigures"/>
        <w:rPr>
          <w:rFonts w:ascii="Calibri" w:hAnsi="Calibri"/>
          <w:sz w:val="22"/>
          <w:szCs w:val="22"/>
          <w:lang w:val="en-AU" w:eastAsia="en-AU"/>
        </w:rPr>
      </w:pPr>
      <w:hyperlink w:anchor="_Toc337547008" w:history="1">
        <w:r w:rsidRPr="005769E8">
          <w:rPr>
            <w:rStyle w:val="Hyperlink"/>
          </w:rPr>
          <w:t>Table 71</w:t>
        </w:r>
        <w:r>
          <w:rPr>
            <w:rFonts w:ascii="Calibri" w:hAnsi="Calibri"/>
            <w:sz w:val="22"/>
            <w:szCs w:val="22"/>
            <w:lang w:val="en-AU" w:eastAsia="en-AU"/>
          </w:rPr>
          <w:tab/>
        </w:r>
        <w:r w:rsidRPr="005769E8">
          <w:rPr>
            <w:rStyle w:val="Hyperlink"/>
          </w:rPr>
          <w:t>Correlation cytology management and colposcopy outcome—LBC (SurePath and ThinPrep): Kitchener 2011a</w:t>
        </w:r>
        <w:r>
          <w:rPr>
            <w:webHidden/>
          </w:rPr>
          <w:tab/>
        </w:r>
        <w:r>
          <w:rPr>
            <w:webHidden/>
          </w:rPr>
          <w:fldChar w:fldCharType="begin"/>
        </w:r>
        <w:r>
          <w:rPr>
            <w:webHidden/>
          </w:rPr>
          <w:instrText xml:space="preserve"> PAGEREF _Toc337547008 \h </w:instrText>
        </w:r>
        <w:r>
          <w:rPr>
            <w:webHidden/>
          </w:rPr>
        </w:r>
        <w:r>
          <w:rPr>
            <w:webHidden/>
          </w:rPr>
          <w:fldChar w:fldCharType="separate"/>
        </w:r>
        <w:r w:rsidR="003361A8">
          <w:rPr>
            <w:webHidden/>
          </w:rPr>
          <w:t>138</w:t>
        </w:r>
        <w:r>
          <w:rPr>
            <w:webHidden/>
          </w:rPr>
          <w:fldChar w:fldCharType="end"/>
        </w:r>
      </w:hyperlink>
    </w:p>
    <w:p w:rsidR="00A3294E" w:rsidRDefault="00A3294E">
      <w:pPr>
        <w:pStyle w:val="TableofFigures"/>
        <w:rPr>
          <w:rFonts w:ascii="Calibri" w:hAnsi="Calibri"/>
          <w:sz w:val="22"/>
          <w:szCs w:val="22"/>
          <w:lang w:val="en-AU" w:eastAsia="en-AU"/>
        </w:rPr>
      </w:pPr>
      <w:hyperlink w:anchor="_Toc337547009" w:history="1">
        <w:r w:rsidRPr="005769E8">
          <w:rPr>
            <w:rStyle w:val="Hyperlink"/>
          </w:rPr>
          <w:t>Table 72</w:t>
        </w:r>
        <w:r>
          <w:rPr>
            <w:rFonts w:ascii="Calibri" w:hAnsi="Calibri"/>
            <w:sz w:val="22"/>
            <w:szCs w:val="22"/>
            <w:lang w:val="en-AU" w:eastAsia="en-AU"/>
          </w:rPr>
          <w:tab/>
        </w:r>
        <w:r w:rsidRPr="005769E8">
          <w:rPr>
            <w:rStyle w:val="Hyperlink"/>
          </w:rPr>
          <w:t>Cytology classification: Palmer 2012</w:t>
        </w:r>
        <w:r>
          <w:rPr>
            <w:webHidden/>
          </w:rPr>
          <w:tab/>
        </w:r>
        <w:r>
          <w:rPr>
            <w:webHidden/>
          </w:rPr>
          <w:fldChar w:fldCharType="begin"/>
        </w:r>
        <w:r>
          <w:rPr>
            <w:webHidden/>
          </w:rPr>
          <w:instrText xml:space="preserve"> PAGEREF _Toc337547009 \h </w:instrText>
        </w:r>
        <w:r>
          <w:rPr>
            <w:webHidden/>
          </w:rPr>
        </w:r>
        <w:r>
          <w:rPr>
            <w:webHidden/>
          </w:rPr>
          <w:fldChar w:fldCharType="separate"/>
        </w:r>
        <w:r w:rsidR="003361A8">
          <w:rPr>
            <w:webHidden/>
          </w:rPr>
          <w:t>140</w:t>
        </w:r>
        <w:r>
          <w:rPr>
            <w:webHidden/>
          </w:rPr>
          <w:fldChar w:fldCharType="end"/>
        </w:r>
      </w:hyperlink>
    </w:p>
    <w:p w:rsidR="00A3294E" w:rsidRDefault="00A3294E">
      <w:pPr>
        <w:pStyle w:val="TableofFigures"/>
        <w:rPr>
          <w:rFonts w:ascii="Calibri" w:hAnsi="Calibri"/>
          <w:sz w:val="22"/>
          <w:szCs w:val="22"/>
          <w:lang w:val="en-AU" w:eastAsia="en-AU"/>
        </w:rPr>
      </w:pPr>
      <w:hyperlink w:anchor="_Toc337547010" w:history="1">
        <w:r w:rsidRPr="005769E8">
          <w:rPr>
            <w:rStyle w:val="Hyperlink"/>
          </w:rPr>
          <w:t>Table 73</w:t>
        </w:r>
        <w:r>
          <w:rPr>
            <w:rFonts w:ascii="Calibri" w:hAnsi="Calibri"/>
            <w:sz w:val="22"/>
            <w:szCs w:val="22"/>
            <w:lang w:val="en-AU" w:eastAsia="en-AU"/>
          </w:rPr>
          <w:tab/>
        </w:r>
        <w:r w:rsidRPr="005769E8">
          <w:rPr>
            <w:rStyle w:val="Hyperlink"/>
          </w:rPr>
          <w:t>Formulae used for statistical analysis for accuracy by final cytology report: Palmer 2012</w:t>
        </w:r>
        <w:r>
          <w:rPr>
            <w:webHidden/>
          </w:rPr>
          <w:tab/>
        </w:r>
        <w:r>
          <w:rPr>
            <w:webHidden/>
          </w:rPr>
          <w:fldChar w:fldCharType="begin"/>
        </w:r>
        <w:r>
          <w:rPr>
            <w:webHidden/>
          </w:rPr>
          <w:instrText xml:space="preserve"> PAGEREF _Toc337547010 \h </w:instrText>
        </w:r>
        <w:r>
          <w:rPr>
            <w:webHidden/>
          </w:rPr>
        </w:r>
        <w:r>
          <w:rPr>
            <w:webHidden/>
          </w:rPr>
          <w:fldChar w:fldCharType="separate"/>
        </w:r>
        <w:r w:rsidR="003361A8">
          <w:rPr>
            <w:webHidden/>
          </w:rPr>
          <w:t>140</w:t>
        </w:r>
        <w:r>
          <w:rPr>
            <w:webHidden/>
          </w:rPr>
          <w:fldChar w:fldCharType="end"/>
        </w:r>
      </w:hyperlink>
    </w:p>
    <w:p w:rsidR="00A3294E" w:rsidRDefault="00A3294E">
      <w:pPr>
        <w:pStyle w:val="TableofFigures"/>
        <w:rPr>
          <w:rFonts w:ascii="Calibri" w:hAnsi="Calibri"/>
          <w:sz w:val="22"/>
          <w:szCs w:val="22"/>
          <w:lang w:val="en-AU" w:eastAsia="en-AU"/>
        </w:rPr>
      </w:pPr>
      <w:hyperlink w:anchor="_Toc337547011" w:history="1">
        <w:r w:rsidRPr="005769E8">
          <w:rPr>
            <w:rStyle w:val="Hyperlink"/>
          </w:rPr>
          <w:t>Table 74</w:t>
        </w:r>
        <w:r>
          <w:rPr>
            <w:rFonts w:ascii="Calibri" w:hAnsi="Calibri"/>
            <w:sz w:val="22"/>
            <w:szCs w:val="22"/>
            <w:lang w:val="en-AU" w:eastAsia="en-AU"/>
          </w:rPr>
          <w:tab/>
        </w:r>
        <w:r w:rsidRPr="005769E8">
          <w:rPr>
            <w:rStyle w:val="Hyperlink"/>
          </w:rPr>
          <w:t>Formulae used for statistical analysis for accuracy by histology report: Palmer 2012</w:t>
        </w:r>
        <w:r>
          <w:rPr>
            <w:webHidden/>
          </w:rPr>
          <w:tab/>
        </w:r>
        <w:r>
          <w:rPr>
            <w:webHidden/>
          </w:rPr>
          <w:fldChar w:fldCharType="begin"/>
        </w:r>
        <w:r>
          <w:rPr>
            <w:webHidden/>
          </w:rPr>
          <w:instrText xml:space="preserve"> PAGEREF _Toc337547011 \h </w:instrText>
        </w:r>
        <w:r>
          <w:rPr>
            <w:webHidden/>
          </w:rPr>
        </w:r>
        <w:r>
          <w:rPr>
            <w:webHidden/>
          </w:rPr>
          <w:fldChar w:fldCharType="separate"/>
        </w:r>
        <w:r w:rsidR="003361A8">
          <w:rPr>
            <w:webHidden/>
          </w:rPr>
          <w:t>141</w:t>
        </w:r>
        <w:r>
          <w:rPr>
            <w:webHidden/>
          </w:rPr>
          <w:fldChar w:fldCharType="end"/>
        </w:r>
      </w:hyperlink>
    </w:p>
    <w:p w:rsidR="00A3294E" w:rsidRDefault="00A3294E">
      <w:pPr>
        <w:pStyle w:val="TableofFigures"/>
        <w:rPr>
          <w:rFonts w:ascii="Calibri" w:hAnsi="Calibri"/>
          <w:sz w:val="22"/>
          <w:szCs w:val="22"/>
          <w:lang w:val="en-AU" w:eastAsia="en-AU"/>
        </w:rPr>
      </w:pPr>
      <w:hyperlink w:anchor="_Toc337547012" w:history="1">
        <w:r w:rsidRPr="005769E8">
          <w:rPr>
            <w:rStyle w:val="Hyperlink"/>
          </w:rPr>
          <w:t>Table 75</w:t>
        </w:r>
        <w:r>
          <w:rPr>
            <w:rFonts w:ascii="Calibri" w:hAnsi="Calibri"/>
            <w:sz w:val="22"/>
            <w:szCs w:val="22"/>
            <w:lang w:val="en-AU" w:eastAsia="en-AU"/>
          </w:rPr>
          <w:tab/>
        </w:r>
        <w:r w:rsidRPr="005769E8">
          <w:rPr>
            <w:rStyle w:val="Hyperlink"/>
          </w:rPr>
          <w:t>Test yield comparison (by cytology)—LBC manual versus LBC automated (ThinPrep): Palmer 2012</w:t>
        </w:r>
        <w:r>
          <w:rPr>
            <w:webHidden/>
          </w:rPr>
          <w:tab/>
        </w:r>
        <w:r>
          <w:rPr>
            <w:webHidden/>
          </w:rPr>
          <w:fldChar w:fldCharType="begin"/>
        </w:r>
        <w:r>
          <w:rPr>
            <w:webHidden/>
          </w:rPr>
          <w:instrText xml:space="preserve"> PAGEREF _Toc337547012 \h </w:instrText>
        </w:r>
        <w:r>
          <w:rPr>
            <w:webHidden/>
          </w:rPr>
        </w:r>
        <w:r>
          <w:rPr>
            <w:webHidden/>
          </w:rPr>
          <w:fldChar w:fldCharType="separate"/>
        </w:r>
        <w:r w:rsidR="003361A8">
          <w:rPr>
            <w:webHidden/>
          </w:rPr>
          <w:t>142</w:t>
        </w:r>
        <w:r>
          <w:rPr>
            <w:webHidden/>
          </w:rPr>
          <w:fldChar w:fldCharType="end"/>
        </w:r>
      </w:hyperlink>
    </w:p>
    <w:p w:rsidR="00A3294E" w:rsidRDefault="00A3294E">
      <w:pPr>
        <w:pStyle w:val="TableofFigures"/>
        <w:rPr>
          <w:rFonts w:ascii="Calibri" w:hAnsi="Calibri"/>
          <w:sz w:val="22"/>
          <w:szCs w:val="22"/>
          <w:lang w:val="en-AU" w:eastAsia="en-AU"/>
        </w:rPr>
      </w:pPr>
      <w:hyperlink w:anchor="_Toc337547013" w:history="1">
        <w:r w:rsidRPr="005769E8">
          <w:rPr>
            <w:rStyle w:val="Hyperlink"/>
          </w:rPr>
          <w:t>Table 76</w:t>
        </w:r>
        <w:r>
          <w:rPr>
            <w:rFonts w:ascii="Calibri" w:hAnsi="Calibri"/>
            <w:sz w:val="22"/>
            <w:szCs w:val="22"/>
            <w:lang w:val="en-AU" w:eastAsia="en-AU"/>
          </w:rPr>
          <w:tab/>
        </w:r>
        <w:r w:rsidRPr="005769E8">
          <w:rPr>
            <w:rStyle w:val="Hyperlink"/>
          </w:rPr>
          <w:t>Comparison of sensitivity, specificity and predictive value for any grade of abnormality—LBC manual versus LBC auto (ThinPrep): Palmer 2012</w:t>
        </w:r>
        <w:r>
          <w:rPr>
            <w:webHidden/>
          </w:rPr>
          <w:tab/>
        </w:r>
        <w:r>
          <w:rPr>
            <w:webHidden/>
          </w:rPr>
          <w:fldChar w:fldCharType="begin"/>
        </w:r>
        <w:r>
          <w:rPr>
            <w:webHidden/>
          </w:rPr>
          <w:instrText xml:space="preserve"> PAGEREF _Toc337547013 \h </w:instrText>
        </w:r>
        <w:r>
          <w:rPr>
            <w:webHidden/>
          </w:rPr>
        </w:r>
        <w:r>
          <w:rPr>
            <w:webHidden/>
          </w:rPr>
          <w:fldChar w:fldCharType="separate"/>
        </w:r>
        <w:r w:rsidR="003361A8">
          <w:rPr>
            <w:webHidden/>
          </w:rPr>
          <w:t>142</w:t>
        </w:r>
        <w:r>
          <w:rPr>
            <w:webHidden/>
          </w:rPr>
          <w:fldChar w:fldCharType="end"/>
        </w:r>
      </w:hyperlink>
    </w:p>
    <w:p w:rsidR="00A3294E" w:rsidRDefault="00A3294E">
      <w:pPr>
        <w:pStyle w:val="TableofFigures"/>
        <w:rPr>
          <w:rFonts w:ascii="Calibri" w:hAnsi="Calibri"/>
          <w:sz w:val="22"/>
          <w:szCs w:val="22"/>
          <w:lang w:val="en-AU" w:eastAsia="en-AU"/>
        </w:rPr>
      </w:pPr>
      <w:hyperlink w:anchor="_Toc337547014" w:history="1">
        <w:r w:rsidRPr="005769E8">
          <w:rPr>
            <w:rStyle w:val="Hyperlink"/>
          </w:rPr>
          <w:t>Table 77</w:t>
        </w:r>
        <w:r>
          <w:rPr>
            <w:rFonts w:ascii="Calibri" w:hAnsi="Calibri"/>
            <w:sz w:val="22"/>
            <w:szCs w:val="22"/>
            <w:lang w:val="en-AU" w:eastAsia="en-AU"/>
          </w:rPr>
          <w:tab/>
        </w:r>
        <w:r w:rsidRPr="005769E8">
          <w:rPr>
            <w:rStyle w:val="Hyperlink"/>
          </w:rPr>
          <w:t>Comparison of sensitivity, specificity and predictive value for a report of high grade dyskaryosis</w:t>
        </w:r>
        <w:r w:rsidRPr="005769E8">
          <w:rPr>
            <w:rStyle w:val="Hyperlink"/>
            <w:vertAlign w:val="superscript"/>
          </w:rPr>
          <w:t>a</w:t>
        </w:r>
        <w:r w:rsidRPr="005769E8">
          <w:rPr>
            <w:rStyle w:val="Hyperlink"/>
          </w:rPr>
          <w:t>—LBC manual versus LBC auto (ThinPrep): Palmer 2012*.</w:t>
        </w:r>
        <w:r>
          <w:rPr>
            <w:webHidden/>
          </w:rPr>
          <w:tab/>
        </w:r>
        <w:r>
          <w:rPr>
            <w:webHidden/>
          </w:rPr>
          <w:fldChar w:fldCharType="begin"/>
        </w:r>
        <w:r>
          <w:rPr>
            <w:webHidden/>
          </w:rPr>
          <w:instrText xml:space="preserve"> PAGEREF _Toc337547014 \h </w:instrText>
        </w:r>
        <w:r>
          <w:rPr>
            <w:webHidden/>
          </w:rPr>
        </w:r>
        <w:r>
          <w:rPr>
            <w:webHidden/>
          </w:rPr>
          <w:fldChar w:fldCharType="separate"/>
        </w:r>
        <w:r w:rsidR="003361A8">
          <w:rPr>
            <w:webHidden/>
          </w:rPr>
          <w:t>143</w:t>
        </w:r>
        <w:r>
          <w:rPr>
            <w:webHidden/>
          </w:rPr>
          <w:fldChar w:fldCharType="end"/>
        </w:r>
      </w:hyperlink>
    </w:p>
    <w:p w:rsidR="00A3294E" w:rsidRDefault="00A3294E">
      <w:pPr>
        <w:pStyle w:val="TableofFigures"/>
        <w:rPr>
          <w:rFonts w:ascii="Calibri" w:hAnsi="Calibri"/>
          <w:sz w:val="22"/>
          <w:szCs w:val="22"/>
          <w:lang w:val="en-AU" w:eastAsia="en-AU"/>
        </w:rPr>
      </w:pPr>
      <w:hyperlink w:anchor="_Toc337547015" w:history="1">
        <w:r w:rsidRPr="005769E8">
          <w:rPr>
            <w:rStyle w:val="Hyperlink"/>
          </w:rPr>
          <w:t>Table 78</w:t>
        </w:r>
        <w:r>
          <w:rPr>
            <w:rFonts w:ascii="Calibri" w:hAnsi="Calibri"/>
            <w:sz w:val="22"/>
            <w:szCs w:val="22"/>
            <w:lang w:val="en-AU" w:eastAsia="en-AU"/>
          </w:rPr>
          <w:tab/>
        </w:r>
        <w:r w:rsidRPr="005769E8">
          <w:rPr>
            <w:rStyle w:val="Hyperlink"/>
          </w:rPr>
          <w:t>Comparison of sensitivity, specificity and predictive value for a report of high grade dyskaryosis</w:t>
        </w:r>
        <w:r w:rsidRPr="005769E8">
          <w:rPr>
            <w:rStyle w:val="Hyperlink"/>
            <w:vertAlign w:val="superscript"/>
          </w:rPr>
          <w:t>a</w:t>
        </w:r>
        <w:r w:rsidRPr="005769E8">
          <w:rPr>
            <w:rStyle w:val="Hyperlink"/>
          </w:rPr>
          <w:t>—LBC manual versus LBC auto (ThinPrep): Palmer 2012*.</w:t>
        </w:r>
        <w:r>
          <w:rPr>
            <w:webHidden/>
          </w:rPr>
          <w:tab/>
        </w:r>
        <w:r>
          <w:rPr>
            <w:webHidden/>
          </w:rPr>
          <w:fldChar w:fldCharType="begin"/>
        </w:r>
        <w:r>
          <w:rPr>
            <w:webHidden/>
          </w:rPr>
          <w:instrText xml:space="preserve"> PAGEREF _Toc337547015 \h </w:instrText>
        </w:r>
        <w:r>
          <w:rPr>
            <w:webHidden/>
          </w:rPr>
        </w:r>
        <w:r>
          <w:rPr>
            <w:webHidden/>
          </w:rPr>
          <w:fldChar w:fldCharType="separate"/>
        </w:r>
        <w:r w:rsidR="003361A8">
          <w:rPr>
            <w:webHidden/>
          </w:rPr>
          <w:t>143</w:t>
        </w:r>
        <w:r>
          <w:rPr>
            <w:webHidden/>
          </w:rPr>
          <w:fldChar w:fldCharType="end"/>
        </w:r>
      </w:hyperlink>
    </w:p>
    <w:p w:rsidR="00A3294E" w:rsidRDefault="00A3294E">
      <w:pPr>
        <w:pStyle w:val="TableofFigures"/>
        <w:rPr>
          <w:rFonts w:ascii="Calibri" w:hAnsi="Calibri"/>
          <w:sz w:val="22"/>
          <w:szCs w:val="22"/>
          <w:lang w:val="en-AU" w:eastAsia="en-AU"/>
        </w:rPr>
      </w:pPr>
      <w:hyperlink w:anchor="_Toc337547016" w:history="1">
        <w:r w:rsidRPr="005769E8">
          <w:rPr>
            <w:rStyle w:val="Hyperlink"/>
          </w:rPr>
          <w:t>Table 79</w:t>
        </w:r>
        <w:r>
          <w:rPr>
            <w:rFonts w:ascii="Calibri" w:hAnsi="Calibri"/>
            <w:sz w:val="22"/>
            <w:szCs w:val="22"/>
            <w:lang w:val="en-AU" w:eastAsia="en-AU"/>
          </w:rPr>
          <w:tab/>
        </w:r>
        <w:r w:rsidRPr="005769E8">
          <w:rPr>
            <w:rStyle w:val="Hyperlink"/>
          </w:rPr>
          <w:t>Abnormal, positive and total predictive values of cytology for a final histology of CIN 2+ for the whole study: Palmer 2012</w:t>
        </w:r>
        <w:r>
          <w:rPr>
            <w:webHidden/>
          </w:rPr>
          <w:tab/>
        </w:r>
        <w:r>
          <w:rPr>
            <w:webHidden/>
          </w:rPr>
          <w:fldChar w:fldCharType="begin"/>
        </w:r>
        <w:r>
          <w:rPr>
            <w:webHidden/>
          </w:rPr>
          <w:instrText xml:space="preserve"> PAGEREF _Toc337547016 \h </w:instrText>
        </w:r>
        <w:r>
          <w:rPr>
            <w:webHidden/>
          </w:rPr>
        </w:r>
        <w:r>
          <w:rPr>
            <w:webHidden/>
          </w:rPr>
          <w:fldChar w:fldCharType="separate"/>
        </w:r>
        <w:r w:rsidR="003361A8">
          <w:rPr>
            <w:webHidden/>
          </w:rPr>
          <w:t>144</w:t>
        </w:r>
        <w:r>
          <w:rPr>
            <w:webHidden/>
          </w:rPr>
          <w:fldChar w:fldCharType="end"/>
        </w:r>
      </w:hyperlink>
    </w:p>
    <w:p w:rsidR="00A3294E" w:rsidRDefault="00A3294E">
      <w:pPr>
        <w:pStyle w:val="TableofFigures"/>
        <w:rPr>
          <w:rFonts w:ascii="Calibri" w:hAnsi="Calibri"/>
          <w:sz w:val="22"/>
          <w:szCs w:val="22"/>
          <w:lang w:val="en-AU" w:eastAsia="en-AU"/>
        </w:rPr>
      </w:pPr>
      <w:hyperlink w:anchor="_Toc337547017" w:history="1">
        <w:r w:rsidRPr="005769E8">
          <w:rPr>
            <w:rStyle w:val="Hyperlink"/>
          </w:rPr>
          <w:t>Table 80</w:t>
        </w:r>
        <w:r>
          <w:rPr>
            <w:rFonts w:ascii="Calibri" w:hAnsi="Calibri"/>
            <w:sz w:val="22"/>
            <w:szCs w:val="22"/>
            <w:lang w:val="en-AU" w:eastAsia="en-AU"/>
          </w:rPr>
          <w:tab/>
        </w:r>
        <w:r w:rsidRPr="005769E8">
          <w:rPr>
            <w:rStyle w:val="Hyperlink"/>
          </w:rPr>
          <w:t>Abnormal, positive and total predictive values of cytology for a final histology of CIN 3+ for the whole study: Palmer 2012</w:t>
        </w:r>
        <w:r>
          <w:rPr>
            <w:webHidden/>
          </w:rPr>
          <w:tab/>
        </w:r>
        <w:r>
          <w:rPr>
            <w:webHidden/>
          </w:rPr>
          <w:fldChar w:fldCharType="begin"/>
        </w:r>
        <w:r>
          <w:rPr>
            <w:webHidden/>
          </w:rPr>
          <w:instrText xml:space="preserve"> PAGEREF _Toc337547017 \h </w:instrText>
        </w:r>
        <w:r>
          <w:rPr>
            <w:webHidden/>
          </w:rPr>
        </w:r>
        <w:r>
          <w:rPr>
            <w:webHidden/>
          </w:rPr>
          <w:fldChar w:fldCharType="separate"/>
        </w:r>
        <w:r w:rsidR="003361A8">
          <w:rPr>
            <w:webHidden/>
          </w:rPr>
          <w:t>144</w:t>
        </w:r>
        <w:r>
          <w:rPr>
            <w:webHidden/>
          </w:rPr>
          <w:fldChar w:fldCharType="end"/>
        </w:r>
      </w:hyperlink>
    </w:p>
    <w:p w:rsidR="00A3294E" w:rsidRDefault="00A3294E">
      <w:pPr>
        <w:pStyle w:val="TableofFigures"/>
        <w:rPr>
          <w:rFonts w:ascii="Calibri" w:hAnsi="Calibri"/>
          <w:sz w:val="22"/>
          <w:szCs w:val="22"/>
          <w:lang w:val="en-AU" w:eastAsia="en-AU"/>
        </w:rPr>
      </w:pPr>
      <w:hyperlink w:anchor="_Toc337547018" w:history="1">
        <w:r w:rsidRPr="005769E8">
          <w:rPr>
            <w:rStyle w:val="Hyperlink"/>
          </w:rPr>
          <w:t>Table 81</w:t>
        </w:r>
        <w:r>
          <w:rPr>
            <w:rFonts w:ascii="Calibri" w:hAnsi="Calibri"/>
            <w:sz w:val="22"/>
            <w:szCs w:val="22"/>
            <w:lang w:val="en-AU" w:eastAsia="en-AU"/>
          </w:rPr>
          <w:tab/>
        </w:r>
        <w:r w:rsidRPr="005769E8">
          <w:rPr>
            <w:rStyle w:val="Hyperlink"/>
          </w:rPr>
          <w:t>Summary of the evidence base supporting the therapeutic claims</w:t>
        </w:r>
        <w:r>
          <w:rPr>
            <w:webHidden/>
          </w:rPr>
          <w:tab/>
        </w:r>
        <w:r>
          <w:rPr>
            <w:webHidden/>
          </w:rPr>
          <w:fldChar w:fldCharType="begin"/>
        </w:r>
        <w:r>
          <w:rPr>
            <w:webHidden/>
          </w:rPr>
          <w:instrText xml:space="preserve"> PAGEREF _Toc337547018 \h </w:instrText>
        </w:r>
        <w:r>
          <w:rPr>
            <w:webHidden/>
          </w:rPr>
        </w:r>
        <w:r>
          <w:rPr>
            <w:webHidden/>
          </w:rPr>
          <w:fldChar w:fldCharType="separate"/>
        </w:r>
        <w:r w:rsidR="003361A8">
          <w:rPr>
            <w:webHidden/>
          </w:rPr>
          <w:t>148</w:t>
        </w:r>
        <w:r>
          <w:rPr>
            <w:webHidden/>
          </w:rPr>
          <w:fldChar w:fldCharType="end"/>
        </w:r>
      </w:hyperlink>
    </w:p>
    <w:p w:rsidR="00A3294E" w:rsidRDefault="00A3294E">
      <w:pPr>
        <w:pStyle w:val="TableofFigures"/>
        <w:rPr>
          <w:rFonts w:ascii="Calibri" w:hAnsi="Calibri"/>
          <w:sz w:val="22"/>
          <w:szCs w:val="22"/>
          <w:lang w:val="en-AU" w:eastAsia="en-AU"/>
        </w:rPr>
      </w:pPr>
      <w:hyperlink w:anchor="_Toc337547019" w:history="1">
        <w:r w:rsidRPr="005769E8">
          <w:rPr>
            <w:rStyle w:val="Hyperlink"/>
          </w:rPr>
          <w:t>Table 82</w:t>
        </w:r>
        <w:r>
          <w:rPr>
            <w:rFonts w:ascii="Calibri" w:hAnsi="Calibri"/>
            <w:sz w:val="22"/>
            <w:szCs w:val="22"/>
            <w:lang w:val="en-AU" w:eastAsia="en-AU"/>
          </w:rPr>
          <w:tab/>
        </w:r>
        <w:r w:rsidRPr="005769E8">
          <w:rPr>
            <w:rStyle w:val="Hyperlink"/>
          </w:rPr>
          <w:t>Comparison of RCT baseline characteristics with women participating in the Australian cervical screening program in 2009–2010</w:t>
        </w:r>
        <w:r>
          <w:rPr>
            <w:webHidden/>
          </w:rPr>
          <w:tab/>
        </w:r>
        <w:r>
          <w:rPr>
            <w:webHidden/>
          </w:rPr>
          <w:fldChar w:fldCharType="begin"/>
        </w:r>
        <w:r>
          <w:rPr>
            <w:webHidden/>
          </w:rPr>
          <w:instrText xml:space="preserve"> PAGEREF _Toc337547019 \h </w:instrText>
        </w:r>
        <w:r>
          <w:rPr>
            <w:webHidden/>
          </w:rPr>
        </w:r>
        <w:r>
          <w:rPr>
            <w:webHidden/>
          </w:rPr>
          <w:fldChar w:fldCharType="separate"/>
        </w:r>
        <w:r w:rsidR="003361A8">
          <w:rPr>
            <w:webHidden/>
          </w:rPr>
          <w:t>155</w:t>
        </w:r>
        <w:r>
          <w:rPr>
            <w:webHidden/>
          </w:rPr>
          <w:fldChar w:fldCharType="end"/>
        </w:r>
      </w:hyperlink>
    </w:p>
    <w:p w:rsidR="00A3294E" w:rsidRPr="002E13B3" w:rsidRDefault="00A3294E">
      <w:pPr>
        <w:pStyle w:val="TableofFigures"/>
        <w:rPr>
          <w:sz w:val="22"/>
          <w:szCs w:val="22"/>
          <w:lang w:val="en-AU" w:eastAsia="en-AU"/>
        </w:rPr>
      </w:pPr>
      <w:hyperlink w:anchor="_Toc337547020" w:history="1">
        <w:r w:rsidRPr="002E13B3">
          <w:rPr>
            <w:rStyle w:val="Hyperlink"/>
            <w:rFonts w:cs="Arial"/>
          </w:rPr>
          <w:t>Table 83</w:t>
        </w:r>
        <w:r w:rsidRPr="002E13B3">
          <w:rPr>
            <w:sz w:val="22"/>
            <w:szCs w:val="22"/>
            <w:lang w:val="en-AU" w:eastAsia="en-AU"/>
          </w:rPr>
          <w:tab/>
        </w:r>
        <w:r w:rsidR="005B3672" w:rsidRPr="005B3672">
          <w:rPr>
            <w:rStyle w:val="Hyperlink"/>
            <w:rFonts w:cs="Arial"/>
            <w:i/>
            <w:lang w:val="en-AU"/>
          </w:rPr>
          <w:t>Commercial-in-confidence</w:t>
        </w:r>
        <w:r w:rsidRPr="002E13B3">
          <w:rPr>
            <w:webHidden/>
          </w:rPr>
          <w:tab/>
        </w:r>
      </w:hyperlink>
    </w:p>
    <w:p w:rsidR="00A3294E" w:rsidRPr="002E13B3" w:rsidRDefault="00A3294E">
      <w:pPr>
        <w:pStyle w:val="TableofFigures"/>
        <w:rPr>
          <w:sz w:val="22"/>
          <w:szCs w:val="22"/>
          <w:lang w:val="en-AU" w:eastAsia="en-AU"/>
        </w:rPr>
      </w:pPr>
      <w:hyperlink w:anchor="_Toc337547021" w:history="1">
        <w:r w:rsidRPr="002E13B3">
          <w:rPr>
            <w:rStyle w:val="Hyperlink"/>
            <w:rFonts w:cs="Arial"/>
          </w:rPr>
          <w:t>Table 84</w:t>
        </w:r>
        <w:r w:rsidRPr="002E13B3">
          <w:rPr>
            <w:sz w:val="22"/>
            <w:szCs w:val="22"/>
            <w:lang w:val="en-AU" w:eastAsia="en-AU"/>
          </w:rPr>
          <w:tab/>
        </w:r>
        <w:r w:rsidR="005B3672" w:rsidRPr="005B3672">
          <w:rPr>
            <w:rStyle w:val="Hyperlink"/>
            <w:rFonts w:cs="Arial"/>
            <w:i/>
            <w:lang w:val="en-AU"/>
          </w:rPr>
          <w:t>Commercial-in-confidence</w:t>
        </w:r>
        <w:r w:rsidRPr="002E13B3">
          <w:rPr>
            <w:webHidden/>
          </w:rPr>
          <w:tab/>
        </w:r>
      </w:hyperlink>
    </w:p>
    <w:p w:rsidR="00A3294E" w:rsidRPr="002E13B3" w:rsidRDefault="00A3294E">
      <w:pPr>
        <w:pStyle w:val="TableofFigures"/>
        <w:rPr>
          <w:sz w:val="22"/>
          <w:szCs w:val="22"/>
          <w:lang w:val="en-AU" w:eastAsia="en-AU"/>
        </w:rPr>
      </w:pPr>
      <w:hyperlink w:anchor="_Toc337547022" w:history="1">
        <w:r w:rsidRPr="002E13B3">
          <w:rPr>
            <w:rStyle w:val="Hyperlink"/>
            <w:rFonts w:cs="Arial"/>
          </w:rPr>
          <w:t>Table 85</w:t>
        </w:r>
        <w:r w:rsidRPr="002E13B3">
          <w:rPr>
            <w:sz w:val="22"/>
            <w:szCs w:val="22"/>
            <w:lang w:val="en-AU" w:eastAsia="en-AU"/>
          </w:rPr>
          <w:tab/>
        </w:r>
        <w:r w:rsidR="005B3672" w:rsidRPr="005B3672">
          <w:rPr>
            <w:rStyle w:val="Hyperlink"/>
            <w:rFonts w:cs="Arial"/>
            <w:i/>
            <w:lang w:val="en-AU"/>
          </w:rPr>
          <w:t>Commercial-in-confidence</w:t>
        </w:r>
        <w:r w:rsidRPr="002E13B3">
          <w:rPr>
            <w:webHidden/>
          </w:rPr>
          <w:tab/>
        </w:r>
      </w:hyperlink>
    </w:p>
    <w:p w:rsidR="00A3294E" w:rsidRDefault="00A3294E">
      <w:pPr>
        <w:pStyle w:val="TableofFigures"/>
        <w:rPr>
          <w:rFonts w:ascii="Calibri" w:hAnsi="Calibri"/>
          <w:sz w:val="22"/>
          <w:szCs w:val="22"/>
          <w:lang w:val="en-AU" w:eastAsia="en-AU"/>
        </w:rPr>
      </w:pPr>
      <w:hyperlink w:anchor="_Toc337547023" w:history="1">
        <w:r w:rsidRPr="005769E8">
          <w:rPr>
            <w:rStyle w:val="Hyperlink"/>
          </w:rPr>
          <w:t>Table 86</w:t>
        </w:r>
        <w:r>
          <w:rPr>
            <w:rFonts w:ascii="Calibri" w:hAnsi="Calibri"/>
            <w:sz w:val="22"/>
            <w:szCs w:val="22"/>
            <w:lang w:val="en-AU" w:eastAsia="en-AU"/>
          </w:rPr>
          <w:tab/>
        </w:r>
        <w:r w:rsidRPr="005769E8">
          <w:rPr>
            <w:rStyle w:val="Hyperlink"/>
          </w:rPr>
          <w:t>Cost-minimisation analysis comparing cell enrichment LBC with conventional cytology</w:t>
        </w:r>
        <w:r>
          <w:rPr>
            <w:webHidden/>
          </w:rPr>
          <w:tab/>
        </w:r>
        <w:r>
          <w:rPr>
            <w:webHidden/>
          </w:rPr>
          <w:fldChar w:fldCharType="begin"/>
        </w:r>
        <w:r>
          <w:rPr>
            <w:webHidden/>
          </w:rPr>
          <w:instrText xml:space="preserve"> PAGEREF _Toc337547023 \h </w:instrText>
        </w:r>
        <w:r>
          <w:rPr>
            <w:webHidden/>
          </w:rPr>
        </w:r>
        <w:r>
          <w:rPr>
            <w:webHidden/>
          </w:rPr>
          <w:fldChar w:fldCharType="separate"/>
        </w:r>
        <w:r w:rsidR="003361A8">
          <w:rPr>
            <w:webHidden/>
          </w:rPr>
          <w:t>182</w:t>
        </w:r>
        <w:r>
          <w:rPr>
            <w:webHidden/>
          </w:rPr>
          <w:fldChar w:fldCharType="end"/>
        </w:r>
      </w:hyperlink>
    </w:p>
    <w:p w:rsidR="00A3294E" w:rsidRDefault="00A3294E">
      <w:pPr>
        <w:pStyle w:val="TableofFigures"/>
        <w:rPr>
          <w:rFonts w:ascii="Calibri" w:hAnsi="Calibri"/>
          <w:sz w:val="22"/>
          <w:szCs w:val="22"/>
          <w:lang w:val="en-AU" w:eastAsia="en-AU"/>
        </w:rPr>
      </w:pPr>
      <w:hyperlink w:anchor="_Toc337547024" w:history="1">
        <w:r w:rsidRPr="005769E8">
          <w:rPr>
            <w:rStyle w:val="Hyperlink"/>
          </w:rPr>
          <w:t>Table 87</w:t>
        </w:r>
        <w:r>
          <w:rPr>
            <w:rFonts w:ascii="Calibri" w:hAnsi="Calibri"/>
            <w:sz w:val="22"/>
            <w:szCs w:val="22"/>
            <w:lang w:val="en-AU" w:eastAsia="en-AU"/>
          </w:rPr>
          <w:tab/>
        </w:r>
        <w:r w:rsidRPr="005769E8">
          <w:rPr>
            <w:rStyle w:val="Hyperlink"/>
          </w:rPr>
          <w:t>Results of the economic model, cell enrichment LBC versus conventional cytology</w:t>
        </w:r>
        <w:r>
          <w:rPr>
            <w:webHidden/>
          </w:rPr>
          <w:tab/>
        </w:r>
        <w:r>
          <w:rPr>
            <w:webHidden/>
          </w:rPr>
          <w:fldChar w:fldCharType="begin"/>
        </w:r>
        <w:r>
          <w:rPr>
            <w:webHidden/>
          </w:rPr>
          <w:instrText xml:space="preserve"> PAGEREF _Toc337547024 \h </w:instrText>
        </w:r>
        <w:r>
          <w:rPr>
            <w:webHidden/>
          </w:rPr>
        </w:r>
        <w:r>
          <w:rPr>
            <w:webHidden/>
          </w:rPr>
          <w:fldChar w:fldCharType="separate"/>
        </w:r>
        <w:r w:rsidR="003361A8">
          <w:rPr>
            <w:webHidden/>
          </w:rPr>
          <w:t>189</w:t>
        </w:r>
        <w:r>
          <w:rPr>
            <w:webHidden/>
          </w:rPr>
          <w:fldChar w:fldCharType="end"/>
        </w:r>
      </w:hyperlink>
    </w:p>
    <w:p w:rsidR="00A3294E" w:rsidRDefault="00A3294E">
      <w:pPr>
        <w:pStyle w:val="TableofFigures"/>
        <w:rPr>
          <w:rFonts w:ascii="Calibri" w:hAnsi="Calibri"/>
          <w:sz w:val="22"/>
          <w:szCs w:val="22"/>
          <w:lang w:val="en-AU" w:eastAsia="en-AU"/>
        </w:rPr>
      </w:pPr>
      <w:hyperlink w:anchor="_Toc337547025" w:history="1">
        <w:r w:rsidRPr="005769E8">
          <w:rPr>
            <w:rStyle w:val="Hyperlink"/>
          </w:rPr>
          <w:t>Table 88</w:t>
        </w:r>
        <w:r>
          <w:rPr>
            <w:rFonts w:ascii="Calibri" w:hAnsi="Calibri"/>
            <w:sz w:val="22"/>
            <w:szCs w:val="22"/>
            <w:lang w:val="en-AU" w:eastAsia="en-AU"/>
          </w:rPr>
          <w:tab/>
        </w:r>
        <w:r w:rsidRPr="005769E8">
          <w:rPr>
            <w:rStyle w:val="Hyperlink"/>
          </w:rPr>
          <w:t>Conventional Pap smear cytology tests currently available on the MBS</w:t>
        </w:r>
        <w:r>
          <w:rPr>
            <w:webHidden/>
          </w:rPr>
          <w:tab/>
        </w:r>
        <w:r>
          <w:rPr>
            <w:webHidden/>
          </w:rPr>
          <w:fldChar w:fldCharType="begin"/>
        </w:r>
        <w:r>
          <w:rPr>
            <w:webHidden/>
          </w:rPr>
          <w:instrText xml:space="preserve"> PAGEREF _Toc337547025 \h </w:instrText>
        </w:r>
        <w:r>
          <w:rPr>
            <w:webHidden/>
          </w:rPr>
        </w:r>
        <w:r>
          <w:rPr>
            <w:webHidden/>
          </w:rPr>
          <w:fldChar w:fldCharType="separate"/>
        </w:r>
        <w:r w:rsidR="003361A8">
          <w:rPr>
            <w:webHidden/>
          </w:rPr>
          <w:t>196</w:t>
        </w:r>
        <w:r>
          <w:rPr>
            <w:webHidden/>
          </w:rPr>
          <w:fldChar w:fldCharType="end"/>
        </w:r>
      </w:hyperlink>
    </w:p>
    <w:p w:rsidR="00A3294E" w:rsidRDefault="00A3294E">
      <w:pPr>
        <w:pStyle w:val="TableofFigures"/>
        <w:rPr>
          <w:rFonts w:ascii="Calibri" w:hAnsi="Calibri"/>
          <w:sz w:val="22"/>
          <w:szCs w:val="22"/>
          <w:lang w:val="en-AU" w:eastAsia="en-AU"/>
        </w:rPr>
      </w:pPr>
      <w:hyperlink w:anchor="_Toc337547026" w:history="1">
        <w:r w:rsidRPr="005769E8">
          <w:rPr>
            <w:rStyle w:val="Hyperlink"/>
          </w:rPr>
          <w:t>Table 89</w:t>
        </w:r>
        <w:r>
          <w:rPr>
            <w:rFonts w:ascii="Calibri" w:hAnsi="Calibri"/>
            <w:sz w:val="22"/>
            <w:szCs w:val="22"/>
            <w:lang w:val="en-AU" w:eastAsia="en-AU"/>
          </w:rPr>
          <w:tab/>
        </w:r>
        <w:r w:rsidRPr="005769E8">
          <w:rPr>
            <w:rStyle w:val="Hyperlink"/>
          </w:rPr>
          <w:t>MBS services for conventional cytology of a smear from cervix in 2008–2012</w:t>
        </w:r>
        <w:r>
          <w:rPr>
            <w:webHidden/>
          </w:rPr>
          <w:tab/>
        </w:r>
        <w:r>
          <w:rPr>
            <w:webHidden/>
          </w:rPr>
          <w:fldChar w:fldCharType="begin"/>
        </w:r>
        <w:r>
          <w:rPr>
            <w:webHidden/>
          </w:rPr>
          <w:instrText xml:space="preserve"> PAGEREF _Toc337547026 \h </w:instrText>
        </w:r>
        <w:r>
          <w:rPr>
            <w:webHidden/>
          </w:rPr>
        </w:r>
        <w:r>
          <w:rPr>
            <w:webHidden/>
          </w:rPr>
          <w:fldChar w:fldCharType="separate"/>
        </w:r>
        <w:r w:rsidR="003361A8">
          <w:rPr>
            <w:webHidden/>
          </w:rPr>
          <w:t>198</w:t>
        </w:r>
        <w:r>
          <w:rPr>
            <w:webHidden/>
          </w:rPr>
          <w:fldChar w:fldCharType="end"/>
        </w:r>
      </w:hyperlink>
    </w:p>
    <w:p w:rsidR="00A3294E" w:rsidRDefault="00A3294E">
      <w:pPr>
        <w:pStyle w:val="TableofFigures"/>
        <w:rPr>
          <w:rFonts w:ascii="Calibri" w:hAnsi="Calibri"/>
          <w:sz w:val="22"/>
          <w:szCs w:val="22"/>
          <w:lang w:val="en-AU" w:eastAsia="en-AU"/>
        </w:rPr>
      </w:pPr>
      <w:hyperlink w:anchor="_Toc337547027" w:history="1">
        <w:r w:rsidRPr="005769E8">
          <w:rPr>
            <w:rStyle w:val="Hyperlink"/>
          </w:rPr>
          <w:t>Table 90</w:t>
        </w:r>
        <w:r>
          <w:rPr>
            <w:rFonts w:ascii="Calibri" w:hAnsi="Calibri"/>
            <w:sz w:val="22"/>
            <w:szCs w:val="22"/>
            <w:lang w:val="en-AU" w:eastAsia="en-AU"/>
          </w:rPr>
          <w:tab/>
        </w:r>
        <w:r w:rsidRPr="005769E8">
          <w:rPr>
            <w:rStyle w:val="Hyperlink"/>
          </w:rPr>
          <w:t>Rates of unsatisfactory smear and pLSIL result, conventional cytology vs. cell enrichment LBC</w:t>
        </w:r>
        <w:r>
          <w:rPr>
            <w:webHidden/>
          </w:rPr>
          <w:tab/>
        </w:r>
        <w:r>
          <w:rPr>
            <w:webHidden/>
          </w:rPr>
          <w:fldChar w:fldCharType="begin"/>
        </w:r>
        <w:r>
          <w:rPr>
            <w:webHidden/>
          </w:rPr>
          <w:instrText xml:space="preserve"> PAGEREF _Toc337547027 \h </w:instrText>
        </w:r>
        <w:r>
          <w:rPr>
            <w:webHidden/>
          </w:rPr>
        </w:r>
        <w:r>
          <w:rPr>
            <w:webHidden/>
          </w:rPr>
          <w:fldChar w:fldCharType="separate"/>
        </w:r>
        <w:r w:rsidR="003361A8">
          <w:rPr>
            <w:webHidden/>
          </w:rPr>
          <w:t>198</w:t>
        </w:r>
        <w:r>
          <w:rPr>
            <w:webHidden/>
          </w:rPr>
          <w:fldChar w:fldCharType="end"/>
        </w:r>
      </w:hyperlink>
    </w:p>
    <w:p w:rsidR="00A3294E" w:rsidRDefault="00A3294E">
      <w:pPr>
        <w:pStyle w:val="TableofFigures"/>
        <w:rPr>
          <w:rFonts w:ascii="Calibri" w:hAnsi="Calibri"/>
          <w:sz w:val="22"/>
          <w:szCs w:val="22"/>
          <w:lang w:val="en-AU" w:eastAsia="en-AU"/>
        </w:rPr>
      </w:pPr>
      <w:hyperlink w:anchor="_Toc337547028" w:history="1">
        <w:r w:rsidRPr="005769E8">
          <w:rPr>
            <w:rStyle w:val="Hyperlink"/>
          </w:rPr>
          <w:t>Table 91</w:t>
        </w:r>
        <w:r>
          <w:rPr>
            <w:rFonts w:ascii="Calibri" w:hAnsi="Calibri"/>
            <w:sz w:val="22"/>
            <w:szCs w:val="22"/>
            <w:lang w:val="en-AU" w:eastAsia="en-AU"/>
          </w:rPr>
          <w:tab/>
        </w:r>
        <w:r w:rsidRPr="005769E8">
          <w:rPr>
            <w:rStyle w:val="Hyperlink"/>
          </w:rPr>
          <w:t>Projected MBS service numbers for conventional cytology in 2013–2017</w:t>
        </w:r>
        <w:r>
          <w:rPr>
            <w:webHidden/>
          </w:rPr>
          <w:tab/>
        </w:r>
        <w:r>
          <w:rPr>
            <w:webHidden/>
          </w:rPr>
          <w:fldChar w:fldCharType="begin"/>
        </w:r>
        <w:r>
          <w:rPr>
            <w:webHidden/>
          </w:rPr>
          <w:instrText xml:space="preserve"> PAGEREF _Toc337547028 \h </w:instrText>
        </w:r>
        <w:r>
          <w:rPr>
            <w:webHidden/>
          </w:rPr>
        </w:r>
        <w:r>
          <w:rPr>
            <w:webHidden/>
          </w:rPr>
          <w:fldChar w:fldCharType="separate"/>
        </w:r>
        <w:r w:rsidR="003361A8">
          <w:rPr>
            <w:webHidden/>
          </w:rPr>
          <w:t>200</w:t>
        </w:r>
        <w:r>
          <w:rPr>
            <w:webHidden/>
          </w:rPr>
          <w:fldChar w:fldCharType="end"/>
        </w:r>
      </w:hyperlink>
    </w:p>
    <w:p w:rsidR="00A3294E" w:rsidRDefault="00A3294E">
      <w:pPr>
        <w:pStyle w:val="TableofFigures"/>
        <w:rPr>
          <w:rFonts w:ascii="Calibri" w:hAnsi="Calibri"/>
          <w:sz w:val="22"/>
          <w:szCs w:val="22"/>
          <w:lang w:val="en-AU" w:eastAsia="en-AU"/>
        </w:rPr>
      </w:pPr>
      <w:hyperlink w:anchor="_Toc337547029" w:history="1">
        <w:r w:rsidRPr="005769E8">
          <w:rPr>
            <w:rStyle w:val="Hyperlink"/>
          </w:rPr>
          <w:t>Table 92</w:t>
        </w:r>
        <w:r>
          <w:rPr>
            <w:rFonts w:ascii="Calibri" w:hAnsi="Calibri"/>
            <w:sz w:val="22"/>
            <w:szCs w:val="22"/>
            <w:lang w:val="en-AU" w:eastAsia="en-AU"/>
          </w:rPr>
          <w:tab/>
        </w:r>
        <w:r w:rsidRPr="005769E8">
          <w:rPr>
            <w:rStyle w:val="Hyperlink"/>
          </w:rPr>
          <w:t>Projected use of Item 73053 for initial screening tests and for re-tests due to previous unsatisfactory smear</w:t>
        </w:r>
        <w:r>
          <w:rPr>
            <w:webHidden/>
          </w:rPr>
          <w:tab/>
        </w:r>
        <w:r>
          <w:rPr>
            <w:webHidden/>
          </w:rPr>
          <w:fldChar w:fldCharType="begin"/>
        </w:r>
        <w:r>
          <w:rPr>
            <w:webHidden/>
          </w:rPr>
          <w:instrText xml:space="preserve"> PAGEREF _Toc337547029 \h </w:instrText>
        </w:r>
        <w:r>
          <w:rPr>
            <w:webHidden/>
          </w:rPr>
        </w:r>
        <w:r>
          <w:rPr>
            <w:webHidden/>
          </w:rPr>
          <w:fldChar w:fldCharType="separate"/>
        </w:r>
        <w:r w:rsidR="003361A8">
          <w:rPr>
            <w:webHidden/>
          </w:rPr>
          <w:t>201</w:t>
        </w:r>
        <w:r>
          <w:rPr>
            <w:webHidden/>
          </w:rPr>
          <w:fldChar w:fldCharType="end"/>
        </w:r>
      </w:hyperlink>
    </w:p>
    <w:p w:rsidR="00A3294E" w:rsidRDefault="00A3294E">
      <w:pPr>
        <w:pStyle w:val="TableofFigures"/>
        <w:rPr>
          <w:rFonts w:ascii="Calibri" w:hAnsi="Calibri"/>
          <w:sz w:val="22"/>
          <w:szCs w:val="22"/>
          <w:lang w:val="en-AU" w:eastAsia="en-AU"/>
        </w:rPr>
      </w:pPr>
      <w:hyperlink w:anchor="_Toc337547030" w:history="1">
        <w:r w:rsidRPr="005769E8">
          <w:rPr>
            <w:rStyle w:val="Hyperlink"/>
          </w:rPr>
          <w:t>Table 93</w:t>
        </w:r>
        <w:r>
          <w:rPr>
            <w:rFonts w:ascii="Calibri" w:hAnsi="Calibri"/>
            <w:sz w:val="22"/>
            <w:szCs w:val="22"/>
            <w:lang w:val="en-AU" w:eastAsia="en-AU"/>
          </w:rPr>
          <w:tab/>
        </w:r>
        <w:r w:rsidRPr="005769E8">
          <w:rPr>
            <w:rStyle w:val="Hyperlink"/>
          </w:rPr>
          <w:t>Projected use of Item 73055 for screening-related follow-up tests and for other follow-up investigation</w:t>
        </w:r>
        <w:r>
          <w:rPr>
            <w:webHidden/>
          </w:rPr>
          <w:tab/>
        </w:r>
        <w:r>
          <w:rPr>
            <w:webHidden/>
          </w:rPr>
          <w:fldChar w:fldCharType="begin"/>
        </w:r>
        <w:r>
          <w:rPr>
            <w:webHidden/>
          </w:rPr>
          <w:instrText xml:space="preserve"> PAGEREF _Toc337547030 \h </w:instrText>
        </w:r>
        <w:r>
          <w:rPr>
            <w:webHidden/>
          </w:rPr>
        </w:r>
        <w:r>
          <w:rPr>
            <w:webHidden/>
          </w:rPr>
          <w:fldChar w:fldCharType="separate"/>
        </w:r>
        <w:r w:rsidR="003361A8">
          <w:rPr>
            <w:webHidden/>
          </w:rPr>
          <w:t>202</w:t>
        </w:r>
        <w:r>
          <w:rPr>
            <w:webHidden/>
          </w:rPr>
          <w:fldChar w:fldCharType="end"/>
        </w:r>
      </w:hyperlink>
    </w:p>
    <w:p w:rsidR="00A3294E" w:rsidRDefault="00A3294E">
      <w:pPr>
        <w:pStyle w:val="TableofFigures"/>
        <w:rPr>
          <w:rFonts w:ascii="Calibri" w:hAnsi="Calibri"/>
          <w:sz w:val="22"/>
          <w:szCs w:val="22"/>
          <w:lang w:val="en-AU" w:eastAsia="en-AU"/>
        </w:rPr>
      </w:pPr>
      <w:hyperlink w:anchor="_Toc337547031" w:history="1">
        <w:r w:rsidRPr="005769E8">
          <w:rPr>
            <w:rStyle w:val="Hyperlink"/>
          </w:rPr>
          <w:t>Table 94</w:t>
        </w:r>
        <w:r>
          <w:rPr>
            <w:rFonts w:ascii="Calibri" w:hAnsi="Calibri"/>
            <w:sz w:val="22"/>
            <w:szCs w:val="22"/>
            <w:lang w:val="en-AU" w:eastAsia="en-AU"/>
          </w:rPr>
          <w:tab/>
        </w:r>
        <w:r w:rsidRPr="005769E8">
          <w:rPr>
            <w:rStyle w:val="Hyperlink"/>
          </w:rPr>
          <w:t>Estimated use of cell enrichment LBC as screening tests–initial screening tests and re-tests due to previous unsatisfactory smear</w:t>
        </w:r>
        <w:r>
          <w:rPr>
            <w:webHidden/>
          </w:rPr>
          <w:tab/>
        </w:r>
        <w:r>
          <w:rPr>
            <w:webHidden/>
          </w:rPr>
          <w:fldChar w:fldCharType="begin"/>
        </w:r>
        <w:r>
          <w:rPr>
            <w:webHidden/>
          </w:rPr>
          <w:instrText xml:space="preserve"> PAGEREF _Toc337547031 \h </w:instrText>
        </w:r>
        <w:r>
          <w:rPr>
            <w:webHidden/>
          </w:rPr>
        </w:r>
        <w:r>
          <w:rPr>
            <w:webHidden/>
          </w:rPr>
          <w:fldChar w:fldCharType="separate"/>
        </w:r>
        <w:r w:rsidR="003361A8">
          <w:rPr>
            <w:webHidden/>
          </w:rPr>
          <w:t>203</w:t>
        </w:r>
        <w:r>
          <w:rPr>
            <w:webHidden/>
          </w:rPr>
          <w:fldChar w:fldCharType="end"/>
        </w:r>
      </w:hyperlink>
    </w:p>
    <w:p w:rsidR="00A3294E" w:rsidRDefault="00A3294E">
      <w:pPr>
        <w:pStyle w:val="TableofFigures"/>
        <w:rPr>
          <w:rFonts w:ascii="Calibri" w:hAnsi="Calibri"/>
          <w:sz w:val="22"/>
          <w:szCs w:val="22"/>
          <w:lang w:val="en-AU" w:eastAsia="en-AU"/>
        </w:rPr>
      </w:pPr>
      <w:hyperlink w:anchor="_Toc337547032" w:history="1">
        <w:r w:rsidRPr="005769E8">
          <w:rPr>
            <w:rStyle w:val="Hyperlink"/>
          </w:rPr>
          <w:t>Table 95</w:t>
        </w:r>
        <w:r>
          <w:rPr>
            <w:rFonts w:ascii="Calibri" w:hAnsi="Calibri"/>
            <w:sz w:val="22"/>
            <w:szCs w:val="22"/>
            <w:lang w:val="en-AU" w:eastAsia="en-AU"/>
          </w:rPr>
          <w:tab/>
        </w:r>
        <w:r w:rsidRPr="005769E8">
          <w:rPr>
            <w:rStyle w:val="Hyperlink"/>
          </w:rPr>
          <w:t>Estimated use of cell enrichment LBC as follow-up tests–follow-up due to a positive screening test and other follow-up investigations</w:t>
        </w:r>
        <w:r>
          <w:rPr>
            <w:webHidden/>
          </w:rPr>
          <w:tab/>
        </w:r>
        <w:r>
          <w:rPr>
            <w:webHidden/>
          </w:rPr>
          <w:fldChar w:fldCharType="begin"/>
        </w:r>
        <w:r>
          <w:rPr>
            <w:webHidden/>
          </w:rPr>
          <w:instrText xml:space="preserve"> PAGEREF _Toc337547032 \h </w:instrText>
        </w:r>
        <w:r>
          <w:rPr>
            <w:webHidden/>
          </w:rPr>
        </w:r>
        <w:r>
          <w:rPr>
            <w:webHidden/>
          </w:rPr>
          <w:fldChar w:fldCharType="separate"/>
        </w:r>
        <w:r w:rsidR="003361A8">
          <w:rPr>
            <w:webHidden/>
          </w:rPr>
          <w:t>204</w:t>
        </w:r>
        <w:r>
          <w:rPr>
            <w:webHidden/>
          </w:rPr>
          <w:fldChar w:fldCharType="end"/>
        </w:r>
      </w:hyperlink>
    </w:p>
    <w:p w:rsidR="00A3294E" w:rsidRDefault="00A3294E">
      <w:pPr>
        <w:pStyle w:val="TableofFigures"/>
        <w:rPr>
          <w:rFonts w:ascii="Calibri" w:hAnsi="Calibri"/>
          <w:sz w:val="22"/>
          <w:szCs w:val="22"/>
          <w:lang w:val="en-AU" w:eastAsia="en-AU"/>
        </w:rPr>
      </w:pPr>
      <w:hyperlink w:anchor="_Toc337547033" w:history="1">
        <w:r w:rsidRPr="005769E8">
          <w:rPr>
            <w:rStyle w:val="Hyperlink"/>
          </w:rPr>
          <w:t>Table 96</w:t>
        </w:r>
        <w:r>
          <w:rPr>
            <w:rFonts w:ascii="Calibri" w:hAnsi="Calibri"/>
            <w:sz w:val="22"/>
            <w:szCs w:val="22"/>
            <w:lang w:val="en-AU" w:eastAsia="en-AU"/>
          </w:rPr>
          <w:tab/>
        </w:r>
        <w:r w:rsidRPr="005769E8">
          <w:rPr>
            <w:rStyle w:val="Hyperlink"/>
          </w:rPr>
          <w:t>Estimated use of cell enrichment LBC: Total</w:t>
        </w:r>
        <w:r>
          <w:rPr>
            <w:webHidden/>
          </w:rPr>
          <w:tab/>
        </w:r>
        <w:r>
          <w:rPr>
            <w:webHidden/>
          </w:rPr>
          <w:fldChar w:fldCharType="begin"/>
        </w:r>
        <w:r>
          <w:rPr>
            <w:webHidden/>
          </w:rPr>
          <w:instrText xml:space="preserve"> PAGEREF _Toc337547033 \h </w:instrText>
        </w:r>
        <w:r>
          <w:rPr>
            <w:webHidden/>
          </w:rPr>
        </w:r>
        <w:r>
          <w:rPr>
            <w:webHidden/>
          </w:rPr>
          <w:fldChar w:fldCharType="separate"/>
        </w:r>
        <w:r w:rsidR="003361A8">
          <w:rPr>
            <w:webHidden/>
          </w:rPr>
          <w:t>205</w:t>
        </w:r>
        <w:r>
          <w:rPr>
            <w:webHidden/>
          </w:rPr>
          <w:fldChar w:fldCharType="end"/>
        </w:r>
      </w:hyperlink>
    </w:p>
    <w:p w:rsidR="00A3294E" w:rsidRDefault="00A3294E">
      <w:pPr>
        <w:pStyle w:val="TableofFigures"/>
        <w:rPr>
          <w:rFonts w:ascii="Calibri" w:hAnsi="Calibri"/>
          <w:sz w:val="22"/>
          <w:szCs w:val="22"/>
          <w:lang w:val="en-AU" w:eastAsia="en-AU"/>
        </w:rPr>
      </w:pPr>
      <w:hyperlink w:anchor="_Toc337547034" w:history="1">
        <w:r w:rsidRPr="005769E8">
          <w:rPr>
            <w:rStyle w:val="Hyperlink"/>
          </w:rPr>
          <w:t>Table 97</w:t>
        </w:r>
        <w:r>
          <w:rPr>
            <w:rFonts w:ascii="Calibri" w:hAnsi="Calibri"/>
            <w:sz w:val="22"/>
            <w:szCs w:val="22"/>
            <w:lang w:val="en-AU" w:eastAsia="en-AU"/>
          </w:rPr>
          <w:tab/>
        </w:r>
        <w:r w:rsidRPr="005769E8">
          <w:rPr>
            <w:rStyle w:val="Hyperlink"/>
          </w:rPr>
          <w:t>Estimated use of cell enrichment LBC: 50% uptake scenario</w:t>
        </w:r>
        <w:r>
          <w:rPr>
            <w:webHidden/>
          </w:rPr>
          <w:tab/>
        </w:r>
        <w:r>
          <w:rPr>
            <w:webHidden/>
          </w:rPr>
          <w:fldChar w:fldCharType="begin"/>
        </w:r>
        <w:r>
          <w:rPr>
            <w:webHidden/>
          </w:rPr>
          <w:instrText xml:space="preserve"> PAGEREF _Toc337547034 \h </w:instrText>
        </w:r>
        <w:r>
          <w:rPr>
            <w:webHidden/>
          </w:rPr>
        </w:r>
        <w:r>
          <w:rPr>
            <w:webHidden/>
          </w:rPr>
          <w:fldChar w:fldCharType="separate"/>
        </w:r>
        <w:r w:rsidR="003361A8">
          <w:rPr>
            <w:webHidden/>
          </w:rPr>
          <w:t>205</w:t>
        </w:r>
        <w:r>
          <w:rPr>
            <w:webHidden/>
          </w:rPr>
          <w:fldChar w:fldCharType="end"/>
        </w:r>
      </w:hyperlink>
    </w:p>
    <w:p w:rsidR="00A3294E" w:rsidRDefault="00A3294E">
      <w:pPr>
        <w:pStyle w:val="TableofFigures"/>
        <w:rPr>
          <w:rFonts w:ascii="Calibri" w:hAnsi="Calibri"/>
          <w:sz w:val="22"/>
          <w:szCs w:val="22"/>
          <w:lang w:val="en-AU" w:eastAsia="en-AU"/>
        </w:rPr>
      </w:pPr>
      <w:hyperlink w:anchor="_Toc337547035" w:history="1">
        <w:r w:rsidRPr="005769E8">
          <w:rPr>
            <w:rStyle w:val="Hyperlink"/>
          </w:rPr>
          <w:t>Table 98</w:t>
        </w:r>
        <w:r>
          <w:rPr>
            <w:rFonts w:ascii="Calibri" w:hAnsi="Calibri"/>
            <w:sz w:val="22"/>
            <w:szCs w:val="22"/>
            <w:lang w:val="en-AU" w:eastAsia="en-AU"/>
          </w:rPr>
          <w:tab/>
        </w:r>
        <w:r w:rsidRPr="005769E8">
          <w:rPr>
            <w:rStyle w:val="Hyperlink"/>
          </w:rPr>
          <w:t>Estimated use of cell enrichment LBC: 100% uptake scenario</w:t>
        </w:r>
        <w:r>
          <w:rPr>
            <w:webHidden/>
          </w:rPr>
          <w:tab/>
        </w:r>
        <w:r>
          <w:rPr>
            <w:webHidden/>
          </w:rPr>
          <w:fldChar w:fldCharType="begin"/>
        </w:r>
        <w:r>
          <w:rPr>
            <w:webHidden/>
          </w:rPr>
          <w:instrText xml:space="preserve"> PAGEREF _Toc337547035 \h </w:instrText>
        </w:r>
        <w:r>
          <w:rPr>
            <w:webHidden/>
          </w:rPr>
        </w:r>
        <w:r>
          <w:rPr>
            <w:webHidden/>
          </w:rPr>
          <w:fldChar w:fldCharType="separate"/>
        </w:r>
        <w:r w:rsidR="003361A8">
          <w:rPr>
            <w:webHidden/>
          </w:rPr>
          <w:t>206</w:t>
        </w:r>
        <w:r>
          <w:rPr>
            <w:webHidden/>
          </w:rPr>
          <w:fldChar w:fldCharType="end"/>
        </w:r>
      </w:hyperlink>
    </w:p>
    <w:p w:rsidR="00A3294E" w:rsidRDefault="00A3294E">
      <w:pPr>
        <w:pStyle w:val="TableofFigures"/>
        <w:rPr>
          <w:rFonts w:ascii="Calibri" w:hAnsi="Calibri"/>
          <w:sz w:val="22"/>
          <w:szCs w:val="22"/>
          <w:lang w:val="en-AU" w:eastAsia="en-AU"/>
        </w:rPr>
      </w:pPr>
      <w:hyperlink w:anchor="_Toc337547036" w:history="1">
        <w:r w:rsidRPr="005769E8">
          <w:rPr>
            <w:rStyle w:val="Hyperlink"/>
          </w:rPr>
          <w:t>Table 99</w:t>
        </w:r>
        <w:r>
          <w:rPr>
            <w:rFonts w:ascii="Calibri" w:hAnsi="Calibri"/>
            <w:sz w:val="22"/>
            <w:szCs w:val="22"/>
            <w:lang w:val="en-AU" w:eastAsia="en-AU"/>
          </w:rPr>
          <w:tab/>
        </w:r>
        <w:r w:rsidRPr="005769E8">
          <w:rPr>
            <w:rStyle w:val="Hyperlink"/>
          </w:rPr>
          <w:t>Estimated use of cell enrichment LBC: 50% uptake scenario</w:t>
        </w:r>
        <w:r>
          <w:rPr>
            <w:webHidden/>
          </w:rPr>
          <w:tab/>
        </w:r>
        <w:r>
          <w:rPr>
            <w:webHidden/>
          </w:rPr>
          <w:fldChar w:fldCharType="begin"/>
        </w:r>
        <w:r>
          <w:rPr>
            <w:webHidden/>
          </w:rPr>
          <w:instrText xml:space="preserve"> PAGEREF _Toc337547036 \h </w:instrText>
        </w:r>
        <w:r>
          <w:rPr>
            <w:webHidden/>
          </w:rPr>
        </w:r>
        <w:r>
          <w:rPr>
            <w:webHidden/>
          </w:rPr>
          <w:fldChar w:fldCharType="separate"/>
        </w:r>
        <w:r w:rsidR="003361A8">
          <w:rPr>
            <w:webHidden/>
          </w:rPr>
          <w:t>207</w:t>
        </w:r>
        <w:r>
          <w:rPr>
            <w:webHidden/>
          </w:rPr>
          <w:fldChar w:fldCharType="end"/>
        </w:r>
      </w:hyperlink>
    </w:p>
    <w:p w:rsidR="00A3294E" w:rsidRDefault="00A3294E">
      <w:pPr>
        <w:pStyle w:val="TableofFigures"/>
        <w:rPr>
          <w:rFonts w:ascii="Calibri" w:hAnsi="Calibri"/>
          <w:sz w:val="22"/>
          <w:szCs w:val="22"/>
          <w:lang w:val="en-AU" w:eastAsia="en-AU"/>
        </w:rPr>
      </w:pPr>
      <w:hyperlink w:anchor="_Toc337547037" w:history="1">
        <w:r w:rsidRPr="005769E8">
          <w:rPr>
            <w:rStyle w:val="Hyperlink"/>
          </w:rPr>
          <w:t>Table 100</w:t>
        </w:r>
        <w:r>
          <w:rPr>
            <w:rFonts w:ascii="Calibri" w:hAnsi="Calibri"/>
            <w:sz w:val="22"/>
            <w:szCs w:val="22"/>
            <w:lang w:val="en-AU" w:eastAsia="en-AU"/>
          </w:rPr>
          <w:tab/>
        </w:r>
        <w:r w:rsidRPr="005769E8">
          <w:rPr>
            <w:rStyle w:val="Hyperlink"/>
          </w:rPr>
          <w:t>Estimated cost savings arising from substitution away from conventional cytology tests to cell enrichment LBC: 100% uptake scenario</w:t>
        </w:r>
        <w:r>
          <w:rPr>
            <w:webHidden/>
          </w:rPr>
          <w:tab/>
        </w:r>
        <w:r>
          <w:rPr>
            <w:webHidden/>
          </w:rPr>
          <w:fldChar w:fldCharType="begin"/>
        </w:r>
        <w:r>
          <w:rPr>
            <w:webHidden/>
          </w:rPr>
          <w:instrText xml:space="preserve"> PAGEREF _Toc337547037 \h </w:instrText>
        </w:r>
        <w:r>
          <w:rPr>
            <w:webHidden/>
          </w:rPr>
        </w:r>
        <w:r>
          <w:rPr>
            <w:webHidden/>
          </w:rPr>
          <w:fldChar w:fldCharType="separate"/>
        </w:r>
        <w:r w:rsidR="003361A8">
          <w:rPr>
            <w:webHidden/>
          </w:rPr>
          <w:t>208</w:t>
        </w:r>
        <w:r>
          <w:rPr>
            <w:webHidden/>
          </w:rPr>
          <w:fldChar w:fldCharType="end"/>
        </w:r>
      </w:hyperlink>
    </w:p>
    <w:p w:rsidR="00A3294E" w:rsidRDefault="00A3294E">
      <w:pPr>
        <w:pStyle w:val="TableofFigures"/>
        <w:rPr>
          <w:rFonts w:ascii="Calibri" w:hAnsi="Calibri"/>
          <w:sz w:val="22"/>
          <w:szCs w:val="22"/>
          <w:lang w:val="en-AU" w:eastAsia="en-AU"/>
        </w:rPr>
      </w:pPr>
      <w:hyperlink w:anchor="_Toc337547038" w:history="1">
        <w:r w:rsidRPr="005769E8">
          <w:rPr>
            <w:rStyle w:val="Hyperlink"/>
          </w:rPr>
          <w:t>Table 101</w:t>
        </w:r>
        <w:r>
          <w:rPr>
            <w:rFonts w:ascii="Calibri" w:hAnsi="Calibri"/>
            <w:sz w:val="22"/>
            <w:szCs w:val="22"/>
            <w:lang w:val="en-AU" w:eastAsia="en-AU"/>
          </w:rPr>
          <w:tab/>
        </w:r>
        <w:r w:rsidRPr="005769E8">
          <w:rPr>
            <w:rStyle w:val="Hyperlink"/>
          </w:rPr>
          <w:t>Estimated net financial implications of adding cell enrichment LBC to the MBS: 100% uptake scenario</w:t>
        </w:r>
        <w:r>
          <w:rPr>
            <w:webHidden/>
          </w:rPr>
          <w:tab/>
        </w:r>
        <w:r>
          <w:rPr>
            <w:webHidden/>
          </w:rPr>
          <w:fldChar w:fldCharType="begin"/>
        </w:r>
        <w:r>
          <w:rPr>
            <w:webHidden/>
          </w:rPr>
          <w:instrText xml:space="preserve"> PAGEREF _Toc337547038 \h </w:instrText>
        </w:r>
        <w:r>
          <w:rPr>
            <w:webHidden/>
          </w:rPr>
        </w:r>
        <w:r>
          <w:rPr>
            <w:webHidden/>
          </w:rPr>
          <w:fldChar w:fldCharType="separate"/>
        </w:r>
        <w:r w:rsidR="003361A8">
          <w:rPr>
            <w:webHidden/>
          </w:rPr>
          <w:t>209</w:t>
        </w:r>
        <w:r>
          <w:rPr>
            <w:webHidden/>
          </w:rPr>
          <w:fldChar w:fldCharType="end"/>
        </w:r>
      </w:hyperlink>
    </w:p>
    <w:p w:rsidR="00A3294E" w:rsidRDefault="00A3294E">
      <w:pPr>
        <w:pStyle w:val="TableofFigures"/>
        <w:rPr>
          <w:rFonts w:ascii="Calibri" w:hAnsi="Calibri"/>
          <w:sz w:val="22"/>
          <w:szCs w:val="22"/>
          <w:lang w:val="en-AU" w:eastAsia="en-AU"/>
        </w:rPr>
      </w:pPr>
      <w:hyperlink w:anchor="_Toc337547039" w:history="1">
        <w:r w:rsidRPr="005769E8">
          <w:rPr>
            <w:rStyle w:val="Hyperlink"/>
          </w:rPr>
          <w:t>Table 102</w:t>
        </w:r>
        <w:r>
          <w:rPr>
            <w:rFonts w:ascii="Calibri" w:hAnsi="Calibri"/>
            <w:sz w:val="22"/>
            <w:szCs w:val="22"/>
            <w:lang w:val="en-AU" w:eastAsia="en-AU"/>
          </w:rPr>
          <w:tab/>
        </w:r>
        <w:r w:rsidRPr="005769E8">
          <w:rPr>
            <w:rStyle w:val="Hyperlink"/>
          </w:rPr>
          <w:t>Estimated net financial implications of adding cell enrichment LBC to the MBS: 50% uptake scenario</w:t>
        </w:r>
        <w:r>
          <w:rPr>
            <w:webHidden/>
          </w:rPr>
          <w:tab/>
        </w:r>
        <w:r>
          <w:rPr>
            <w:webHidden/>
          </w:rPr>
          <w:fldChar w:fldCharType="begin"/>
        </w:r>
        <w:r>
          <w:rPr>
            <w:webHidden/>
          </w:rPr>
          <w:instrText xml:space="preserve"> PAGEREF _Toc337547039 \h </w:instrText>
        </w:r>
        <w:r>
          <w:rPr>
            <w:webHidden/>
          </w:rPr>
        </w:r>
        <w:r>
          <w:rPr>
            <w:webHidden/>
          </w:rPr>
          <w:fldChar w:fldCharType="separate"/>
        </w:r>
        <w:r w:rsidR="003361A8">
          <w:rPr>
            <w:webHidden/>
          </w:rPr>
          <w:t>210</w:t>
        </w:r>
        <w:r>
          <w:rPr>
            <w:webHidden/>
          </w:rPr>
          <w:fldChar w:fldCharType="end"/>
        </w:r>
      </w:hyperlink>
    </w:p>
    <w:p w:rsidR="00A3294E" w:rsidRDefault="00A3294E">
      <w:pPr>
        <w:pStyle w:val="TableofFigures"/>
        <w:rPr>
          <w:rFonts w:ascii="Calibri" w:hAnsi="Calibri"/>
          <w:sz w:val="22"/>
          <w:szCs w:val="22"/>
          <w:lang w:val="en-AU" w:eastAsia="en-AU"/>
        </w:rPr>
      </w:pPr>
      <w:hyperlink w:anchor="_Toc337547040" w:history="1">
        <w:r w:rsidRPr="005769E8">
          <w:rPr>
            <w:rStyle w:val="Hyperlink"/>
          </w:rPr>
          <w:t>Table 103</w:t>
        </w:r>
        <w:r>
          <w:rPr>
            <w:rFonts w:ascii="Calibri" w:hAnsi="Calibri"/>
            <w:sz w:val="22"/>
            <w:szCs w:val="22"/>
            <w:lang w:val="en-AU" w:eastAsia="en-AU"/>
          </w:rPr>
          <w:tab/>
        </w:r>
        <w:r w:rsidRPr="005769E8">
          <w:rPr>
            <w:rStyle w:val="Hyperlink"/>
          </w:rPr>
          <w:t>Out-of-pocket costs due to the use of LBC in split sample collection</w:t>
        </w:r>
        <w:r>
          <w:rPr>
            <w:webHidden/>
          </w:rPr>
          <w:tab/>
        </w:r>
        <w:r>
          <w:rPr>
            <w:webHidden/>
          </w:rPr>
          <w:fldChar w:fldCharType="begin"/>
        </w:r>
        <w:r>
          <w:rPr>
            <w:webHidden/>
          </w:rPr>
          <w:instrText xml:space="preserve"> PAGEREF _Toc337547040 \h </w:instrText>
        </w:r>
        <w:r>
          <w:rPr>
            <w:webHidden/>
          </w:rPr>
        </w:r>
        <w:r>
          <w:rPr>
            <w:webHidden/>
          </w:rPr>
          <w:fldChar w:fldCharType="separate"/>
        </w:r>
        <w:r w:rsidR="003361A8">
          <w:rPr>
            <w:webHidden/>
          </w:rPr>
          <w:t>210</w:t>
        </w:r>
        <w:r>
          <w:rPr>
            <w:webHidden/>
          </w:rPr>
          <w:fldChar w:fldCharType="end"/>
        </w:r>
      </w:hyperlink>
    </w:p>
    <w:p w:rsidR="00A3294E" w:rsidRDefault="00A3294E">
      <w:pPr>
        <w:pStyle w:val="TableofFigures"/>
        <w:rPr>
          <w:rFonts w:ascii="Calibri" w:hAnsi="Calibri"/>
          <w:sz w:val="22"/>
          <w:szCs w:val="22"/>
          <w:lang w:val="en-AU" w:eastAsia="en-AU"/>
        </w:rPr>
      </w:pPr>
      <w:hyperlink w:anchor="_Toc337547041" w:history="1">
        <w:r w:rsidRPr="005769E8">
          <w:rPr>
            <w:rStyle w:val="Hyperlink"/>
          </w:rPr>
          <w:t>Table 104</w:t>
        </w:r>
        <w:r>
          <w:rPr>
            <w:rFonts w:ascii="Calibri" w:hAnsi="Calibri"/>
            <w:sz w:val="22"/>
            <w:szCs w:val="22"/>
            <w:lang w:val="en-AU" w:eastAsia="en-AU"/>
          </w:rPr>
          <w:tab/>
        </w:r>
        <w:r w:rsidRPr="005769E8">
          <w:rPr>
            <w:rStyle w:val="Hyperlink"/>
          </w:rPr>
          <w:t>Financial implications of consultation requirements: Comparison between conventional cytology and cell enrichment LBC</w:t>
        </w:r>
        <w:r>
          <w:rPr>
            <w:webHidden/>
          </w:rPr>
          <w:tab/>
        </w:r>
        <w:r>
          <w:rPr>
            <w:webHidden/>
          </w:rPr>
          <w:fldChar w:fldCharType="begin"/>
        </w:r>
        <w:r>
          <w:rPr>
            <w:webHidden/>
          </w:rPr>
          <w:instrText xml:space="preserve"> PAGEREF _Toc337547041 \h </w:instrText>
        </w:r>
        <w:r>
          <w:rPr>
            <w:webHidden/>
          </w:rPr>
        </w:r>
        <w:r>
          <w:rPr>
            <w:webHidden/>
          </w:rPr>
          <w:fldChar w:fldCharType="separate"/>
        </w:r>
        <w:r w:rsidR="003361A8">
          <w:rPr>
            <w:webHidden/>
          </w:rPr>
          <w:t>211</w:t>
        </w:r>
        <w:r>
          <w:rPr>
            <w:webHidden/>
          </w:rPr>
          <w:fldChar w:fldCharType="end"/>
        </w:r>
      </w:hyperlink>
    </w:p>
    <w:p w:rsidR="00A3294E" w:rsidRDefault="00A3294E">
      <w:pPr>
        <w:pStyle w:val="TableofFigures"/>
        <w:rPr>
          <w:rFonts w:ascii="Calibri" w:hAnsi="Calibri"/>
          <w:sz w:val="22"/>
          <w:szCs w:val="22"/>
          <w:lang w:val="en-AU" w:eastAsia="en-AU"/>
        </w:rPr>
      </w:pPr>
      <w:hyperlink w:anchor="_Toc337547042" w:history="1">
        <w:r w:rsidRPr="005769E8">
          <w:rPr>
            <w:rStyle w:val="Hyperlink"/>
          </w:rPr>
          <w:t>Table 105</w:t>
        </w:r>
        <w:r>
          <w:rPr>
            <w:rFonts w:ascii="Calibri" w:hAnsi="Calibri"/>
            <w:sz w:val="22"/>
            <w:szCs w:val="22"/>
            <w:lang w:val="en-AU" w:eastAsia="en-AU"/>
          </w:rPr>
          <w:tab/>
        </w:r>
        <w:r w:rsidRPr="005769E8">
          <w:rPr>
            <w:rStyle w:val="Hyperlink"/>
          </w:rPr>
          <w:t>Projected MBS service numbers for conventional cytology tests in 2012–2013: Five-year data approach (sensitivity analysis)</w:t>
        </w:r>
        <w:r>
          <w:rPr>
            <w:webHidden/>
          </w:rPr>
          <w:tab/>
        </w:r>
        <w:r>
          <w:rPr>
            <w:webHidden/>
          </w:rPr>
          <w:fldChar w:fldCharType="begin"/>
        </w:r>
        <w:r>
          <w:rPr>
            <w:webHidden/>
          </w:rPr>
          <w:instrText xml:space="preserve"> PAGEREF _Toc337547042 \h </w:instrText>
        </w:r>
        <w:r>
          <w:rPr>
            <w:webHidden/>
          </w:rPr>
        </w:r>
        <w:r>
          <w:rPr>
            <w:webHidden/>
          </w:rPr>
          <w:fldChar w:fldCharType="separate"/>
        </w:r>
        <w:r w:rsidR="003361A8">
          <w:rPr>
            <w:webHidden/>
          </w:rPr>
          <w:t>213</w:t>
        </w:r>
        <w:r>
          <w:rPr>
            <w:webHidden/>
          </w:rPr>
          <w:fldChar w:fldCharType="end"/>
        </w:r>
      </w:hyperlink>
    </w:p>
    <w:p w:rsidR="00A3294E" w:rsidRDefault="00A3294E">
      <w:pPr>
        <w:pStyle w:val="TableofFigures"/>
        <w:rPr>
          <w:rFonts w:ascii="Calibri" w:hAnsi="Calibri"/>
          <w:sz w:val="22"/>
          <w:szCs w:val="22"/>
          <w:lang w:val="en-AU" w:eastAsia="en-AU"/>
        </w:rPr>
      </w:pPr>
      <w:hyperlink w:anchor="_Toc337547043" w:history="1">
        <w:r w:rsidRPr="005769E8">
          <w:rPr>
            <w:rStyle w:val="Hyperlink"/>
          </w:rPr>
          <w:t>Table 106</w:t>
        </w:r>
        <w:r>
          <w:rPr>
            <w:rFonts w:ascii="Calibri" w:hAnsi="Calibri"/>
            <w:sz w:val="22"/>
            <w:szCs w:val="22"/>
            <w:lang w:val="en-AU" w:eastAsia="en-AU"/>
          </w:rPr>
          <w:tab/>
        </w:r>
        <w:r w:rsidRPr="005769E8">
          <w:rPr>
            <w:rStyle w:val="Hyperlink"/>
          </w:rPr>
          <w:t>Estimated net financial implications of adding cell enrichment LBC to the MBS: 100% uptake scenario (sensitivity analysis)</w:t>
        </w:r>
        <w:r>
          <w:rPr>
            <w:webHidden/>
          </w:rPr>
          <w:tab/>
        </w:r>
        <w:r>
          <w:rPr>
            <w:webHidden/>
          </w:rPr>
          <w:fldChar w:fldCharType="begin"/>
        </w:r>
        <w:r>
          <w:rPr>
            <w:webHidden/>
          </w:rPr>
          <w:instrText xml:space="preserve"> PAGEREF _Toc337547043 \h </w:instrText>
        </w:r>
        <w:r>
          <w:rPr>
            <w:webHidden/>
          </w:rPr>
        </w:r>
        <w:r>
          <w:rPr>
            <w:webHidden/>
          </w:rPr>
          <w:fldChar w:fldCharType="separate"/>
        </w:r>
        <w:r w:rsidR="003361A8">
          <w:rPr>
            <w:webHidden/>
          </w:rPr>
          <w:t>213</w:t>
        </w:r>
        <w:r>
          <w:rPr>
            <w:webHidden/>
          </w:rPr>
          <w:fldChar w:fldCharType="end"/>
        </w:r>
      </w:hyperlink>
    </w:p>
    <w:p w:rsidR="00A3294E" w:rsidRDefault="00A3294E">
      <w:pPr>
        <w:pStyle w:val="TableofFigures"/>
        <w:rPr>
          <w:rFonts w:ascii="Calibri" w:hAnsi="Calibri"/>
          <w:sz w:val="22"/>
          <w:szCs w:val="22"/>
          <w:lang w:val="en-AU" w:eastAsia="en-AU"/>
        </w:rPr>
      </w:pPr>
      <w:hyperlink w:anchor="_Toc337547044" w:history="1">
        <w:r w:rsidRPr="005769E8">
          <w:rPr>
            <w:rStyle w:val="Hyperlink"/>
          </w:rPr>
          <w:t>Table 107</w:t>
        </w:r>
        <w:r>
          <w:rPr>
            <w:rFonts w:ascii="Calibri" w:hAnsi="Calibri"/>
            <w:sz w:val="22"/>
            <w:szCs w:val="22"/>
            <w:lang w:val="en-AU" w:eastAsia="en-AU"/>
          </w:rPr>
          <w:tab/>
        </w:r>
        <w:r w:rsidRPr="005769E8">
          <w:rPr>
            <w:rStyle w:val="Hyperlink"/>
          </w:rPr>
          <w:t>Estimated net financial implications of adding cell enrichment LBC to the MBS: 50% uptake scenario (sensitivity analysis)</w:t>
        </w:r>
        <w:r>
          <w:rPr>
            <w:webHidden/>
          </w:rPr>
          <w:tab/>
        </w:r>
        <w:r>
          <w:rPr>
            <w:webHidden/>
          </w:rPr>
          <w:fldChar w:fldCharType="begin"/>
        </w:r>
        <w:r>
          <w:rPr>
            <w:webHidden/>
          </w:rPr>
          <w:instrText xml:space="preserve"> PAGEREF _Toc337547044 \h </w:instrText>
        </w:r>
        <w:r>
          <w:rPr>
            <w:webHidden/>
          </w:rPr>
        </w:r>
        <w:r>
          <w:rPr>
            <w:webHidden/>
          </w:rPr>
          <w:fldChar w:fldCharType="separate"/>
        </w:r>
        <w:r w:rsidR="003361A8">
          <w:rPr>
            <w:webHidden/>
          </w:rPr>
          <w:t>214</w:t>
        </w:r>
        <w:r>
          <w:rPr>
            <w:webHidden/>
          </w:rPr>
          <w:fldChar w:fldCharType="end"/>
        </w:r>
      </w:hyperlink>
    </w:p>
    <w:p w:rsidR="00A3294E" w:rsidRDefault="00A3294E">
      <w:pPr>
        <w:pStyle w:val="TableofFigures"/>
        <w:rPr>
          <w:rFonts w:ascii="Calibri" w:hAnsi="Calibri"/>
          <w:sz w:val="22"/>
          <w:szCs w:val="22"/>
          <w:lang w:val="en-AU" w:eastAsia="en-AU"/>
        </w:rPr>
      </w:pPr>
      <w:hyperlink w:anchor="_Toc337547045" w:history="1">
        <w:r w:rsidRPr="005769E8">
          <w:rPr>
            <w:rStyle w:val="Hyperlink"/>
          </w:rPr>
          <w:t>Table 108</w:t>
        </w:r>
        <w:r>
          <w:rPr>
            <w:rFonts w:ascii="Calibri" w:hAnsi="Calibri"/>
            <w:sz w:val="22"/>
            <w:szCs w:val="22"/>
            <w:lang w:val="en-AU" w:eastAsia="en-AU"/>
          </w:rPr>
          <w:tab/>
        </w:r>
        <w:r w:rsidRPr="005769E8">
          <w:rPr>
            <w:rStyle w:val="Hyperlink"/>
          </w:rPr>
          <w:t>True positive: false positive; for histology CIN 1+ CC versus cell enrichment LBC: Beerman 2009</w:t>
        </w:r>
        <w:r>
          <w:rPr>
            <w:webHidden/>
          </w:rPr>
          <w:tab/>
        </w:r>
        <w:r>
          <w:rPr>
            <w:webHidden/>
          </w:rPr>
          <w:fldChar w:fldCharType="begin"/>
        </w:r>
        <w:r>
          <w:rPr>
            <w:webHidden/>
          </w:rPr>
          <w:instrText xml:space="preserve"> PAGEREF _Toc337547045 \h </w:instrText>
        </w:r>
        <w:r>
          <w:rPr>
            <w:webHidden/>
          </w:rPr>
        </w:r>
        <w:r>
          <w:rPr>
            <w:webHidden/>
          </w:rPr>
          <w:fldChar w:fldCharType="separate"/>
        </w:r>
        <w:r w:rsidR="003361A8">
          <w:rPr>
            <w:webHidden/>
          </w:rPr>
          <w:t>225</w:t>
        </w:r>
        <w:r>
          <w:rPr>
            <w:webHidden/>
          </w:rPr>
          <w:fldChar w:fldCharType="end"/>
        </w:r>
      </w:hyperlink>
    </w:p>
    <w:p w:rsidR="00A3294E" w:rsidRDefault="00A3294E">
      <w:pPr>
        <w:pStyle w:val="TableofFigures"/>
        <w:rPr>
          <w:rFonts w:ascii="Calibri" w:hAnsi="Calibri"/>
          <w:sz w:val="22"/>
          <w:szCs w:val="22"/>
          <w:lang w:val="en-AU" w:eastAsia="en-AU"/>
        </w:rPr>
      </w:pPr>
      <w:hyperlink w:anchor="_Toc337547046" w:history="1">
        <w:r w:rsidRPr="005769E8">
          <w:rPr>
            <w:rStyle w:val="Hyperlink"/>
          </w:rPr>
          <w:t>Table 109</w:t>
        </w:r>
        <w:r>
          <w:rPr>
            <w:rFonts w:ascii="Calibri" w:hAnsi="Calibri"/>
            <w:sz w:val="22"/>
            <w:szCs w:val="22"/>
            <w:lang w:val="en-AU" w:eastAsia="en-AU"/>
          </w:rPr>
          <w:tab/>
        </w:r>
        <w:r w:rsidRPr="005769E8">
          <w:rPr>
            <w:rStyle w:val="Hyperlink"/>
          </w:rPr>
          <w:t>True positive: false positive; for histology CIN 1+, CIN 2+ and CIN 3+ CC versus cell filtration LBC -NTCC trial: Age 25 to 34 years: Ronco 2006b</w:t>
        </w:r>
        <w:r>
          <w:rPr>
            <w:webHidden/>
          </w:rPr>
          <w:tab/>
        </w:r>
        <w:r>
          <w:rPr>
            <w:webHidden/>
          </w:rPr>
          <w:fldChar w:fldCharType="begin"/>
        </w:r>
        <w:r>
          <w:rPr>
            <w:webHidden/>
          </w:rPr>
          <w:instrText xml:space="preserve"> PAGEREF _Toc337547046 \h </w:instrText>
        </w:r>
        <w:r>
          <w:rPr>
            <w:webHidden/>
          </w:rPr>
        </w:r>
        <w:r>
          <w:rPr>
            <w:webHidden/>
          </w:rPr>
          <w:fldChar w:fldCharType="separate"/>
        </w:r>
        <w:r w:rsidR="003361A8">
          <w:rPr>
            <w:webHidden/>
          </w:rPr>
          <w:t>226</w:t>
        </w:r>
        <w:r>
          <w:rPr>
            <w:webHidden/>
          </w:rPr>
          <w:fldChar w:fldCharType="end"/>
        </w:r>
      </w:hyperlink>
    </w:p>
    <w:p w:rsidR="00A3294E" w:rsidRDefault="00A3294E">
      <w:pPr>
        <w:pStyle w:val="TableofFigures"/>
        <w:rPr>
          <w:rFonts w:ascii="Calibri" w:hAnsi="Calibri"/>
          <w:sz w:val="22"/>
          <w:szCs w:val="22"/>
          <w:lang w:val="en-AU" w:eastAsia="en-AU"/>
        </w:rPr>
      </w:pPr>
      <w:hyperlink w:anchor="_Toc337547047" w:history="1">
        <w:r w:rsidRPr="005769E8">
          <w:rPr>
            <w:rStyle w:val="Hyperlink"/>
          </w:rPr>
          <w:t>Table 110</w:t>
        </w:r>
        <w:r>
          <w:rPr>
            <w:rFonts w:ascii="Calibri" w:hAnsi="Calibri"/>
            <w:sz w:val="22"/>
            <w:szCs w:val="22"/>
            <w:lang w:val="en-AU" w:eastAsia="en-AU"/>
          </w:rPr>
          <w:tab/>
        </w:r>
        <w:r w:rsidRPr="005769E8">
          <w:rPr>
            <w:rStyle w:val="Hyperlink"/>
          </w:rPr>
          <w:t>True positive: false positive; for histology CIN 1+, CIN 2+ and CIN 3+ CC versus cell filtration LBC: NTCC trial: Age 35 to 60 years: Ronco 2006b</w:t>
        </w:r>
        <w:r>
          <w:rPr>
            <w:webHidden/>
          </w:rPr>
          <w:tab/>
        </w:r>
        <w:r>
          <w:rPr>
            <w:webHidden/>
          </w:rPr>
          <w:fldChar w:fldCharType="begin"/>
        </w:r>
        <w:r>
          <w:rPr>
            <w:webHidden/>
          </w:rPr>
          <w:instrText xml:space="preserve"> PAGEREF _Toc337547047 \h </w:instrText>
        </w:r>
        <w:r>
          <w:rPr>
            <w:webHidden/>
          </w:rPr>
        </w:r>
        <w:r>
          <w:rPr>
            <w:webHidden/>
          </w:rPr>
          <w:fldChar w:fldCharType="separate"/>
        </w:r>
        <w:r w:rsidR="003361A8">
          <w:rPr>
            <w:webHidden/>
          </w:rPr>
          <w:t>227</w:t>
        </w:r>
        <w:r>
          <w:rPr>
            <w:webHidden/>
          </w:rPr>
          <w:fldChar w:fldCharType="end"/>
        </w:r>
      </w:hyperlink>
    </w:p>
    <w:p w:rsidR="00A3294E" w:rsidRDefault="00A3294E">
      <w:pPr>
        <w:pStyle w:val="TableofFigures"/>
        <w:rPr>
          <w:rFonts w:ascii="Calibri" w:hAnsi="Calibri"/>
          <w:sz w:val="22"/>
          <w:szCs w:val="22"/>
          <w:lang w:val="en-AU" w:eastAsia="en-AU"/>
        </w:rPr>
      </w:pPr>
      <w:hyperlink w:anchor="_Toc337547048" w:history="1">
        <w:r w:rsidRPr="005769E8">
          <w:rPr>
            <w:rStyle w:val="Hyperlink"/>
          </w:rPr>
          <w:t>Table 111</w:t>
        </w:r>
        <w:r>
          <w:rPr>
            <w:rFonts w:ascii="Calibri" w:hAnsi="Calibri"/>
            <w:sz w:val="22"/>
            <w:szCs w:val="22"/>
            <w:lang w:val="en-AU" w:eastAsia="en-AU"/>
          </w:rPr>
          <w:tab/>
        </w:r>
        <w:r w:rsidRPr="005769E8">
          <w:rPr>
            <w:rStyle w:val="Hyperlink"/>
          </w:rPr>
          <w:t>True positive: false positive; for histology CIN 1+, CIN 2+ and CIN 3+: CC versus cell filtration LBC: NETHCON: Siebers 2009</w:t>
        </w:r>
        <w:r>
          <w:rPr>
            <w:webHidden/>
          </w:rPr>
          <w:tab/>
        </w:r>
        <w:r>
          <w:rPr>
            <w:webHidden/>
          </w:rPr>
          <w:fldChar w:fldCharType="begin"/>
        </w:r>
        <w:r>
          <w:rPr>
            <w:webHidden/>
          </w:rPr>
          <w:instrText xml:space="preserve"> PAGEREF _Toc337547048 \h </w:instrText>
        </w:r>
        <w:r>
          <w:rPr>
            <w:webHidden/>
          </w:rPr>
        </w:r>
        <w:r>
          <w:rPr>
            <w:webHidden/>
          </w:rPr>
          <w:fldChar w:fldCharType="separate"/>
        </w:r>
        <w:r w:rsidR="003361A8">
          <w:rPr>
            <w:webHidden/>
          </w:rPr>
          <w:t>228</w:t>
        </w:r>
        <w:r>
          <w:rPr>
            <w:webHidden/>
          </w:rPr>
          <w:fldChar w:fldCharType="end"/>
        </w:r>
      </w:hyperlink>
    </w:p>
    <w:p w:rsidR="00A3294E" w:rsidRDefault="00A3294E">
      <w:pPr>
        <w:pStyle w:val="TableofFigures"/>
        <w:rPr>
          <w:rFonts w:ascii="Calibri" w:hAnsi="Calibri"/>
          <w:sz w:val="22"/>
          <w:szCs w:val="22"/>
          <w:lang w:val="en-AU" w:eastAsia="en-AU"/>
        </w:rPr>
      </w:pPr>
      <w:hyperlink w:anchor="_Toc337547049" w:history="1">
        <w:r w:rsidRPr="005769E8">
          <w:rPr>
            <w:rStyle w:val="Hyperlink"/>
          </w:rPr>
          <w:t>Table 112</w:t>
        </w:r>
        <w:r>
          <w:rPr>
            <w:rFonts w:ascii="Calibri" w:hAnsi="Calibri"/>
            <w:sz w:val="22"/>
            <w:szCs w:val="22"/>
            <w:lang w:val="en-AU" w:eastAsia="en-AU"/>
          </w:rPr>
          <w:tab/>
        </w:r>
        <w:r w:rsidRPr="005769E8">
          <w:rPr>
            <w:rStyle w:val="Hyperlink"/>
          </w:rPr>
          <w:t>True positive: false positive; for histology low grade histology (CIN 1+and CIN 2+) CC versus cell filtration LBC: Strander 2007</w:t>
        </w:r>
        <w:r>
          <w:rPr>
            <w:webHidden/>
          </w:rPr>
          <w:tab/>
        </w:r>
        <w:r>
          <w:rPr>
            <w:webHidden/>
          </w:rPr>
          <w:fldChar w:fldCharType="begin"/>
        </w:r>
        <w:r>
          <w:rPr>
            <w:webHidden/>
          </w:rPr>
          <w:instrText xml:space="preserve"> PAGEREF _Toc337547049 \h </w:instrText>
        </w:r>
        <w:r>
          <w:rPr>
            <w:webHidden/>
          </w:rPr>
        </w:r>
        <w:r>
          <w:rPr>
            <w:webHidden/>
          </w:rPr>
          <w:fldChar w:fldCharType="separate"/>
        </w:r>
        <w:r w:rsidR="003361A8">
          <w:rPr>
            <w:webHidden/>
          </w:rPr>
          <w:t>229</w:t>
        </w:r>
        <w:r>
          <w:rPr>
            <w:webHidden/>
          </w:rPr>
          <w:fldChar w:fldCharType="end"/>
        </w:r>
      </w:hyperlink>
    </w:p>
    <w:p w:rsidR="00A3294E" w:rsidRDefault="00A3294E">
      <w:pPr>
        <w:pStyle w:val="TableofFigures"/>
        <w:rPr>
          <w:rFonts w:ascii="Calibri" w:hAnsi="Calibri"/>
          <w:sz w:val="22"/>
          <w:szCs w:val="22"/>
          <w:lang w:val="en-AU" w:eastAsia="en-AU"/>
        </w:rPr>
      </w:pPr>
      <w:hyperlink w:anchor="_Toc337547050" w:history="1">
        <w:r w:rsidRPr="005769E8">
          <w:rPr>
            <w:rStyle w:val="Hyperlink"/>
          </w:rPr>
          <w:t>Table 113</w:t>
        </w:r>
        <w:r>
          <w:rPr>
            <w:rFonts w:ascii="Calibri" w:hAnsi="Calibri"/>
            <w:sz w:val="22"/>
            <w:szCs w:val="22"/>
            <w:lang w:val="en-AU" w:eastAsia="en-AU"/>
          </w:rPr>
          <w:tab/>
        </w:r>
        <w:r w:rsidRPr="005769E8">
          <w:rPr>
            <w:rStyle w:val="Hyperlink"/>
          </w:rPr>
          <w:t>True positive: false positive; for histology (CIN 2+): CC versus cell filtration LBC: Maccallini 2008</w:t>
        </w:r>
        <w:r>
          <w:rPr>
            <w:webHidden/>
          </w:rPr>
          <w:tab/>
        </w:r>
        <w:r>
          <w:rPr>
            <w:webHidden/>
          </w:rPr>
          <w:fldChar w:fldCharType="begin"/>
        </w:r>
        <w:r>
          <w:rPr>
            <w:webHidden/>
          </w:rPr>
          <w:instrText xml:space="preserve"> PAGEREF _Toc337547050 \h </w:instrText>
        </w:r>
        <w:r>
          <w:rPr>
            <w:webHidden/>
          </w:rPr>
        </w:r>
        <w:r>
          <w:rPr>
            <w:webHidden/>
          </w:rPr>
          <w:fldChar w:fldCharType="separate"/>
        </w:r>
        <w:r w:rsidR="003361A8">
          <w:rPr>
            <w:webHidden/>
          </w:rPr>
          <w:t>229</w:t>
        </w:r>
        <w:r>
          <w:rPr>
            <w:webHidden/>
          </w:rPr>
          <w:fldChar w:fldCharType="end"/>
        </w:r>
      </w:hyperlink>
    </w:p>
    <w:p w:rsidR="00844317" w:rsidRPr="005F6015" w:rsidRDefault="00086C77" w:rsidP="003F1BA4">
      <w:pPr>
        <w:pStyle w:val="Listoftables"/>
        <w:rPr>
          <w:sz w:val="20"/>
          <w:szCs w:val="20"/>
        </w:rPr>
        <w:sectPr w:rsidR="00844317" w:rsidRPr="005F6015" w:rsidSect="008846BA">
          <w:headerReference w:type="default" r:id="rId14"/>
          <w:pgSz w:w="11907" w:h="16839" w:code="9"/>
          <w:pgMar w:top="1701" w:right="1418" w:bottom="1418" w:left="1701" w:header="720" w:footer="720" w:gutter="0"/>
          <w:paperSrc w:first="4035" w:other="4035"/>
          <w:pgNumType w:fmt="lowerRoman"/>
          <w:cols w:space="720"/>
          <w:noEndnote/>
        </w:sectPr>
      </w:pPr>
      <w:r w:rsidRPr="005F6015">
        <w:rPr>
          <w:sz w:val="20"/>
          <w:szCs w:val="20"/>
        </w:rPr>
        <w:fldChar w:fldCharType="end"/>
      </w:r>
    </w:p>
    <w:p w:rsidR="00FF05EE" w:rsidRPr="00F21E06" w:rsidRDefault="00362526" w:rsidP="00F21E06">
      <w:pPr>
        <w:pStyle w:val="Heading1"/>
      </w:pPr>
      <w:bookmarkStart w:id="22" w:name="_Toc258501755"/>
      <w:bookmarkStart w:id="23" w:name="_Toc335667778"/>
      <w:bookmarkStart w:id="24" w:name="_Toc335735589"/>
      <w:bookmarkStart w:id="25" w:name="_Toc335982477"/>
      <w:bookmarkStart w:id="26" w:name="_Toc336018326"/>
      <w:bookmarkStart w:id="27" w:name="_Toc336189653"/>
      <w:bookmarkStart w:id="28" w:name="_Toc336190192"/>
      <w:bookmarkStart w:id="29" w:name="_Toc337546860"/>
      <w:r w:rsidRPr="005F6015">
        <w:lastRenderedPageBreak/>
        <w:t>List of F</w:t>
      </w:r>
      <w:r w:rsidR="00FF05EE" w:rsidRPr="005F6015">
        <w:t>igures</w:t>
      </w:r>
      <w:bookmarkEnd w:id="22"/>
      <w:bookmarkEnd w:id="23"/>
      <w:bookmarkEnd w:id="24"/>
      <w:bookmarkEnd w:id="25"/>
      <w:bookmarkEnd w:id="26"/>
      <w:bookmarkEnd w:id="27"/>
      <w:bookmarkEnd w:id="28"/>
      <w:bookmarkEnd w:id="29"/>
    </w:p>
    <w:p w:rsidR="00A3294E" w:rsidRDefault="00086C77">
      <w:pPr>
        <w:pStyle w:val="TableofFigures"/>
        <w:rPr>
          <w:rFonts w:ascii="Calibri" w:hAnsi="Calibri"/>
          <w:sz w:val="22"/>
          <w:szCs w:val="22"/>
          <w:lang w:val="en-AU" w:eastAsia="en-AU"/>
        </w:rPr>
      </w:pPr>
      <w:r w:rsidRPr="005F6015">
        <w:rPr>
          <w:rStyle w:val="Hyperlink"/>
          <w:rFonts w:ascii="Arial Narrow" w:hAnsi="Arial Narrow"/>
          <w:szCs w:val="20"/>
        </w:rPr>
        <w:fldChar w:fldCharType="begin"/>
      </w:r>
      <w:r w:rsidR="00B96573" w:rsidRPr="005F6015">
        <w:rPr>
          <w:rStyle w:val="Hyperlink"/>
          <w:rFonts w:ascii="Arial Narrow" w:hAnsi="Arial Narrow"/>
          <w:szCs w:val="20"/>
        </w:rPr>
        <w:instrText xml:space="preserve"> TOC \h \z \c "Figure" </w:instrText>
      </w:r>
      <w:r w:rsidRPr="005F6015">
        <w:rPr>
          <w:rStyle w:val="Hyperlink"/>
          <w:rFonts w:ascii="Arial Narrow" w:hAnsi="Arial Narrow"/>
          <w:szCs w:val="20"/>
        </w:rPr>
        <w:fldChar w:fldCharType="separate"/>
      </w:r>
      <w:hyperlink w:anchor="_Toc337547051" w:history="1">
        <w:r w:rsidR="00A3294E" w:rsidRPr="0023639B">
          <w:rPr>
            <w:rStyle w:val="Hyperlink"/>
          </w:rPr>
          <w:t>Figure 1</w:t>
        </w:r>
        <w:r w:rsidR="00A3294E">
          <w:rPr>
            <w:rFonts w:ascii="Calibri" w:hAnsi="Calibri"/>
            <w:sz w:val="22"/>
            <w:szCs w:val="22"/>
            <w:lang w:val="en-AU" w:eastAsia="en-AU"/>
          </w:rPr>
          <w:tab/>
        </w:r>
        <w:r w:rsidR="00A3294E" w:rsidRPr="0023639B">
          <w:rPr>
            <w:rStyle w:val="Hyperlink"/>
          </w:rPr>
          <w:t>Current practice on the MBS compared with the proposed practice for cervical cancer screening</w:t>
        </w:r>
        <w:r w:rsidR="00A3294E">
          <w:rPr>
            <w:webHidden/>
          </w:rPr>
          <w:tab/>
        </w:r>
        <w:r w:rsidR="00A3294E">
          <w:rPr>
            <w:webHidden/>
          </w:rPr>
          <w:fldChar w:fldCharType="begin"/>
        </w:r>
        <w:r w:rsidR="00A3294E">
          <w:rPr>
            <w:webHidden/>
          </w:rPr>
          <w:instrText xml:space="preserve"> PAGEREF _Toc337547051 \h </w:instrText>
        </w:r>
        <w:r w:rsidR="00A3294E">
          <w:rPr>
            <w:webHidden/>
          </w:rPr>
        </w:r>
        <w:r w:rsidR="00A3294E">
          <w:rPr>
            <w:webHidden/>
          </w:rPr>
          <w:fldChar w:fldCharType="separate"/>
        </w:r>
        <w:r w:rsidR="003361A8">
          <w:rPr>
            <w:webHidden/>
          </w:rPr>
          <w:t>v</w:t>
        </w:r>
        <w:r w:rsidR="00A3294E">
          <w:rPr>
            <w:webHidden/>
          </w:rPr>
          <w:fldChar w:fldCharType="end"/>
        </w:r>
      </w:hyperlink>
    </w:p>
    <w:p w:rsidR="00A3294E" w:rsidRDefault="00A3294E">
      <w:pPr>
        <w:pStyle w:val="TableofFigures"/>
        <w:rPr>
          <w:rFonts w:ascii="Calibri" w:hAnsi="Calibri"/>
          <w:sz w:val="22"/>
          <w:szCs w:val="22"/>
          <w:lang w:val="en-AU" w:eastAsia="en-AU"/>
        </w:rPr>
      </w:pPr>
      <w:hyperlink w:anchor="_Toc337547052" w:history="1">
        <w:r w:rsidRPr="0023639B">
          <w:rPr>
            <w:rStyle w:val="Hyperlink"/>
          </w:rPr>
          <w:t>Figure 2</w:t>
        </w:r>
        <w:r>
          <w:rPr>
            <w:rFonts w:ascii="Calibri" w:hAnsi="Calibri"/>
            <w:sz w:val="22"/>
            <w:szCs w:val="22"/>
            <w:lang w:val="en-AU" w:eastAsia="en-AU"/>
          </w:rPr>
          <w:tab/>
        </w:r>
        <w:r w:rsidRPr="0023639B">
          <w:rPr>
            <w:rStyle w:val="Hyperlink"/>
          </w:rPr>
          <w:t>Current practice on the MBS compared with the proposed practice for cervical cancer screening</w:t>
        </w:r>
        <w:r>
          <w:rPr>
            <w:webHidden/>
          </w:rPr>
          <w:tab/>
        </w:r>
        <w:r>
          <w:rPr>
            <w:webHidden/>
          </w:rPr>
          <w:fldChar w:fldCharType="begin"/>
        </w:r>
        <w:r>
          <w:rPr>
            <w:webHidden/>
          </w:rPr>
          <w:instrText xml:space="preserve"> PAGEREF _Toc337547052 \h </w:instrText>
        </w:r>
        <w:r>
          <w:rPr>
            <w:webHidden/>
          </w:rPr>
        </w:r>
        <w:r>
          <w:rPr>
            <w:webHidden/>
          </w:rPr>
          <w:fldChar w:fldCharType="separate"/>
        </w:r>
        <w:r w:rsidR="003361A8">
          <w:rPr>
            <w:webHidden/>
          </w:rPr>
          <w:t>17</w:t>
        </w:r>
        <w:r>
          <w:rPr>
            <w:webHidden/>
          </w:rPr>
          <w:fldChar w:fldCharType="end"/>
        </w:r>
      </w:hyperlink>
    </w:p>
    <w:p w:rsidR="00A3294E" w:rsidRDefault="00A3294E">
      <w:pPr>
        <w:pStyle w:val="TableofFigures"/>
        <w:rPr>
          <w:rFonts w:ascii="Calibri" w:hAnsi="Calibri"/>
          <w:sz w:val="22"/>
          <w:szCs w:val="22"/>
          <w:lang w:val="en-AU" w:eastAsia="en-AU"/>
        </w:rPr>
      </w:pPr>
      <w:hyperlink w:anchor="_Toc337547053" w:history="1">
        <w:r w:rsidRPr="0023639B">
          <w:rPr>
            <w:rStyle w:val="Hyperlink"/>
          </w:rPr>
          <w:t>Figure 3</w:t>
        </w:r>
        <w:r>
          <w:rPr>
            <w:rFonts w:ascii="Calibri" w:hAnsi="Calibri"/>
            <w:sz w:val="22"/>
            <w:szCs w:val="22"/>
            <w:lang w:val="en-AU" w:eastAsia="en-AU"/>
          </w:rPr>
          <w:tab/>
        </w:r>
        <w:r w:rsidRPr="0023639B">
          <w:rPr>
            <w:rStyle w:val="Hyperlink"/>
          </w:rPr>
          <w:t>Forest plot: Proportion of cervical cancer (OR) OR&lt;1 indicates that LBC is better than CC</w:t>
        </w:r>
        <w:r>
          <w:rPr>
            <w:webHidden/>
          </w:rPr>
          <w:tab/>
        </w:r>
        <w:r>
          <w:rPr>
            <w:webHidden/>
          </w:rPr>
          <w:fldChar w:fldCharType="begin"/>
        </w:r>
        <w:r>
          <w:rPr>
            <w:webHidden/>
          </w:rPr>
          <w:instrText xml:space="preserve"> PAGEREF _Toc337547053 \h </w:instrText>
        </w:r>
        <w:r>
          <w:rPr>
            <w:webHidden/>
          </w:rPr>
        </w:r>
        <w:r>
          <w:rPr>
            <w:webHidden/>
          </w:rPr>
          <w:fldChar w:fldCharType="separate"/>
        </w:r>
        <w:r w:rsidR="003361A8">
          <w:rPr>
            <w:webHidden/>
          </w:rPr>
          <w:t>84</w:t>
        </w:r>
        <w:r>
          <w:rPr>
            <w:webHidden/>
          </w:rPr>
          <w:fldChar w:fldCharType="end"/>
        </w:r>
      </w:hyperlink>
    </w:p>
    <w:p w:rsidR="00A3294E" w:rsidRDefault="00A3294E">
      <w:pPr>
        <w:pStyle w:val="TableofFigures"/>
        <w:rPr>
          <w:rFonts w:ascii="Calibri" w:hAnsi="Calibri"/>
          <w:sz w:val="22"/>
          <w:szCs w:val="22"/>
          <w:lang w:val="en-AU" w:eastAsia="en-AU"/>
        </w:rPr>
      </w:pPr>
      <w:hyperlink w:anchor="_Toc337547054" w:history="1">
        <w:r w:rsidRPr="0023639B">
          <w:rPr>
            <w:rStyle w:val="Hyperlink"/>
          </w:rPr>
          <w:t>Figure 4 Forest plot: Proportion of cervical cancer (OR) with Ronco 2006a removed OR&lt;1 indicates that LBC is better than CC</w:t>
        </w:r>
        <w:r>
          <w:rPr>
            <w:webHidden/>
          </w:rPr>
          <w:tab/>
        </w:r>
        <w:r>
          <w:rPr>
            <w:webHidden/>
          </w:rPr>
          <w:fldChar w:fldCharType="begin"/>
        </w:r>
        <w:r>
          <w:rPr>
            <w:webHidden/>
          </w:rPr>
          <w:instrText xml:space="preserve"> PAGEREF _Toc337547054 \h </w:instrText>
        </w:r>
        <w:r>
          <w:rPr>
            <w:webHidden/>
          </w:rPr>
        </w:r>
        <w:r>
          <w:rPr>
            <w:webHidden/>
          </w:rPr>
          <w:fldChar w:fldCharType="separate"/>
        </w:r>
        <w:r w:rsidR="003361A8">
          <w:rPr>
            <w:webHidden/>
          </w:rPr>
          <w:t>84</w:t>
        </w:r>
        <w:r>
          <w:rPr>
            <w:webHidden/>
          </w:rPr>
          <w:fldChar w:fldCharType="end"/>
        </w:r>
      </w:hyperlink>
    </w:p>
    <w:p w:rsidR="00A3294E" w:rsidRDefault="00A3294E">
      <w:pPr>
        <w:pStyle w:val="TableofFigures"/>
        <w:rPr>
          <w:rFonts w:ascii="Calibri" w:hAnsi="Calibri"/>
          <w:sz w:val="22"/>
          <w:szCs w:val="22"/>
          <w:lang w:val="en-AU" w:eastAsia="en-AU"/>
        </w:rPr>
      </w:pPr>
      <w:hyperlink w:anchor="_Toc337547055" w:history="1">
        <w:r w:rsidRPr="0023639B">
          <w:rPr>
            <w:rStyle w:val="Hyperlink"/>
          </w:rPr>
          <w:t>Figure 5</w:t>
        </w:r>
        <w:r>
          <w:rPr>
            <w:rFonts w:ascii="Calibri" w:hAnsi="Calibri"/>
            <w:sz w:val="22"/>
            <w:szCs w:val="22"/>
            <w:lang w:val="en-AU" w:eastAsia="en-AU"/>
          </w:rPr>
          <w:tab/>
        </w:r>
        <w:r w:rsidRPr="0023639B">
          <w:rPr>
            <w:rStyle w:val="Hyperlink"/>
          </w:rPr>
          <w:t>Forest plot: Proportion of unsatisfactory cytology (RD)</w:t>
        </w:r>
        <w:r>
          <w:rPr>
            <w:webHidden/>
          </w:rPr>
          <w:tab/>
        </w:r>
        <w:r>
          <w:rPr>
            <w:webHidden/>
          </w:rPr>
          <w:fldChar w:fldCharType="begin"/>
        </w:r>
        <w:r>
          <w:rPr>
            <w:webHidden/>
          </w:rPr>
          <w:instrText xml:space="preserve"> PAGEREF _Toc337547055 \h </w:instrText>
        </w:r>
        <w:r>
          <w:rPr>
            <w:webHidden/>
          </w:rPr>
        </w:r>
        <w:r>
          <w:rPr>
            <w:webHidden/>
          </w:rPr>
          <w:fldChar w:fldCharType="separate"/>
        </w:r>
        <w:r w:rsidR="003361A8">
          <w:rPr>
            <w:webHidden/>
          </w:rPr>
          <w:t>89</w:t>
        </w:r>
        <w:r>
          <w:rPr>
            <w:webHidden/>
          </w:rPr>
          <w:fldChar w:fldCharType="end"/>
        </w:r>
      </w:hyperlink>
    </w:p>
    <w:p w:rsidR="00A3294E" w:rsidRDefault="00A3294E">
      <w:pPr>
        <w:pStyle w:val="TableofFigures"/>
        <w:rPr>
          <w:rFonts w:ascii="Calibri" w:hAnsi="Calibri"/>
          <w:sz w:val="22"/>
          <w:szCs w:val="22"/>
          <w:lang w:val="en-AU" w:eastAsia="en-AU"/>
        </w:rPr>
      </w:pPr>
      <w:hyperlink w:anchor="_Toc337547056" w:history="1">
        <w:r w:rsidRPr="0023639B">
          <w:rPr>
            <w:rStyle w:val="Hyperlink"/>
          </w:rPr>
          <w:t>Figure 6</w:t>
        </w:r>
        <w:r>
          <w:rPr>
            <w:rFonts w:ascii="Calibri" w:hAnsi="Calibri"/>
            <w:sz w:val="22"/>
            <w:szCs w:val="22"/>
            <w:lang w:val="en-AU" w:eastAsia="en-AU"/>
          </w:rPr>
          <w:tab/>
        </w:r>
        <w:r w:rsidRPr="0023639B">
          <w:rPr>
            <w:rStyle w:val="Hyperlink"/>
          </w:rPr>
          <w:t>Forest plot: Proportion of unsatisfactory cytology (OR) An OR &lt;1 indicates performance of LBC is better than CC</w:t>
        </w:r>
        <w:r>
          <w:rPr>
            <w:webHidden/>
          </w:rPr>
          <w:tab/>
        </w:r>
        <w:r>
          <w:rPr>
            <w:webHidden/>
          </w:rPr>
          <w:fldChar w:fldCharType="begin"/>
        </w:r>
        <w:r>
          <w:rPr>
            <w:webHidden/>
          </w:rPr>
          <w:instrText xml:space="preserve"> PAGEREF _Toc337547056 \h </w:instrText>
        </w:r>
        <w:r>
          <w:rPr>
            <w:webHidden/>
          </w:rPr>
        </w:r>
        <w:r>
          <w:rPr>
            <w:webHidden/>
          </w:rPr>
          <w:fldChar w:fldCharType="separate"/>
        </w:r>
        <w:r w:rsidR="003361A8">
          <w:rPr>
            <w:webHidden/>
          </w:rPr>
          <w:t>89</w:t>
        </w:r>
        <w:r>
          <w:rPr>
            <w:webHidden/>
          </w:rPr>
          <w:fldChar w:fldCharType="end"/>
        </w:r>
      </w:hyperlink>
    </w:p>
    <w:p w:rsidR="00A3294E" w:rsidRDefault="00A3294E">
      <w:pPr>
        <w:pStyle w:val="TableofFigures"/>
        <w:rPr>
          <w:rFonts w:ascii="Calibri" w:hAnsi="Calibri"/>
          <w:sz w:val="22"/>
          <w:szCs w:val="22"/>
          <w:lang w:val="en-AU" w:eastAsia="en-AU"/>
        </w:rPr>
      </w:pPr>
      <w:hyperlink w:anchor="_Toc337547057" w:history="1">
        <w:r w:rsidRPr="0023639B">
          <w:rPr>
            <w:rStyle w:val="Hyperlink"/>
          </w:rPr>
          <w:t>Figure 7</w:t>
        </w:r>
        <w:r>
          <w:rPr>
            <w:rFonts w:ascii="Calibri" w:hAnsi="Calibri"/>
            <w:sz w:val="22"/>
            <w:szCs w:val="22"/>
            <w:lang w:val="en-AU" w:eastAsia="en-AU"/>
          </w:rPr>
          <w:tab/>
        </w:r>
        <w:r w:rsidRPr="0023639B">
          <w:rPr>
            <w:rStyle w:val="Hyperlink"/>
          </w:rPr>
          <w:t>Forest plot: Proportion of normal cytology (RD)</w:t>
        </w:r>
        <w:r>
          <w:rPr>
            <w:webHidden/>
          </w:rPr>
          <w:tab/>
        </w:r>
        <w:r>
          <w:rPr>
            <w:webHidden/>
          </w:rPr>
          <w:fldChar w:fldCharType="begin"/>
        </w:r>
        <w:r>
          <w:rPr>
            <w:webHidden/>
          </w:rPr>
          <w:instrText xml:space="preserve"> PAGEREF _Toc337547057 \h </w:instrText>
        </w:r>
        <w:r>
          <w:rPr>
            <w:webHidden/>
          </w:rPr>
        </w:r>
        <w:r>
          <w:rPr>
            <w:webHidden/>
          </w:rPr>
          <w:fldChar w:fldCharType="separate"/>
        </w:r>
        <w:r w:rsidR="003361A8">
          <w:rPr>
            <w:webHidden/>
          </w:rPr>
          <w:t>100</w:t>
        </w:r>
        <w:r>
          <w:rPr>
            <w:webHidden/>
          </w:rPr>
          <w:fldChar w:fldCharType="end"/>
        </w:r>
      </w:hyperlink>
    </w:p>
    <w:p w:rsidR="00A3294E" w:rsidRDefault="00A3294E">
      <w:pPr>
        <w:pStyle w:val="TableofFigures"/>
        <w:rPr>
          <w:rFonts w:ascii="Calibri" w:hAnsi="Calibri"/>
          <w:sz w:val="22"/>
          <w:szCs w:val="22"/>
          <w:lang w:val="en-AU" w:eastAsia="en-AU"/>
        </w:rPr>
      </w:pPr>
      <w:hyperlink w:anchor="_Toc337547058" w:history="1">
        <w:r w:rsidRPr="0023639B">
          <w:rPr>
            <w:rStyle w:val="Hyperlink"/>
          </w:rPr>
          <w:t>Figure 8</w:t>
        </w:r>
        <w:r>
          <w:rPr>
            <w:rFonts w:ascii="Calibri" w:hAnsi="Calibri"/>
            <w:sz w:val="22"/>
            <w:szCs w:val="22"/>
            <w:lang w:val="en-AU" w:eastAsia="en-AU"/>
          </w:rPr>
          <w:tab/>
        </w:r>
        <w:r w:rsidRPr="0023639B">
          <w:rPr>
            <w:rStyle w:val="Hyperlink"/>
          </w:rPr>
          <w:t>Forest plot: Proportion of normal cytology (OR) An OR&lt;1 indicates a greater proportion of findings with LBC compared with conventional cytology</w:t>
        </w:r>
        <w:r>
          <w:rPr>
            <w:webHidden/>
          </w:rPr>
          <w:tab/>
        </w:r>
        <w:r>
          <w:rPr>
            <w:webHidden/>
          </w:rPr>
          <w:fldChar w:fldCharType="begin"/>
        </w:r>
        <w:r>
          <w:rPr>
            <w:webHidden/>
          </w:rPr>
          <w:instrText xml:space="preserve"> PAGEREF _Toc337547058 \h </w:instrText>
        </w:r>
        <w:r>
          <w:rPr>
            <w:webHidden/>
          </w:rPr>
        </w:r>
        <w:r>
          <w:rPr>
            <w:webHidden/>
          </w:rPr>
          <w:fldChar w:fldCharType="separate"/>
        </w:r>
        <w:r w:rsidR="003361A8">
          <w:rPr>
            <w:webHidden/>
          </w:rPr>
          <w:t>100</w:t>
        </w:r>
        <w:r>
          <w:rPr>
            <w:webHidden/>
          </w:rPr>
          <w:fldChar w:fldCharType="end"/>
        </w:r>
      </w:hyperlink>
    </w:p>
    <w:p w:rsidR="00A3294E" w:rsidRDefault="00A3294E">
      <w:pPr>
        <w:pStyle w:val="TableofFigures"/>
        <w:rPr>
          <w:rFonts w:ascii="Calibri" w:hAnsi="Calibri"/>
          <w:sz w:val="22"/>
          <w:szCs w:val="22"/>
          <w:lang w:val="en-AU" w:eastAsia="en-AU"/>
        </w:rPr>
      </w:pPr>
      <w:hyperlink w:anchor="_Toc337547059" w:history="1">
        <w:r w:rsidRPr="0023639B">
          <w:rPr>
            <w:rStyle w:val="Hyperlink"/>
          </w:rPr>
          <w:t>Figure 9</w:t>
        </w:r>
        <w:r>
          <w:rPr>
            <w:rFonts w:ascii="Calibri" w:hAnsi="Calibri"/>
            <w:sz w:val="22"/>
            <w:szCs w:val="22"/>
            <w:lang w:val="en-AU" w:eastAsia="en-AU"/>
          </w:rPr>
          <w:tab/>
        </w:r>
        <w:r w:rsidRPr="0023639B">
          <w:rPr>
            <w:rStyle w:val="Hyperlink"/>
          </w:rPr>
          <w:t>Forest plot: Proportion of ASCUS cytology (RD)</w:t>
        </w:r>
        <w:r>
          <w:rPr>
            <w:webHidden/>
          </w:rPr>
          <w:tab/>
        </w:r>
        <w:r>
          <w:rPr>
            <w:webHidden/>
          </w:rPr>
          <w:fldChar w:fldCharType="begin"/>
        </w:r>
        <w:r>
          <w:rPr>
            <w:webHidden/>
          </w:rPr>
          <w:instrText xml:space="preserve"> PAGEREF _Toc337547059 \h </w:instrText>
        </w:r>
        <w:r>
          <w:rPr>
            <w:webHidden/>
          </w:rPr>
        </w:r>
        <w:r>
          <w:rPr>
            <w:webHidden/>
          </w:rPr>
          <w:fldChar w:fldCharType="separate"/>
        </w:r>
        <w:r w:rsidR="003361A8">
          <w:rPr>
            <w:webHidden/>
          </w:rPr>
          <w:t>101</w:t>
        </w:r>
        <w:r>
          <w:rPr>
            <w:webHidden/>
          </w:rPr>
          <w:fldChar w:fldCharType="end"/>
        </w:r>
      </w:hyperlink>
    </w:p>
    <w:p w:rsidR="00A3294E" w:rsidRDefault="00A3294E">
      <w:pPr>
        <w:pStyle w:val="TableofFigures"/>
        <w:rPr>
          <w:rFonts w:ascii="Calibri" w:hAnsi="Calibri"/>
          <w:sz w:val="22"/>
          <w:szCs w:val="22"/>
          <w:lang w:val="en-AU" w:eastAsia="en-AU"/>
        </w:rPr>
      </w:pPr>
      <w:hyperlink w:anchor="_Toc337547060" w:history="1">
        <w:r w:rsidRPr="0023639B">
          <w:rPr>
            <w:rStyle w:val="Hyperlink"/>
          </w:rPr>
          <w:t>Figure 10</w:t>
        </w:r>
        <w:r>
          <w:rPr>
            <w:rFonts w:ascii="Calibri" w:hAnsi="Calibri"/>
            <w:sz w:val="22"/>
            <w:szCs w:val="22"/>
            <w:lang w:val="en-AU" w:eastAsia="en-AU"/>
          </w:rPr>
          <w:tab/>
        </w:r>
        <w:r w:rsidRPr="0023639B">
          <w:rPr>
            <w:rStyle w:val="Hyperlink"/>
          </w:rPr>
          <w:t>Forest plot: Proportion of ASCUS cytology (OR) An OR&lt;1 indicates a greater proportion of findings with LBC compared with conventional cytology</w:t>
        </w:r>
        <w:r>
          <w:rPr>
            <w:webHidden/>
          </w:rPr>
          <w:tab/>
        </w:r>
        <w:r>
          <w:rPr>
            <w:webHidden/>
          </w:rPr>
          <w:fldChar w:fldCharType="begin"/>
        </w:r>
        <w:r>
          <w:rPr>
            <w:webHidden/>
          </w:rPr>
          <w:instrText xml:space="preserve"> PAGEREF _Toc337547060 \h </w:instrText>
        </w:r>
        <w:r>
          <w:rPr>
            <w:webHidden/>
          </w:rPr>
        </w:r>
        <w:r>
          <w:rPr>
            <w:webHidden/>
          </w:rPr>
          <w:fldChar w:fldCharType="separate"/>
        </w:r>
        <w:r w:rsidR="003361A8">
          <w:rPr>
            <w:webHidden/>
          </w:rPr>
          <w:t>101</w:t>
        </w:r>
        <w:r>
          <w:rPr>
            <w:webHidden/>
          </w:rPr>
          <w:fldChar w:fldCharType="end"/>
        </w:r>
      </w:hyperlink>
    </w:p>
    <w:p w:rsidR="00A3294E" w:rsidRDefault="00A3294E">
      <w:pPr>
        <w:pStyle w:val="TableofFigures"/>
        <w:rPr>
          <w:rFonts w:ascii="Calibri" w:hAnsi="Calibri"/>
          <w:sz w:val="22"/>
          <w:szCs w:val="22"/>
          <w:lang w:val="en-AU" w:eastAsia="en-AU"/>
        </w:rPr>
      </w:pPr>
      <w:hyperlink w:anchor="_Toc337547061" w:history="1">
        <w:r w:rsidRPr="0023639B">
          <w:rPr>
            <w:rStyle w:val="Hyperlink"/>
          </w:rPr>
          <w:t>Figure 11</w:t>
        </w:r>
        <w:r>
          <w:rPr>
            <w:rFonts w:ascii="Calibri" w:hAnsi="Calibri"/>
            <w:sz w:val="22"/>
            <w:szCs w:val="22"/>
            <w:lang w:val="en-AU" w:eastAsia="en-AU"/>
          </w:rPr>
          <w:tab/>
        </w:r>
        <w:r w:rsidRPr="0023639B">
          <w:rPr>
            <w:rStyle w:val="Hyperlink"/>
          </w:rPr>
          <w:t>Forest plot: Proportion of LSIL cytology (RD)</w:t>
        </w:r>
        <w:r>
          <w:rPr>
            <w:webHidden/>
          </w:rPr>
          <w:tab/>
        </w:r>
        <w:r>
          <w:rPr>
            <w:webHidden/>
          </w:rPr>
          <w:fldChar w:fldCharType="begin"/>
        </w:r>
        <w:r>
          <w:rPr>
            <w:webHidden/>
          </w:rPr>
          <w:instrText xml:space="preserve"> PAGEREF _Toc337547061 \h </w:instrText>
        </w:r>
        <w:r>
          <w:rPr>
            <w:webHidden/>
          </w:rPr>
        </w:r>
        <w:r>
          <w:rPr>
            <w:webHidden/>
          </w:rPr>
          <w:fldChar w:fldCharType="separate"/>
        </w:r>
        <w:r w:rsidR="003361A8">
          <w:rPr>
            <w:webHidden/>
          </w:rPr>
          <w:t>102</w:t>
        </w:r>
        <w:r>
          <w:rPr>
            <w:webHidden/>
          </w:rPr>
          <w:fldChar w:fldCharType="end"/>
        </w:r>
      </w:hyperlink>
    </w:p>
    <w:p w:rsidR="00A3294E" w:rsidRDefault="00A3294E">
      <w:pPr>
        <w:pStyle w:val="TableofFigures"/>
        <w:rPr>
          <w:rFonts w:ascii="Calibri" w:hAnsi="Calibri"/>
          <w:sz w:val="22"/>
          <w:szCs w:val="22"/>
          <w:lang w:val="en-AU" w:eastAsia="en-AU"/>
        </w:rPr>
      </w:pPr>
      <w:hyperlink w:anchor="_Toc337547062" w:history="1">
        <w:r w:rsidRPr="0023639B">
          <w:rPr>
            <w:rStyle w:val="Hyperlink"/>
          </w:rPr>
          <w:t>Figure 12</w:t>
        </w:r>
        <w:r>
          <w:rPr>
            <w:rFonts w:ascii="Calibri" w:hAnsi="Calibri"/>
            <w:sz w:val="22"/>
            <w:szCs w:val="22"/>
            <w:lang w:val="en-AU" w:eastAsia="en-AU"/>
          </w:rPr>
          <w:tab/>
        </w:r>
        <w:r w:rsidRPr="0023639B">
          <w:rPr>
            <w:rStyle w:val="Hyperlink"/>
          </w:rPr>
          <w:t>Forest plot: Proportion of LSIL cytology (OR) An OR&lt;1 indicates a greater proportion of findings with LBC compared with conventional cytology</w:t>
        </w:r>
        <w:r>
          <w:rPr>
            <w:webHidden/>
          </w:rPr>
          <w:tab/>
        </w:r>
        <w:r>
          <w:rPr>
            <w:webHidden/>
          </w:rPr>
          <w:fldChar w:fldCharType="begin"/>
        </w:r>
        <w:r>
          <w:rPr>
            <w:webHidden/>
          </w:rPr>
          <w:instrText xml:space="preserve"> PAGEREF _Toc337547062 \h </w:instrText>
        </w:r>
        <w:r>
          <w:rPr>
            <w:webHidden/>
          </w:rPr>
        </w:r>
        <w:r>
          <w:rPr>
            <w:webHidden/>
          </w:rPr>
          <w:fldChar w:fldCharType="separate"/>
        </w:r>
        <w:r w:rsidR="003361A8">
          <w:rPr>
            <w:webHidden/>
          </w:rPr>
          <w:t>102</w:t>
        </w:r>
        <w:r>
          <w:rPr>
            <w:webHidden/>
          </w:rPr>
          <w:fldChar w:fldCharType="end"/>
        </w:r>
      </w:hyperlink>
    </w:p>
    <w:p w:rsidR="00A3294E" w:rsidRDefault="00A3294E">
      <w:pPr>
        <w:pStyle w:val="TableofFigures"/>
        <w:rPr>
          <w:rFonts w:ascii="Calibri" w:hAnsi="Calibri"/>
          <w:sz w:val="22"/>
          <w:szCs w:val="22"/>
          <w:lang w:val="en-AU" w:eastAsia="en-AU"/>
        </w:rPr>
      </w:pPr>
      <w:hyperlink w:anchor="_Toc337547063" w:history="1">
        <w:r w:rsidRPr="0023639B">
          <w:rPr>
            <w:rStyle w:val="Hyperlink"/>
          </w:rPr>
          <w:t>Figure 13</w:t>
        </w:r>
        <w:r>
          <w:rPr>
            <w:rFonts w:ascii="Calibri" w:hAnsi="Calibri"/>
            <w:sz w:val="22"/>
            <w:szCs w:val="22"/>
            <w:lang w:val="en-AU" w:eastAsia="en-AU"/>
          </w:rPr>
          <w:tab/>
        </w:r>
        <w:r w:rsidRPr="0023639B">
          <w:rPr>
            <w:rStyle w:val="Hyperlink"/>
          </w:rPr>
          <w:t>Forest plot: Proportion of HSIL cytology (RD)</w:t>
        </w:r>
        <w:r>
          <w:rPr>
            <w:webHidden/>
          </w:rPr>
          <w:tab/>
        </w:r>
        <w:r>
          <w:rPr>
            <w:webHidden/>
          </w:rPr>
          <w:fldChar w:fldCharType="begin"/>
        </w:r>
        <w:r>
          <w:rPr>
            <w:webHidden/>
          </w:rPr>
          <w:instrText xml:space="preserve"> PAGEREF _Toc337547063 \h </w:instrText>
        </w:r>
        <w:r>
          <w:rPr>
            <w:webHidden/>
          </w:rPr>
        </w:r>
        <w:r>
          <w:rPr>
            <w:webHidden/>
          </w:rPr>
          <w:fldChar w:fldCharType="separate"/>
        </w:r>
        <w:r w:rsidR="003361A8">
          <w:rPr>
            <w:webHidden/>
          </w:rPr>
          <w:t>103</w:t>
        </w:r>
        <w:r>
          <w:rPr>
            <w:webHidden/>
          </w:rPr>
          <w:fldChar w:fldCharType="end"/>
        </w:r>
      </w:hyperlink>
    </w:p>
    <w:p w:rsidR="00A3294E" w:rsidRDefault="00A3294E">
      <w:pPr>
        <w:pStyle w:val="TableofFigures"/>
        <w:rPr>
          <w:rFonts w:ascii="Calibri" w:hAnsi="Calibri"/>
          <w:sz w:val="22"/>
          <w:szCs w:val="22"/>
          <w:lang w:val="en-AU" w:eastAsia="en-AU"/>
        </w:rPr>
      </w:pPr>
      <w:hyperlink w:anchor="_Toc337547064" w:history="1">
        <w:r w:rsidRPr="0023639B">
          <w:rPr>
            <w:rStyle w:val="Hyperlink"/>
          </w:rPr>
          <w:t>Figure 14</w:t>
        </w:r>
        <w:r>
          <w:rPr>
            <w:rFonts w:ascii="Calibri" w:hAnsi="Calibri"/>
            <w:sz w:val="22"/>
            <w:szCs w:val="22"/>
            <w:lang w:val="en-AU" w:eastAsia="en-AU"/>
          </w:rPr>
          <w:tab/>
        </w:r>
        <w:r w:rsidRPr="0023639B">
          <w:rPr>
            <w:rStyle w:val="Hyperlink"/>
          </w:rPr>
          <w:t>Forest plot: Proportion of HSIL cytology (OR) An OR&lt;1 indicates a greater proportion of findings with LBC compared with conventional cytology</w:t>
        </w:r>
        <w:r>
          <w:rPr>
            <w:webHidden/>
          </w:rPr>
          <w:tab/>
        </w:r>
        <w:r>
          <w:rPr>
            <w:webHidden/>
          </w:rPr>
          <w:fldChar w:fldCharType="begin"/>
        </w:r>
        <w:r>
          <w:rPr>
            <w:webHidden/>
          </w:rPr>
          <w:instrText xml:space="preserve"> PAGEREF _Toc337547064 \h </w:instrText>
        </w:r>
        <w:r>
          <w:rPr>
            <w:webHidden/>
          </w:rPr>
        </w:r>
        <w:r>
          <w:rPr>
            <w:webHidden/>
          </w:rPr>
          <w:fldChar w:fldCharType="separate"/>
        </w:r>
        <w:r w:rsidR="003361A8">
          <w:rPr>
            <w:webHidden/>
          </w:rPr>
          <w:t>103</w:t>
        </w:r>
        <w:r>
          <w:rPr>
            <w:webHidden/>
          </w:rPr>
          <w:fldChar w:fldCharType="end"/>
        </w:r>
      </w:hyperlink>
    </w:p>
    <w:p w:rsidR="00A3294E" w:rsidRDefault="00A3294E">
      <w:pPr>
        <w:pStyle w:val="TableofFigures"/>
        <w:rPr>
          <w:rFonts w:ascii="Calibri" w:hAnsi="Calibri"/>
          <w:sz w:val="22"/>
          <w:szCs w:val="22"/>
          <w:lang w:val="en-AU" w:eastAsia="en-AU"/>
        </w:rPr>
      </w:pPr>
      <w:hyperlink w:anchor="_Toc337547065" w:history="1">
        <w:r w:rsidRPr="0023639B">
          <w:rPr>
            <w:rStyle w:val="Hyperlink"/>
          </w:rPr>
          <w:t>Figure 15 Trends in the proportion of LBC samples reported as unsatisfactory, by laboratory (</w:t>
        </w:r>
        <w:r w:rsidRPr="0023639B">
          <w:rPr>
            <w:rStyle w:val="Hyperlink"/>
            <w:lang w:val="en-AU"/>
          </w:rPr>
          <w:t>Source:</w:t>
        </w:r>
        <w:r w:rsidRPr="0023639B">
          <w:rPr>
            <w:rStyle w:val="Hyperlink"/>
          </w:rPr>
          <w:t>NCSP Monitoring report Number 34 Figure 49</w:t>
        </w:r>
        <w:r w:rsidRPr="0023639B">
          <w:rPr>
            <w:rStyle w:val="Hyperlink"/>
            <w:lang w:val="en-AU"/>
          </w:rPr>
          <w:t xml:space="preserve"> p.125</w:t>
        </w:r>
        <w:r w:rsidRPr="0023639B">
          <w:rPr>
            <w:rStyle w:val="Hyperlink"/>
          </w:rPr>
          <w:t>)</w:t>
        </w:r>
        <w:r>
          <w:rPr>
            <w:webHidden/>
          </w:rPr>
          <w:tab/>
        </w:r>
        <w:r>
          <w:rPr>
            <w:webHidden/>
          </w:rPr>
          <w:fldChar w:fldCharType="begin"/>
        </w:r>
        <w:r>
          <w:rPr>
            <w:webHidden/>
          </w:rPr>
          <w:instrText xml:space="preserve"> PAGEREF _Toc337547065 \h </w:instrText>
        </w:r>
        <w:r>
          <w:rPr>
            <w:webHidden/>
          </w:rPr>
        </w:r>
        <w:r>
          <w:rPr>
            <w:webHidden/>
          </w:rPr>
          <w:fldChar w:fldCharType="separate"/>
        </w:r>
        <w:r w:rsidR="003361A8">
          <w:rPr>
            <w:webHidden/>
          </w:rPr>
          <w:t>160</w:t>
        </w:r>
        <w:r>
          <w:rPr>
            <w:webHidden/>
          </w:rPr>
          <w:fldChar w:fldCharType="end"/>
        </w:r>
      </w:hyperlink>
    </w:p>
    <w:p w:rsidR="00A3294E" w:rsidRDefault="00A3294E">
      <w:pPr>
        <w:pStyle w:val="TableofFigures"/>
        <w:rPr>
          <w:rFonts w:ascii="Calibri" w:hAnsi="Calibri"/>
          <w:sz w:val="22"/>
          <w:szCs w:val="22"/>
          <w:lang w:val="en-AU" w:eastAsia="en-AU"/>
        </w:rPr>
      </w:pPr>
      <w:hyperlink w:anchor="_Toc337547066" w:history="1">
        <w:r w:rsidRPr="0023639B">
          <w:rPr>
            <w:rStyle w:val="Hyperlink"/>
          </w:rPr>
          <w:t xml:space="preserve">Figure 16 Trends in the proportion of satisfactory cytology samples reported as abnormal, by laboratory </w:t>
        </w:r>
        <w:r w:rsidRPr="0023639B">
          <w:rPr>
            <w:rStyle w:val="Hyperlink"/>
            <w:lang w:val="en-AU"/>
          </w:rPr>
          <w:t xml:space="preserve"> </w:t>
        </w:r>
        <w:r w:rsidRPr="0023639B">
          <w:rPr>
            <w:rStyle w:val="Hyperlink"/>
          </w:rPr>
          <w:t>(</w:t>
        </w:r>
        <w:r w:rsidRPr="0023639B">
          <w:rPr>
            <w:rStyle w:val="Hyperlink"/>
            <w:lang w:val="en-AU"/>
          </w:rPr>
          <w:t>Source:</w:t>
        </w:r>
        <w:r w:rsidRPr="0023639B">
          <w:rPr>
            <w:rStyle w:val="Hyperlink"/>
          </w:rPr>
          <w:t>NCSP Monitoring report Number 34 Figure 51</w:t>
        </w:r>
        <w:r w:rsidRPr="0023639B">
          <w:rPr>
            <w:rStyle w:val="Hyperlink"/>
            <w:lang w:val="en-AU"/>
          </w:rPr>
          <w:t>p.126</w:t>
        </w:r>
        <w:r w:rsidRPr="0023639B">
          <w:rPr>
            <w:rStyle w:val="Hyperlink"/>
          </w:rPr>
          <w:t>) Note: a higher proportion of the samples received by LabPLUS are from colposcopy clinics compared to other laboratories)</w:t>
        </w:r>
        <w:r>
          <w:rPr>
            <w:webHidden/>
          </w:rPr>
          <w:tab/>
        </w:r>
        <w:r>
          <w:rPr>
            <w:webHidden/>
          </w:rPr>
          <w:fldChar w:fldCharType="begin"/>
        </w:r>
        <w:r>
          <w:rPr>
            <w:webHidden/>
          </w:rPr>
          <w:instrText xml:space="preserve"> PAGEREF _Toc337547066 \h </w:instrText>
        </w:r>
        <w:r>
          <w:rPr>
            <w:webHidden/>
          </w:rPr>
        </w:r>
        <w:r>
          <w:rPr>
            <w:webHidden/>
          </w:rPr>
          <w:fldChar w:fldCharType="separate"/>
        </w:r>
        <w:r w:rsidR="003361A8">
          <w:rPr>
            <w:webHidden/>
          </w:rPr>
          <w:t>160</w:t>
        </w:r>
        <w:r>
          <w:rPr>
            <w:webHidden/>
          </w:rPr>
          <w:fldChar w:fldCharType="end"/>
        </w:r>
      </w:hyperlink>
    </w:p>
    <w:p w:rsidR="00A3294E" w:rsidRPr="009E678D" w:rsidRDefault="00A3294E">
      <w:pPr>
        <w:pStyle w:val="TableofFigures"/>
        <w:rPr>
          <w:sz w:val="22"/>
          <w:szCs w:val="22"/>
          <w:lang w:val="en-AU" w:eastAsia="en-AU"/>
        </w:rPr>
      </w:pPr>
      <w:hyperlink w:anchor="_Toc337547067" w:history="1">
        <w:r w:rsidRPr="009E678D">
          <w:rPr>
            <w:rStyle w:val="Hyperlink"/>
            <w:rFonts w:cs="Arial"/>
            <w:i/>
          </w:rPr>
          <w:t>Figure 17</w:t>
        </w:r>
        <w:r w:rsidRPr="009E678D">
          <w:rPr>
            <w:i/>
            <w:sz w:val="22"/>
            <w:szCs w:val="22"/>
            <w:lang w:val="en-AU" w:eastAsia="en-AU"/>
          </w:rPr>
          <w:tab/>
        </w:r>
        <w:r w:rsidR="005B3672" w:rsidRPr="009E678D">
          <w:rPr>
            <w:rStyle w:val="Hyperlink"/>
            <w:rFonts w:cs="Arial"/>
            <w:i/>
            <w:lang w:val="en-AU"/>
          </w:rPr>
          <w:t>Commercial-in-confidence</w:t>
        </w:r>
        <w:r w:rsidRPr="009E678D">
          <w:rPr>
            <w:webHidden/>
          </w:rPr>
          <w:tab/>
        </w:r>
      </w:hyperlink>
    </w:p>
    <w:p w:rsidR="00A3294E" w:rsidRDefault="00A3294E">
      <w:pPr>
        <w:pStyle w:val="TableofFigures"/>
        <w:rPr>
          <w:rFonts w:ascii="Calibri" w:hAnsi="Calibri"/>
          <w:sz w:val="22"/>
          <w:szCs w:val="22"/>
          <w:lang w:val="en-AU" w:eastAsia="en-AU"/>
        </w:rPr>
      </w:pPr>
      <w:hyperlink w:anchor="_Toc337547068" w:history="1">
        <w:r w:rsidRPr="0023639B">
          <w:rPr>
            <w:rStyle w:val="Hyperlink"/>
          </w:rPr>
          <w:t>Figure 18</w:t>
        </w:r>
        <w:r>
          <w:rPr>
            <w:rFonts w:ascii="Calibri" w:hAnsi="Calibri"/>
            <w:sz w:val="22"/>
            <w:szCs w:val="22"/>
            <w:lang w:val="en-AU" w:eastAsia="en-AU"/>
          </w:rPr>
          <w:tab/>
        </w:r>
        <w:r w:rsidRPr="0023639B">
          <w:rPr>
            <w:rStyle w:val="Hyperlink"/>
          </w:rPr>
          <w:t>Predicted costs, effects, and incremental cost-effectiveness ratios, by cytology test technology</w:t>
        </w:r>
        <w:r>
          <w:rPr>
            <w:webHidden/>
          </w:rPr>
          <w:tab/>
        </w:r>
        <w:r>
          <w:rPr>
            <w:webHidden/>
          </w:rPr>
          <w:fldChar w:fldCharType="begin"/>
        </w:r>
        <w:r>
          <w:rPr>
            <w:webHidden/>
          </w:rPr>
          <w:instrText xml:space="preserve"> PAGEREF _Toc337547068 \h </w:instrText>
        </w:r>
        <w:r>
          <w:rPr>
            <w:webHidden/>
          </w:rPr>
        </w:r>
        <w:r>
          <w:rPr>
            <w:webHidden/>
          </w:rPr>
          <w:fldChar w:fldCharType="separate"/>
        </w:r>
        <w:r w:rsidR="003361A8">
          <w:rPr>
            <w:webHidden/>
          </w:rPr>
          <w:t>185</w:t>
        </w:r>
        <w:r>
          <w:rPr>
            <w:webHidden/>
          </w:rPr>
          <w:fldChar w:fldCharType="end"/>
        </w:r>
      </w:hyperlink>
    </w:p>
    <w:p w:rsidR="00A3294E" w:rsidRDefault="00A3294E">
      <w:pPr>
        <w:pStyle w:val="TableofFigures"/>
        <w:rPr>
          <w:rFonts w:ascii="Calibri" w:hAnsi="Calibri"/>
          <w:sz w:val="22"/>
          <w:szCs w:val="22"/>
          <w:lang w:val="en-AU" w:eastAsia="en-AU"/>
        </w:rPr>
      </w:pPr>
      <w:hyperlink w:anchor="_Toc337547069" w:history="1">
        <w:r w:rsidRPr="0023639B">
          <w:rPr>
            <w:rStyle w:val="Hyperlink"/>
          </w:rPr>
          <w:t>Figure 19</w:t>
        </w:r>
        <w:r>
          <w:rPr>
            <w:rFonts w:ascii="Calibri" w:hAnsi="Calibri"/>
            <w:sz w:val="22"/>
            <w:szCs w:val="22"/>
            <w:lang w:val="en-AU" w:eastAsia="en-AU"/>
          </w:rPr>
          <w:tab/>
        </w:r>
        <w:r w:rsidRPr="0023639B">
          <w:rPr>
            <w:rStyle w:val="Hyperlink"/>
          </w:rPr>
          <w:t>Predicted age-specific mortality in Australia, compared with cancer registry data from 2003–2005</w:t>
        </w:r>
        <w:r>
          <w:rPr>
            <w:webHidden/>
          </w:rPr>
          <w:tab/>
        </w:r>
        <w:r>
          <w:rPr>
            <w:webHidden/>
          </w:rPr>
          <w:fldChar w:fldCharType="begin"/>
        </w:r>
        <w:r>
          <w:rPr>
            <w:webHidden/>
          </w:rPr>
          <w:instrText xml:space="preserve"> PAGEREF _Toc337547069 \h </w:instrText>
        </w:r>
        <w:r>
          <w:rPr>
            <w:webHidden/>
          </w:rPr>
        </w:r>
        <w:r>
          <w:rPr>
            <w:webHidden/>
          </w:rPr>
          <w:fldChar w:fldCharType="separate"/>
        </w:r>
        <w:r w:rsidR="003361A8">
          <w:rPr>
            <w:webHidden/>
          </w:rPr>
          <w:t>187</w:t>
        </w:r>
        <w:r>
          <w:rPr>
            <w:webHidden/>
          </w:rPr>
          <w:fldChar w:fldCharType="end"/>
        </w:r>
      </w:hyperlink>
    </w:p>
    <w:p w:rsidR="00A3294E" w:rsidRDefault="00A3294E">
      <w:pPr>
        <w:pStyle w:val="TableofFigures"/>
        <w:rPr>
          <w:rFonts w:ascii="Calibri" w:hAnsi="Calibri"/>
          <w:sz w:val="22"/>
          <w:szCs w:val="22"/>
          <w:lang w:val="en-AU" w:eastAsia="en-AU"/>
        </w:rPr>
      </w:pPr>
      <w:hyperlink w:anchor="_Toc337547070" w:history="1">
        <w:r w:rsidRPr="0023639B">
          <w:rPr>
            <w:rStyle w:val="Hyperlink"/>
          </w:rPr>
          <w:t>Figure 20</w:t>
        </w:r>
        <w:r>
          <w:rPr>
            <w:rFonts w:ascii="Calibri" w:hAnsi="Calibri"/>
            <w:sz w:val="22"/>
            <w:szCs w:val="22"/>
            <w:lang w:val="en-AU" w:eastAsia="en-AU"/>
          </w:rPr>
          <w:tab/>
        </w:r>
        <w:r w:rsidRPr="0023639B">
          <w:rPr>
            <w:rStyle w:val="Hyperlink"/>
          </w:rPr>
          <w:t>Predicted age-specific rate of histologically confirmed low grades detected compared with registry data (2006)</w:t>
        </w:r>
        <w:r>
          <w:rPr>
            <w:webHidden/>
          </w:rPr>
          <w:tab/>
        </w:r>
        <w:r>
          <w:rPr>
            <w:webHidden/>
          </w:rPr>
          <w:fldChar w:fldCharType="begin"/>
        </w:r>
        <w:r>
          <w:rPr>
            <w:webHidden/>
          </w:rPr>
          <w:instrText xml:space="preserve"> PAGEREF _Toc337547070 \h </w:instrText>
        </w:r>
        <w:r>
          <w:rPr>
            <w:webHidden/>
          </w:rPr>
        </w:r>
        <w:r>
          <w:rPr>
            <w:webHidden/>
          </w:rPr>
          <w:fldChar w:fldCharType="separate"/>
        </w:r>
        <w:r w:rsidR="003361A8">
          <w:rPr>
            <w:webHidden/>
          </w:rPr>
          <w:t>188</w:t>
        </w:r>
        <w:r>
          <w:rPr>
            <w:webHidden/>
          </w:rPr>
          <w:fldChar w:fldCharType="end"/>
        </w:r>
      </w:hyperlink>
    </w:p>
    <w:p w:rsidR="00A3294E" w:rsidRDefault="00A3294E">
      <w:pPr>
        <w:pStyle w:val="TableofFigures"/>
        <w:rPr>
          <w:rFonts w:ascii="Calibri" w:hAnsi="Calibri"/>
          <w:sz w:val="22"/>
          <w:szCs w:val="22"/>
          <w:lang w:val="en-AU" w:eastAsia="en-AU"/>
        </w:rPr>
      </w:pPr>
      <w:hyperlink w:anchor="_Toc337547071" w:history="1">
        <w:r w:rsidRPr="0023639B">
          <w:rPr>
            <w:rStyle w:val="Hyperlink"/>
          </w:rPr>
          <w:t>Figure 21</w:t>
        </w:r>
        <w:r>
          <w:rPr>
            <w:rFonts w:ascii="Calibri" w:hAnsi="Calibri"/>
            <w:sz w:val="22"/>
            <w:szCs w:val="22"/>
            <w:lang w:val="en-AU" w:eastAsia="en-AU"/>
          </w:rPr>
          <w:tab/>
        </w:r>
        <w:r w:rsidR="009E678D" w:rsidRPr="009E678D">
          <w:rPr>
            <w:rStyle w:val="Hyperlink"/>
            <w:i/>
            <w:lang w:val="en-AU"/>
          </w:rPr>
          <w:t>Commercial-in-confidence</w:t>
        </w:r>
        <w:r>
          <w:rPr>
            <w:webHidden/>
          </w:rPr>
          <w:tab/>
        </w:r>
      </w:hyperlink>
    </w:p>
    <w:p w:rsidR="00A3294E" w:rsidRDefault="00A3294E">
      <w:pPr>
        <w:pStyle w:val="TableofFigures"/>
        <w:rPr>
          <w:rFonts w:ascii="Calibri" w:hAnsi="Calibri"/>
          <w:sz w:val="22"/>
          <w:szCs w:val="22"/>
          <w:lang w:val="en-AU" w:eastAsia="en-AU"/>
        </w:rPr>
      </w:pPr>
      <w:hyperlink w:anchor="_Toc337547072" w:history="1">
        <w:r w:rsidRPr="0023639B">
          <w:rPr>
            <w:rStyle w:val="Hyperlink"/>
          </w:rPr>
          <w:t>Figure 22</w:t>
        </w:r>
        <w:r>
          <w:rPr>
            <w:rFonts w:ascii="Calibri" w:hAnsi="Calibri"/>
            <w:sz w:val="22"/>
            <w:szCs w:val="22"/>
            <w:lang w:val="en-AU" w:eastAsia="en-AU"/>
          </w:rPr>
          <w:tab/>
        </w:r>
        <w:r w:rsidR="009E678D" w:rsidRPr="009E678D">
          <w:rPr>
            <w:rStyle w:val="Hyperlink"/>
            <w:i/>
            <w:lang w:val="en-AU"/>
          </w:rPr>
          <w:t>Commercial-in-confidence</w:t>
        </w:r>
        <w:r>
          <w:rPr>
            <w:webHidden/>
          </w:rPr>
          <w:tab/>
        </w:r>
      </w:hyperlink>
    </w:p>
    <w:p w:rsidR="00A3294E" w:rsidRDefault="00A3294E">
      <w:pPr>
        <w:pStyle w:val="TableofFigures"/>
        <w:rPr>
          <w:rFonts w:ascii="Calibri" w:hAnsi="Calibri"/>
          <w:sz w:val="22"/>
          <w:szCs w:val="22"/>
          <w:lang w:val="en-AU" w:eastAsia="en-AU"/>
        </w:rPr>
      </w:pPr>
      <w:hyperlink w:anchor="_Toc337547073" w:history="1">
        <w:r w:rsidRPr="0023639B">
          <w:rPr>
            <w:rStyle w:val="Hyperlink"/>
          </w:rPr>
          <w:t>Figure 23</w:t>
        </w:r>
        <w:r>
          <w:rPr>
            <w:rFonts w:ascii="Calibri" w:hAnsi="Calibri"/>
            <w:sz w:val="22"/>
            <w:szCs w:val="22"/>
            <w:lang w:val="en-AU" w:eastAsia="en-AU"/>
          </w:rPr>
          <w:tab/>
        </w:r>
        <w:r w:rsidR="002B63FE" w:rsidRPr="002B63FE">
          <w:rPr>
            <w:rStyle w:val="Hyperlink"/>
            <w:i/>
            <w:lang w:val="en-AU"/>
          </w:rPr>
          <w:t>Commercial-in-confidence</w:t>
        </w:r>
        <w:r>
          <w:rPr>
            <w:webHidden/>
          </w:rPr>
          <w:tab/>
        </w:r>
      </w:hyperlink>
    </w:p>
    <w:p w:rsidR="00A3294E" w:rsidRDefault="00A3294E">
      <w:pPr>
        <w:pStyle w:val="TableofFigures"/>
        <w:rPr>
          <w:rFonts w:ascii="Calibri" w:hAnsi="Calibri"/>
          <w:sz w:val="22"/>
          <w:szCs w:val="22"/>
          <w:lang w:val="en-AU" w:eastAsia="en-AU"/>
        </w:rPr>
      </w:pPr>
      <w:hyperlink w:anchor="_Toc337547074" w:history="1">
        <w:r w:rsidRPr="0023639B">
          <w:rPr>
            <w:rStyle w:val="Hyperlink"/>
          </w:rPr>
          <w:t>Figure 24</w:t>
        </w:r>
        <w:r>
          <w:rPr>
            <w:rFonts w:ascii="Calibri" w:hAnsi="Calibri"/>
            <w:sz w:val="22"/>
            <w:szCs w:val="22"/>
            <w:lang w:val="en-AU" w:eastAsia="en-AU"/>
          </w:rPr>
          <w:tab/>
        </w:r>
        <w:r w:rsidR="002B63FE" w:rsidRPr="002B63FE">
          <w:rPr>
            <w:rStyle w:val="Hyperlink"/>
            <w:i/>
            <w:lang w:val="en-AU"/>
          </w:rPr>
          <w:t>Commercial-in-confidence</w:t>
        </w:r>
        <w:r>
          <w:rPr>
            <w:webHidden/>
          </w:rPr>
          <w:tab/>
        </w:r>
      </w:hyperlink>
    </w:p>
    <w:p w:rsidR="00A3294E" w:rsidRDefault="00A3294E">
      <w:pPr>
        <w:pStyle w:val="TableofFigures"/>
        <w:rPr>
          <w:rFonts w:ascii="Calibri" w:hAnsi="Calibri"/>
          <w:sz w:val="22"/>
          <w:szCs w:val="22"/>
          <w:lang w:val="en-AU" w:eastAsia="en-AU"/>
        </w:rPr>
      </w:pPr>
      <w:hyperlink w:anchor="_Toc337547075" w:history="1">
        <w:r w:rsidRPr="0023639B">
          <w:rPr>
            <w:rStyle w:val="Hyperlink"/>
          </w:rPr>
          <w:t>Figure 25</w:t>
        </w:r>
        <w:r>
          <w:rPr>
            <w:rFonts w:ascii="Calibri" w:hAnsi="Calibri"/>
            <w:sz w:val="22"/>
            <w:szCs w:val="22"/>
            <w:lang w:val="en-AU" w:eastAsia="en-AU"/>
          </w:rPr>
          <w:tab/>
        </w:r>
        <w:r w:rsidR="002B63FE" w:rsidRPr="002B63FE">
          <w:rPr>
            <w:rStyle w:val="Hyperlink"/>
            <w:i/>
            <w:lang w:val="en-AU"/>
          </w:rPr>
          <w:t>Commercial-in-confidence</w:t>
        </w:r>
        <w:r>
          <w:rPr>
            <w:webHidden/>
          </w:rPr>
          <w:tab/>
        </w:r>
      </w:hyperlink>
    </w:p>
    <w:p w:rsidR="00A3294E" w:rsidRDefault="00A3294E">
      <w:pPr>
        <w:pStyle w:val="TableofFigures"/>
        <w:rPr>
          <w:rFonts w:ascii="Calibri" w:hAnsi="Calibri"/>
          <w:sz w:val="22"/>
          <w:szCs w:val="22"/>
          <w:lang w:val="en-AU" w:eastAsia="en-AU"/>
        </w:rPr>
      </w:pPr>
      <w:hyperlink w:anchor="_Toc337547076" w:history="1">
        <w:r w:rsidRPr="0023639B">
          <w:rPr>
            <w:rStyle w:val="Hyperlink"/>
          </w:rPr>
          <w:t>Figure 26</w:t>
        </w:r>
        <w:r>
          <w:rPr>
            <w:rFonts w:ascii="Calibri" w:hAnsi="Calibri"/>
            <w:sz w:val="22"/>
            <w:szCs w:val="22"/>
            <w:lang w:val="en-AU" w:eastAsia="en-AU"/>
          </w:rPr>
          <w:tab/>
        </w:r>
        <w:r w:rsidRPr="0023639B">
          <w:rPr>
            <w:rStyle w:val="Hyperlink"/>
          </w:rPr>
          <w:t>Historical use of conventional cytology tests for cervical cancer screening</w:t>
        </w:r>
        <w:r>
          <w:rPr>
            <w:webHidden/>
          </w:rPr>
          <w:tab/>
        </w:r>
        <w:r>
          <w:rPr>
            <w:webHidden/>
          </w:rPr>
          <w:fldChar w:fldCharType="begin"/>
        </w:r>
        <w:r>
          <w:rPr>
            <w:webHidden/>
          </w:rPr>
          <w:instrText xml:space="preserve"> PAGEREF _Toc337547076 \h </w:instrText>
        </w:r>
        <w:r>
          <w:rPr>
            <w:webHidden/>
          </w:rPr>
        </w:r>
        <w:r>
          <w:rPr>
            <w:webHidden/>
          </w:rPr>
          <w:fldChar w:fldCharType="separate"/>
        </w:r>
        <w:r w:rsidR="003361A8">
          <w:rPr>
            <w:webHidden/>
          </w:rPr>
          <w:t>197</w:t>
        </w:r>
        <w:r>
          <w:rPr>
            <w:webHidden/>
          </w:rPr>
          <w:fldChar w:fldCharType="end"/>
        </w:r>
      </w:hyperlink>
    </w:p>
    <w:p w:rsidR="00A3294E" w:rsidRDefault="00A3294E">
      <w:pPr>
        <w:pStyle w:val="TableofFigures"/>
        <w:rPr>
          <w:rFonts w:ascii="Calibri" w:hAnsi="Calibri"/>
          <w:sz w:val="22"/>
          <w:szCs w:val="22"/>
          <w:lang w:val="en-AU" w:eastAsia="en-AU"/>
        </w:rPr>
      </w:pPr>
      <w:hyperlink w:anchor="_Toc337547077" w:history="1">
        <w:r w:rsidRPr="0023639B">
          <w:rPr>
            <w:rStyle w:val="Hyperlink"/>
          </w:rPr>
          <w:t>Figure 27</w:t>
        </w:r>
        <w:r>
          <w:rPr>
            <w:rFonts w:ascii="Calibri" w:hAnsi="Calibri"/>
            <w:sz w:val="22"/>
            <w:szCs w:val="22"/>
            <w:lang w:val="en-AU" w:eastAsia="en-AU"/>
          </w:rPr>
          <w:tab/>
        </w:r>
        <w:r w:rsidRPr="0023639B">
          <w:rPr>
            <w:rStyle w:val="Hyperlink"/>
          </w:rPr>
          <w:t>Projected use of Items 73053 and 73055 to 2017</w:t>
        </w:r>
        <w:r>
          <w:rPr>
            <w:webHidden/>
          </w:rPr>
          <w:tab/>
        </w:r>
        <w:r>
          <w:rPr>
            <w:webHidden/>
          </w:rPr>
          <w:fldChar w:fldCharType="begin"/>
        </w:r>
        <w:r>
          <w:rPr>
            <w:webHidden/>
          </w:rPr>
          <w:instrText xml:space="preserve"> PAGEREF _Toc337547077 \h </w:instrText>
        </w:r>
        <w:r>
          <w:rPr>
            <w:webHidden/>
          </w:rPr>
        </w:r>
        <w:r>
          <w:rPr>
            <w:webHidden/>
          </w:rPr>
          <w:fldChar w:fldCharType="separate"/>
        </w:r>
        <w:r w:rsidR="003361A8">
          <w:rPr>
            <w:webHidden/>
          </w:rPr>
          <w:t>200</w:t>
        </w:r>
        <w:r>
          <w:rPr>
            <w:webHidden/>
          </w:rPr>
          <w:fldChar w:fldCharType="end"/>
        </w:r>
      </w:hyperlink>
    </w:p>
    <w:p w:rsidR="00A3294E" w:rsidRDefault="00A3294E">
      <w:pPr>
        <w:pStyle w:val="TableofFigures"/>
        <w:rPr>
          <w:rFonts w:ascii="Calibri" w:hAnsi="Calibri"/>
          <w:sz w:val="22"/>
          <w:szCs w:val="22"/>
          <w:lang w:val="en-AU" w:eastAsia="en-AU"/>
        </w:rPr>
      </w:pPr>
      <w:hyperlink w:anchor="_Toc337547078" w:history="1">
        <w:r w:rsidRPr="0023639B">
          <w:rPr>
            <w:rStyle w:val="Hyperlink"/>
          </w:rPr>
          <w:t>Figure 28</w:t>
        </w:r>
        <w:r>
          <w:rPr>
            <w:rFonts w:ascii="Calibri" w:hAnsi="Calibri"/>
            <w:sz w:val="22"/>
            <w:szCs w:val="22"/>
            <w:lang w:val="en-AU" w:eastAsia="en-AU"/>
          </w:rPr>
          <w:tab/>
        </w:r>
        <w:r w:rsidRPr="0023639B">
          <w:rPr>
            <w:rStyle w:val="Hyperlink"/>
          </w:rPr>
          <w:t>Projected use of Items 73053 and 73055 to 2017: Five-year data approach (sensitivity analysis)</w:t>
        </w:r>
        <w:r>
          <w:rPr>
            <w:webHidden/>
          </w:rPr>
          <w:tab/>
        </w:r>
        <w:r>
          <w:rPr>
            <w:webHidden/>
          </w:rPr>
          <w:fldChar w:fldCharType="begin"/>
        </w:r>
        <w:r>
          <w:rPr>
            <w:webHidden/>
          </w:rPr>
          <w:instrText xml:space="preserve"> PAGEREF _Toc337547078 \h </w:instrText>
        </w:r>
        <w:r>
          <w:rPr>
            <w:webHidden/>
          </w:rPr>
        </w:r>
        <w:r>
          <w:rPr>
            <w:webHidden/>
          </w:rPr>
          <w:fldChar w:fldCharType="separate"/>
        </w:r>
        <w:r w:rsidR="003361A8">
          <w:rPr>
            <w:webHidden/>
          </w:rPr>
          <w:t>212</w:t>
        </w:r>
        <w:r>
          <w:rPr>
            <w:webHidden/>
          </w:rPr>
          <w:fldChar w:fldCharType="end"/>
        </w:r>
      </w:hyperlink>
    </w:p>
    <w:p w:rsidR="00A3294E" w:rsidRDefault="00A3294E">
      <w:pPr>
        <w:pStyle w:val="TableofFigures"/>
        <w:rPr>
          <w:rFonts w:ascii="Calibri" w:hAnsi="Calibri"/>
          <w:sz w:val="22"/>
          <w:szCs w:val="22"/>
          <w:lang w:val="en-AU" w:eastAsia="en-AU"/>
        </w:rPr>
      </w:pPr>
      <w:hyperlink w:anchor="_Toc337547079" w:history="1">
        <w:r w:rsidRPr="0023639B">
          <w:rPr>
            <w:rStyle w:val="Hyperlink"/>
          </w:rPr>
          <w:t>Figure 29</w:t>
        </w:r>
        <w:r>
          <w:rPr>
            <w:rFonts w:ascii="Calibri" w:hAnsi="Calibri"/>
            <w:sz w:val="22"/>
            <w:szCs w:val="22"/>
            <w:lang w:val="en-AU" w:eastAsia="en-AU"/>
          </w:rPr>
          <w:tab/>
        </w:r>
        <w:r w:rsidRPr="0023639B">
          <w:rPr>
            <w:rStyle w:val="Hyperlink"/>
          </w:rPr>
          <w:t>Management of participants testing positive in screening program (based on NHMRC 2005, Final DAP May 2012 Appendix A)</w:t>
        </w:r>
        <w:r>
          <w:rPr>
            <w:webHidden/>
          </w:rPr>
          <w:tab/>
        </w:r>
        <w:r>
          <w:rPr>
            <w:webHidden/>
          </w:rPr>
          <w:fldChar w:fldCharType="begin"/>
        </w:r>
        <w:r>
          <w:rPr>
            <w:webHidden/>
          </w:rPr>
          <w:instrText xml:space="preserve"> PAGEREF _Toc337547079 \h </w:instrText>
        </w:r>
        <w:r>
          <w:rPr>
            <w:webHidden/>
          </w:rPr>
        </w:r>
        <w:r>
          <w:rPr>
            <w:webHidden/>
          </w:rPr>
          <w:fldChar w:fldCharType="separate"/>
        </w:r>
        <w:r w:rsidR="003361A8">
          <w:rPr>
            <w:webHidden/>
          </w:rPr>
          <w:t>224</w:t>
        </w:r>
        <w:r>
          <w:rPr>
            <w:webHidden/>
          </w:rPr>
          <w:fldChar w:fldCharType="end"/>
        </w:r>
      </w:hyperlink>
    </w:p>
    <w:p w:rsidR="00FF05EE" w:rsidRDefault="00086C77" w:rsidP="003F1BA4">
      <w:pPr>
        <w:pStyle w:val="Listoftables"/>
      </w:pPr>
      <w:r w:rsidRPr="005F6015">
        <w:rPr>
          <w:rStyle w:val="Hyperlink"/>
          <w:sz w:val="20"/>
          <w:szCs w:val="20"/>
        </w:rPr>
        <w:fldChar w:fldCharType="end"/>
      </w:r>
    </w:p>
    <w:p w:rsidR="00844317" w:rsidRPr="00606621" w:rsidRDefault="00844317" w:rsidP="00606621">
      <w:pPr>
        <w:sectPr w:rsidR="00844317" w:rsidRPr="00606621" w:rsidSect="008846BA">
          <w:headerReference w:type="default" r:id="rId15"/>
          <w:pgSz w:w="11907" w:h="16839" w:code="9"/>
          <w:pgMar w:top="1701" w:right="1418" w:bottom="1418" w:left="1701" w:header="720" w:footer="720" w:gutter="0"/>
          <w:paperSrc w:first="4035" w:other="4035"/>
          <w:pgNumType w:fmt="lowerRoman"/>
          <w:cols w:space="720"/>
          <w:noEndnote/>
        </w:sectPr>
      </w:pPr>
    </w:p>
    <w:p w:rsidR="00FF05EE" w:rsidRDefault="00362526" w:rsidP="00881BD2">
      <w:pPr>
        <w:pStyle w:val="Heading1"/>
      </w:pPr>
      <w:bookmarkStart w:id="30" w:name="_Toc258501757"/>
      <w:bookmarkStart w:id="31" w:name="_Toc336189654"/>
      <w:bookmarkStart w:id="32" w:name="_Toc337546861"/>
      <w:r>
        <w:lastRenderedPageBreak/>
        <w:t>List of A</w:t>
      </w:r>
      <w:r w:rsidR="00412CDA">
        <w:t>ttachments</w:t>
      </w:r>
      <w:bookmarkEnd w:id="30"/>
      <w:bookmarkEnd w:id="31"/>
      <w:bookmarkEnd w:id="32"/>
    </w:p>
    <w:tbl>
      <w:tblPr>
        <w:tblW w:w="5000" w:type="pct"/>
        <w:tblCellMar>
          <w:bottom w:w="108" w:type="dxa"/>
        </w:tblCellMar>
        <w:tblLook w:val="0000" w:firstRow="0" w:lastRow="0" w:firstColumn="0" w:lastColumn="0" w:noHBand="0" w:noVBand="0"/>
      </w:tblPr>
      <w:tblGrid>
        <w:gridCol w:w="1525"/>
        <w:gridCol w:w="5246"/>
        <w:gridCol w:w="2233"/>
      </w:tblGrid>
      <w:tr w:rsidR="00C90D02" w:rsidTr="00F21E06">
        <w:tc>
          <w:tcPr>
            <w:tcW w:w="847" w:type="pct"/>
          </w:tcPr>
          <w:p w:rsidR="00C90D02" w:rsidRDefault="00C90D02" w:rsidP="00132E0B">
            <w:pPr>
              <w:pStyle w:val="Tableheading"/>
            </w:pPr>
            <w:r>
              <w:t>Attachment</w:t>
            </w:r>
          </w:p>
        </w:tc>
        <w:tc>
          <w:tcPr>
            <w:tcW w:w="2913" w:type="pct"/>
          </w:tcPr>
          <w:p w:rsidR="00C90D02" w:rsidRDefault="00C90D02" w:rsidP="00C90D02">
            <w:pPr>
              <w:pStyle w:val="Tableheading"/>
            </w:pPr>
            <w:r>
              <w:t>Title</w:t>
            </w:r>
          </w:p>
        </w:tc>
        <w:tc>
          <w:tcPr>
            <w:tcW w:w="1240" w:type="pct"/>
          </w:tcPr>
          <w:p w:rsidR="00C90D02" w:rsidRPr="00606621" w:rsidRDefault="00C90D02" w:rsidP="005D7275">
            <w:pPr>
              <w:pStyle w:val="Tableheading"/>
            </w:pPr>
            <w:r w:rsidRPr="00606621">
              <w:t>Numbers of copies provided</w:t>
            </w:r>
          </w:p>
        </w:tc>
      </w:tr>
      <w:tr w:rsidR="00C90D02" w:rsidTr="00F21E06">
        <w:tc>
          <w:tcPr>
            <w:tcW w:w="847" w:type="pct"/>
          </w:tcPr>
          <w:p w:rsidR="00C90D02" w:rsidRDefault="00C90D02" w:rsidP="00132E0B">
            <w:pPr>
              <w:pStyle w:val="Tableheading"/>
              <w:rPr>
                <w:iCs/>
              </w:rPr>
            </w:pPr>
            <w:r>
              <w:t>Attachment 1</w:t>
            </w:r>
          </w:p>
        </w:tc>
        <w:tc>
          <w:tcPr>
            <w:tcW w:w="2913" w:type="pct"/>
          </w:tcPr>
          <w:p w:rsidR="00C90D02" w:rsidRDefault="00E33AD4" w:rsidP="00132E0B">
            <w:pPr>
              <w:pStyle w:val="Tabletext"/>
            </w:pPr>
            <w:r>
              <w:t>Technology brochure/description</w:t>
            </w:r>
          </w:p>
        </w:tc>
        <w:tc>
          <w:tcPr>
            <w:tcW w:w="1240" w:type="pct"/>
          </w:tcPr>
          <w:p w:rsidR="00C90D02" w:rsidRPr="008376BD" w:rsidRDefault="009335B2" w:rsidP="008376BD">
            <w:pPr>
              <w:pStyle w:val="Tabletext"/>
              <w:jc w:val="center"/>
            </w:pPr>
            <w:r>
              <w:t>4</w:t>
            </w:r>
          </w:p>
        </w:tc>
      </w:tr>
      <w:tr w:rsidR="00C90D02" w:rsidTr="00F21E06">
        <w:tc>
          <w:tcPr>
            <w:tcW w:w="847" w:type="pct"/>
          </w:tcPr>
          <w:p w:rsidR="00C90D02" w:rsidRDefault="00C90D02" w:rsidP="00132E0B">
            <w:pPr>
              <w:pStyle w:val="Tableheading"/>
            </w:pPr>
            <w:r>
              <w:t>Attachment 2</w:t>
            </w:r>
          </w:p>
        </w:tc>
        <w:tc>
          <w:tcPr>
            <w:tcW w:w="2913" w:type="pct"/>
          </w:tcPr>
          <w:p w:rsidR="00C90D02" w:rsidRDefault="00E33AD4" w:rsidP="00A81570">
            <w:pPr>
              <w:pStyle w:val="Tabletext"/>
            </w:pPr>
            <w:r>
              <w:t>Literature search (reference Manager Datab</w:t>
            </w:r>
            <w:r w:rsidR="002352A9">
              <w:t>a</w:t>
            </w:r>
            <w:r>
              <w:t>se provided electronically only)</w:t>
            </w:r>
          </w:p>
        </w:tc>
        <w:tc>
          <w:tcPr>
            <w:tcW w:w="1240" w:type="pct"/>
          </w:tcPr>
          <w:p w:rsidR="00C90D02" w:rsidRPr="008376BD" w:rsidRDefault="009335B2" w:rsidP="008376BD">
            <w:pPr>
              <w:pStyle w:val="Tabletext"/>
              <w:jc w:val="center"/>
            </w:pPr>
            <w:r>
              <w:t>4</w:t>
            </w:r>
          </w:p>
        </w:tc>
      </w:tr>
      <w:tr w:rsidR="00C90D02" w:rsidTr="00F21E06">
        <w:tc>
          <w:tcPr>
            <w:tcW w:w="847" w:type="pct"/>
          </w:tcPr>
          <w:p w:rsidR="00C90D02" w:rsidRDefault="00C90D02" w:rsidP="00132E0B">
            <w:pPr>
              <w:pStyle w:val="Tableheading"/>
            </w:pPr>
            <w:r>
              <w:t>Attachment 3</w:t>
            </w:r>
          </w:p>
        </w:tc>
        <w:tc>
          <w:tcPr>
            <w:tcW w:w="2913" w:type="pct"/>
          </w:tcPr>
          <w:p w:rsidR="00C90D02" w:rsidRDefault="00E33AD4" w:rsidP="00132E0B">
            <w:pPr>
              <w:pStyle w:val="Tabletext"/>
            </w:pPr>
            <w:r>
              <w:t>Included Studies</w:t>
            </w:r>
          </w:p>
        </w:tc>
        <w:tc>
          <w:tcPr>
            <w:tcW w:w="1240" w:type="pct"/>
          </w:tcPr>
          <w:p w:rsidR="00C90D02" w:rsidRPr="008376BD" w:rsidRDefault="009335B2" w:rsidP="008376BD">
            <w:pPr>
              <w:pStyle w:val="Tabletext"/>
              <w:jc w:val="center"/>
            </w:pPr>
            <w:r>
              <w:t>4</w:t>
            </w:r>
          </w:p>
        </w:tc>
      </w:tr>
      <w:tr w:rsidR="00A81570" w:rsidTr="00F21E06">
        <w:tc>
          <w:tcPr>
            <w:tcW w:w="847" w:type="pct"/>
          </w:tcPr>
          <w:p w:rsidR="00A81570" w:rsidRDefault="00A81570" w:rsidP="00132E0B">
            <w:pPr>
              <w:pStyle w:val="Tableheading"/>
            </w:pPr>
            <w:r>
              <w:t>Attachment 4</w:t>
            </w:r>
          </w:p>
        </w:tc>
        <w:tc>
          <w:tcPr>
            <w:tcW w:w="2913" w:type="pct"/>
          </w:tcPr>
          <w:p w:rsidR="00A81570" w:rsidRDefault="00E33AD4" w:rsidP="002352A9">
            <w:pPr>
              <w:pStyle w:val="Tabletext"/>
            </w:pPr>
            <w:r>
              <w:t>Section B statistical calculations (</w:t>
            </w:r>
            <w:r w:rsidR="009D708E">
              <w:t xml:space="preserve">RevMan database and excel </w:t>
            </w:r>
            <w:r w:rsidR="001A3CFB">
              <w:t>spread sheets</w:t>
            </w:r>
            <w:r w:rsidR="009D708E">
              <w:t xml:space="preserve"> </w:t>
            </w:r>
            <w:r w:rsidR="002352A9">
              <w:t>electronic only</w:t>
            </w:r>
            <w:r>
              <w:t>)</w:t>
            </w:r>
          </w:p>
        </w:tc>
        <w:tc>
          <w:tcPr>
            <w:tcW w:w="1240" w:type="pct"/>
          </w:tcPr>
          <w:p w:rsidR="001F4471" w:rsidRPr="008376BD" w:rsidRDefault="00AD7557" w:rsidP="00D91697">
            <w:pPr>
              <w:pStyle w:val="Tabletext"/>
              <w:jc w:val="center"/>
            </w:pPr>
            <w:r>
              <w:t>Electronic only</w:t>
            </w:r>
          </w:p>
        </w:tc>
      </w:tr>
      <w:tr w:rsidR="00D91697" w:rsidTr="00F21E06">
        <w:tc>
          <w:tcPr>
            <w:tcW w:w="847" w:type="pct"/>
          </w:tcPr>
          <w:p w:rsidR="00D91697" w:rsidRDefault="00D91697" w:rsidP="00132E0B">
            <w:pPr>
              <w:pStyle w:val="Tableheading"/>
            </w:pPr>
            <w:r>
              <w:t>Attachment 5</w:t>
            </w:r>
          </w:p>
        </w:tc>
        <w:tc>
          <w:tcPr>
            <w:tcW w:w="2913" w:type="pct"/>
          </w:tcPr>
          <w:p w:rsidR="00D91697" w:rsidRDefault="009D708E" w:rsidP="00B056F4">
            <w:pPr>
              <w:pStyle w:val="Tabletext"/>
            </w:pPr>
            <w:r>
              <w:t xml:space="preserve">Cost-minimisation calculations (excel </w:t>
            </w:r>
            <w:r w:rsidR="001A3CFB">
              <w:t>spread sheets</w:t>
            </w:r>
            <w:r>
              <w:t xml:space="preserve"> electronic only)</w:t>
            </w:r>
          </w:p>
        </w:tc>
        <w:tc>
          <w:tcPr>
            <w:tcW w:w="1240" w:type="pct"/>
          </w:tcPr>
          <w:p w:rsidR="00D91697" w:rsidRPr="008376BD" w:rsidRDefault="00AD7557" w:rsidP="00D91697">
            <w:pPr>
              <w:pStyle w:val="Tabletext"/>
              <w:jc w:val="center"/>
            </w:pPr>
            <w:r>
              <w:t>Electronic only</w:t>
            </w:r>
          </w:p>
        </w:tc>
      </w:tr>
      <w:tr w:rsidR="009D708E" w:rsidTr="00F21E06">
        <w:tc>
          <w:tcPr>
            <w:tcW w:w="847" w:type="pct"/>
          </w:tcPr>
          <w:p w:rsidR="009D708E" w:rsidRDefault="009D708E" w:rsidP="00132E0B">
            <w:pPr>
              <w:pStyle w:val="Tableheading"/>
            </w:pPr>
            <w:r>
              <w:t>Attachment 6</w:t>
            </w:r>
          </w:p>
        </w:tc>
        <w:tc>
          <w:tcPr>
            <w:tcW w:w="2913" w:type="pct"/>
          </w:tcPr>
          <w:p w:rsidR="009D708E" w:rsidRDefault="00131FFB" w:rsidP="000D172A">
            <w:pPr>
              <w:pStyle w:val="Tabletext"/>
            </w:pPr>
            <w:r w:rsidRPr="00131FFB">
              <w:rPr>
                <w:i/>
              </w:rPr>
              <w:t xml:space="preserve">Commercial-in-confidence. </w:t>
            </w:r>
            <w:r w:rsidR="000D172A">
              <w:t xml:space="preserve">Cost-effectiveness model technical report </w:t>
            </w:r>
            <w:r w:rsidR="007213B1">
              <w:t xml:space="preserve">and Australian model inputs </w:t>
            </w:r>
            <w:r w:rsidR="000D172A">
              <w:t xml:space="preserve">(including Excel </w:t>
            </w:r>
            <w:r w:rsidR="001A3CFB">
              <w:t>spread sheet</w:t>
            </w:r>
            <w:r w:rsidR="000D172A">
              <w:t xml:space="preserve"> model)</w:t>
            </w:r>
          </w:p>
        </w:tc>
        <w:tc>
          <w:tcPr>
            <w:tcW w:w="1240" w:type="pct"/>
          </w:tcPr>
          <w:p w:rsidR="007213B1" w:rsidRDefault="007213B1" w:rsidP="00D91697">
            <w:pPr>
              <w:pStyle w:val="Tabletext"/>
              <w:jc w:val="center"/>
            </w:pPr>
            <w:r>
              <w:t>4</w:t>
            </w:r>
          </w:p>
          <w:p w:rsidR="009D708E" w:rsidRPr="008376BD" w:rsidRDefault="007213B1" w:rsidP="007213B1">
            <w:pPr>
              <w:pStyle w:val="Tabletext"/>
              <w:jc w:val="center"/>
            </w:pPr>
            <w:r>
              <w:t>(Excel sheets</w:t>
            </w:r>
            <w:r>
              <w:br/>
              <w:t>e</w:t>
            </w:r>
            <w:r w:rsidR="00AD7557">
              <w:t>lectronic only</w:t>
            </w:r>
            <w:r>
              <w:t>)</w:t>
            </w:r>
          </w:p>
        </w:tc>
      </w:tr>
      <w:tr w:rsidR="009D708E" w:rsidTr="00F21E06">
        <w:tc>
          <w:tcPr>
            <w:tcW w:w="847" w:type="pct"/>
          </w:tcPr>
          <w:p w:rsidR="009D708E" w:rsidRDefault="009D708E" w:rsidP="00132E0B">
            <w:pPr>
              <w:pStyle w:val="Tableheading"/>
            </w:pPr>
            <w:r>
              <w:t xml:space="preserve">Attachment </w:t>
            </w:r>
            <w:r w:rsidR="000D172A">
              <w:t>7</w:t>
            </w:r>
          </w:p>
        </w:tc>
        <w:tc>
          <w:tcPr>
            <w:tcW w:w="2913" w:type="pct"/>
          </w:tcPr>
          <w:p w:rsidR="009D708E" w:rsidRDefault="009D708E" w:rsidP="00331C76">
            <w:pPr>
              <w:pStyle w:val="Tabletext"/>
            </w:pPr>
            <w:r>
              <w:t xml:space="preserve">Financial implications (excel </w:t>
            </w:r>
            <w:r w:rsidR="001A3CFB">
              <w:t>spread sheets</w:t>
            </w:r>
            <w:r>
              <w:t xml:space="preserve"> electronic only)</w:t>
            </w:r>
          </w:p>
        </w:tc>
        <w:tc>
          <w:tcPr>
            <w:tcW w:w="1240" w:type="pct"/>
          </w:tcPr>
          <w:p w:rsidR="009D708E" w:rsidRPr="008376BD" w:rsidRDefault="00AD7557" w:rsidP="00D91697">
            <w:pPr>
              <w:pStyle w:val="Tabletext"/>
              <w:jc w:val="center"/>
            </w:pPr>
            <w:r>
              <w:t>Electronic only</w:t>
            </w:r>
          </w:p>
        </w:tc>
      </w:tr>
    </w:tbl>
    <w:p w:rsidR="00197D3F" w:rsidRDefault="00197D3F" w:rsidP="00DF7BE3">
      <w:pPr>
        <w:pStyle w:val="ListParagraph"/>
        <w:sectPr w:rsidR="00197D3F" w:rsidSect="008846BA">
          <w:headerReference w:type="default" r:id="rId16"/>
          <w:pgSz w:w="11907" w:h="16839" w:code="9"/>
          <w:pgMar w:top="1701" w:right="1418" w:bottom="1418" w:left="1701" w:header="720" w:footer="720" w:gutter="0"/>
          <w:paperSrc w:first="4035" w:other="4035"/>
          <w:pgNumType w:fmt="lowerRoman"/>
          <w:cols w:space="720"/>
          <w:noEndnote/>
        </w:sectPr>
      </w:pPr>
    </w:p>
    <w:p w:rsidR="00132E0B" w:rsidRPr="00CE7802" w:rsidRDefault="00CE7802" w:rsidP="00DF7BE3">
      <w:pPr>
        <w:pStyle w:val="ListParagraph"/>
        <w:rPr>
          <w:lang w:val="en-AU"/>
        </w:rPr>
      </w:pPr>
      <w:r>
        <w:rPr>
          <w:lang w:val="en-AU"/>
        </w:rPr>
        <w:lastRenderedPageBreak/>
        <w:t xml:space="preserve"> </w:t>
      </w:r>
    </w:p>
    <w:p w:rsidR="000D172A" w:rsidRPr="00DF7BE3" w:rsidRDefault="000D172A" w:rsidP="00DF7BE3">
      <w:pPr>
        <w:pStyle w:val="ListParagraph"/>
      </w:pPr>
    </w:p>
    <w:p w:rsidR="00FF05EE" w:rsidRDefault="00362526" w:rsidP="00F6225B">
      <w:pPr>
        <w:pStyle w:val="Heading1"/>
        <w:ind w:left="0" w:firstLine="0"/>
      </w:pPr>
      <w:bookmarkStart w:id="33" w:name="_Toc258501758"/>
      <w:bookmarkStart w:id="34" w:name="_Toc336189655"/>
      <w:bookmarkStart w:id="35" w:name="_Toc337546862"/>
      <w:r>
        <w:lastRenderedPageBreak/>
        <w:t>List of V</w:t>
      </w:r>
      <w:r w:rsidR="00FF05EE">
        <w:t>olumes</w:t>
      </w:r>
      <w:bookmarkEnd w:id="33"/>
      <w:bookmarkEnd w:id="34"/>
      <w:bookmarkEnd w:id="35"/>
    </w:p>
    <w:tbl>
      <w:tblPr>
        <w:tblW w:w="0" w:type="auto"/>
        <w:tblBorders>
          <w:top w:val="single" w:sz="4" w:space="0" w:color="000000"/>
          <w:bottom w:val="single" w:sz="4" w:space="0" w:color="000000"/>
        </w:tblBorders>
        <w:tblCellMar>
          <w:bottom w:w="108" w:type="dxa"/>
        </w:tblCellMar>
        <w:tblLook w:val="0000" w:firstRow="0" w:lastRow="0" w:firstColumn="0" w:lastColumn="0" w:noHBand="0" w:noVBand="0"/>
      </w:tblPr>
      <w:tblGrid>
        <w:gridCol w:w="6488"/>
        <w:gridCol w:w="2516"/>
      </w:tblGrid>
      <w:tr w:rsidR="00FF05EE">
        <w:tc>
          <w:tcPr>
            <w:tcW w:w="6488" w:type="dxa"/>
            <w:tcBorders>
              <w:top w:val="single" w:sz="4" w:space="0" w:color="000000"/>
              <w:bottom w:val="single" w:sz="4" w:space="0" w:color="000000"/>
            </w:tcBorders>
          </w:tcPr>
          <w:p w:rsidR="00FF05EE" w:rsidRDefault="00FF05EE" w:rsidP="00A0146B">
            <w:pPr>
              <w:pStyle w:val="Tableheading"/>
              <w:rPr>
                <w:iCs/>
              </w:rPr>
            </w:pPr>
            <w:r>
              <w:t>Volume</w:t>
            </w:r>
          </w:p>
        </w:tc>
        <w:tc>
          <w:tcPr>
            <w:tcW w:w="2516" w:type="dxa"/>
            <w:tcBorders>
              <w:top w:val="single" w:sz="4" w:space="0" w:color="000000"/>
              <w:bottom w:val="single" w:sz="4" w:space="0" w:color="000000"/>
            </w:tcBorders>
          </w:tcPr>
          <w:p w:rsidR="00FF05EE" w:rsidRPr="00606621" w:rsidRDefault="00FF05EE" w:rsidP="00A0146B">
            <w:pPr>
              <w:pStyle w:val="Tableheading"/>
              <w:rPr>
                <w:bCs/>
              </w:rPr>
            </w:pPr>
            <w:r w:rsidRPr="00606621">
              <w:rPr>
                <w:bCs/>
              </w:rPr>
              <w:t>Number</w:t>
            </w:r>
            <w:r w:rsidR="00132E0B" w:rsidRPr="00606621">
              <w:rPr>
                <w:bCs/>
              </w:rPr>
              <w:t>s of c</w:t>
            </w:r>
            <w:r w:rsidRPr="00606621">
              <w:rPr>
                <w:bCs/>
              </w:rPr>
              <w:t>opies</w:t>
            </w:r>
            <w:r w:rsidR="00C90D02" w:rsidRPr="00606621">
              <w:rPr>
                <w:bCs/>
              </w:rPr>
              <w:t xml:space="preserve"> provided</w:t>
            </w:r>
          </w:p>
        </w:tc>
      </w:tr>
      <w:tr w:rsidR="00AA38AB" w:rsidRPr="005D7275" w:rsidTr="00791EC7">
        <w:tc>
          <w:tcPr>
            <w:tcW w:w="6488" w:type="dxa"/>
            <w:tcBorders>
              <w:top w:val="single" w:sz="4" w:space="0" w:color="000000"/>
            </w:tcBorders>
          </w:tcPr>
          <w:p w:rsidR="00AA38AB" w:rsidRDefault="00AA38AB" w:rsidP="00AB012A">
            <w:pPr>
              <w:pStyle w:val="Tabletext"/>
              <w:numPr>
                <w:ilvl w:val="0"/>
                <w:numId w:val="55"/>
              </w:numPr>
              <w:rPr>
                <w:iCs/>
              </w:rPr>
            </w:pPr>
            <w:r>
              <w:t>Main body of the submission</w:t>
            </w:r>
          </w:p>
        </w:tc>
        <w:tc>
          <w:tcPr>
            <w:tcW w:w="2516" w:type="dxa"/>
            <w:tcBorders>
              <w:top w:val="single" w:sz="4" w:space="0" w:color="000000"/>
            </w:tcBorders>
          </w:tcPr>
          <w:p w:rsidR="00AA38AB" w:rsidRPr="005D7275" w:rsidRDefault="00AA38AB" w:rsidP="00791EC7">
            <w:pPr>
              <w:pStyle w:val="Tabletext"/>
              <w:jc w:val="center"/>
            </w:pPr>
            <w:r>
              <w:t>4</w:t>
            </w:r>
          </w:p>
        </w:tc>
      </w:tr>
      <w:tr w:rsidR="00AA38AB" w:rsidRPr="005D7275" w:rsidTr="00791EC7">
        <w:tc>
          <w:tcPr>
            <w:tcW w:w="6488" w:type="dxa"/>
          </w:tcPr>
          <w:p w:rsidR="00AA38AB" w:rsidRPr="00132E0B" w:rsidRDefault="00AA38AB" w:rsidP="00AB012A">
            <w:pPr>
              <w:pStyle w:val="Tabletext"/>
              <w:numPr>
                <w:ilvl w:val="0"/>
                <w:numId w:val="55"/>
              </w:numPr>
              <w:rPr>
                <w:bCs/>
              </w:rPr>
            </w:pPr>
            <w:r>
              <w:rPr>
                <w:bCs/>
              </w:rPr>
              <w:t>Attachments v</w:t>
            </w:r>
            <w:r w:rsidRPr="00132E0B">
              <w:rPr>
                <w:bCs/>
              </w:rPr>
              <w:t>olume</w:t>
            </w:r>
          </w:p>
        </w:tc>
        <w:tc>
          <w:tcPr>
            <w:tcW w:w="2516" w:type="dxa"/>
          </w:tcPr>
          <w:p w:rsidR="00AA38AB" w:rsidRPr="005D7275" w:rsidRDefault="00AA38AB" w:rsidP="00791EC7">
            <w:pPr>
              <w:pStyle w:val="Tabletext"/>
              <w:jc w:val="center"/>
            </w:pPr>
            <w:r>
              <w:t>4</w:t>
            </w:r>
          </w:p>
        </w:tc>
      </w:tr>
      <w:tr w:rsidR="00AA38AB" w:rsidRPr="005D7275" w:rsidTr="00791EC7">
        <w:tc>
          <w:tcPr>
            <w:tcW w:w="6488" w:type="dxa"/>
          </w:tcPr>
          <w:p w:rsidR="00AA38AB" w:rsidRPr="00132E0B" w:rsidRDefault="00AA38AB" w:rsidP="00AB012A">
            <w:pPr>
              <w:pStyle w:val="Tabletext"/>
              <w:numPr>
                <w:ilvl w:val="0"/>
                <w:numId w:val="55"/>
              </w:numPr>
              <w:rPr>
                <w:bCs/>
              </w:rPr>
            </w:pPr>
            <w:r>
              <w:rPr>
                <w:bCs/>
              </w:rPr>
              <w:t>References v</w:t>
            </w:r>
            <w:r w:rsidRPr="00132E0B">
              <w:rPr>
                <w:bCs/>
              </w:rPr>
              <w:t>olume</w:t>
            </w:r>
          </w:p>
        </w:tc>
        <w:tc>
          <w:tcPr>
            <w:tcW w:w="2516" w:type="dxa"/>
          </w:tcPr>
          <w:p w:rsidR="00AA38AB" w:rsidRPr="005D7275" w:rsidRDefault="00AA38AB" w:rsidP="00791EC7">
            <w:pPr>
              <w:pStyle w:val="Tabletext"/>
              <w:jc w:val="center"/>
            </w:pPr>
            <w:r>
              <w:t>4</w:t>
            </w:r>
          </w:p>
        </w:tc>
      </w:tr>
    </w:tbl>
    <w:p w:rsidR="00FF05EE" w:rsidRDefault="00FF05EE"/>
    <w:p w:rsidR="00362526" w:rsidRDefault="00362526"/>
    <w:p w:rsidR="00362526" w:rsidRDefault="00362526"/>
    <w:p w:rsidR="00132E0B" w:rsidRDefault="00132E0B" w:rsidP="00881BD2">
      <w:pPr>
        <w:pStyle w:val="Heading1"/>
        <w:sectPr w:rsidR="00132E0B" w:rsidSect="008846BA">
          <w:pgSz w:w="11907" w:h="16839" w:code="9"/>
          <w:pgMar w:top="1701" w:right="1418" w:bottom="1418" w:left="1701" w:header="720" w:footer="720" w:gutter="0"/>
          <w:paperSrc w:first="4035" w:other="4035"/>
          <w:pgNumType w:fmt="lowerRoman"/>
          <w:cols w:space="720"/>
          <w:noEndnote/>
        </w:sectPr>
      </w:pPr>
      <w:bookmarkStart w:id="36" w:name="_Toc258501753"/>
    </w:p>
    <w:p w:rsidR="005D7275" w:rsidRPr="00054963" w:rsidRDefault="00054963" w:rsidP="00054963">
      <w:pPr>
        <w:pStyle w:val="Heading1"/>
      </w:pPr>
      <w:bookmarkStart w:id="37" w:name="_Toc337546863"/>
      <w:bookmarkEnd w:id="36"/>
      <w:r>
        <w:lastRenderedPageBreak/>
        <w:t>Abbreviations</w:t>
      </w:r>
      <w:bookmarkEnd w:id="37"/>
    </w:p>
    <w:tbl>
      <w:tblPr>
        <w:tblpPr w:leftFromText="180" w:rightFromText="180" w:vertAnchor="text" w:tblpY="1"/>
        <w:tblOverlap w:val="never"/>
        <w:tblW w:w="4871" w:type="pct"/>
        <w:tblBorders>
          <w:top w:val="single" w:sz="4" w:space="0" w:color="000000"/>
          <w:bottom w:val="single" w:sz="4" w:space="0" w:color="000000"/>
        </w:tblBorders>
        <w:tblLook w:val="01E0" w:firstRow="1" w:lastRow="1" w:firstColumn="1" w:lastColumn="1" w:noHBand="0" w:noVBand="0"/>
      </w:tblPr>
      <w:tblGrid>
        <w:gridCol w:w="2039"/>
        <w:gridCol w:w="6733"/>
      </w:tblGrid>
      <w:tr w:rsidR="00054963" w:rsidTr="00BF722B">
        <w:trPr>
          <w:cantSplit/>
          <w:tblHeader/>
        </w:trPr>
        <w:tc>
          <w:tcPr>
            <w:tcW w:w="1162" w:type="pct"/>
            <w:tcBorders>
              <w:top w:val="single" w:sz="4" w:space="0" w:color="000000"/>
              <w:bottom w:val="single" w:sz="4" w:space="0" w:color="000000"/>
            </w:tcBorders>
          </w:tcPr>
          <w:p w:rsidR="00054963" w:rsidRDefault="00054963" w:rsidP="00054963">
            <w:pPr>
              <w:pStyle w:val="Tableheading"/>
            </w:pPr>
            <w:r>
              <w:t>Abbreviation</w:t>
            </w:r>
          </w:p>
        </w:tc>
        <w:tc>
          <w:tcPr>
            <w:tcW w:w="3838" w:type="pct"/>
            <w:tcBorders>
              <w:top w:val="single" w:sz="4" w:space="0" w:color="000000"/>
              <w:bottom w:val="single" w:sz="4" w:space="0" w:color="000000"/>
            </w:tcBorders>
          </w:tcPr>
          <w:p w:rsidR="00054963" w:rsidRDefault="00054963" w:rsidP="00054963">
            <w:pPr>
              <w:pStyle w:val="Tableheading"/>
            </w:pPr>
            <w:r>
              <w:t>Full term</w:t>
            </w:r>
          </w:p>
        </w:tc>
      </w:tr>
      <w:tr w:rsidR="00054963" w:rsidTr="00BD5CD5">
        <w:tc>
          <w:tcPr>
            <w:tcW w:w="1162" w:type="pct"/>
          </w:tcPr>
          <w:p w:rsidR="00054963" w:rsidRDefault="00054963" w:rsidP="00054963">
            <w:pPr>
              <w:pStyle w:val="Tabletext"/>
            </w:pPr>
            <w:r>
              <w:t>AGC</w:t>
            </w:r>
          </w:p>
        </w:tc>
        <w:tc>
          <w:tcPr>
            <w:tcW w:w="3838" w:type="pct"/>
          </w:tcPr>
          <w:p w:rsidR="00054963" w:rsidRDefault="00054963" w:rsidP="00054963">
            <w:pPr>
              <w:pStyle w:val="Tabletext"/>
            </w:pPr>
            <w:r>
              <w:t>Atypical glandular cells</w:t>
            </w:r>
          </w:p>
        </w:tc>
      </w:tr>
      <w:tr w:rsidR="00054963" w:rsidTr="00BD5CD5">
        <w:tc>
          <w:tcPr>
            <w:tcW w:w="1162" w:type="pct"/>
          </w:tcPr>
          <w:p w:rsidR="00054963" w:rsidRDefault="00054963" w:rsidP="00054963">
            <w:pPr>
              <w:pStyle w:val="Tabletext"/>
            </w:pPr>
            <w:r>
              <w:t>AGUS</w:t>
            </w:r>
          </w:p>
        </w:tc>
        <w:tc>
          <w:tcPr>
            <w:tcW w:w="3838" w:type="pct"/>
          </w:tcPr>
          <w:p w:rsidR="00054963" w:rsidRDefault="00054963" w:rsidP="00054963">
            <w:pPr>
              <w:pStyle w:val="Tabletext"/>
            </w:pPr>
            <w:r>
              <w:t>Atypical glandular cells of undetermined significance</w:t>
            </w:r>
          </w:p>
        </w:tc>
      </w:tr>
      <w:tr w:rsidR="00054963" w:rsidTr="00BD5CD5">
        <w:tc>
          <w:tcPr>
            <w:tcW w:w="1162" w:type="pct"/>
          </w:tcPr>
          <w:p w:rsidR="00054963" w:rsidRDefault="00054963" w:rsidP="00054963">
            <w:pPr>
              <w:pStyle w:val="Tabletext"/>
            </w:pPr>
            <w:r>
              <w:t>AIS</w:t>
            </w:r>
          </w:p>
        </w:tc>
        <w:tc>
          <w:tcPr>
            <w:tcW w:w="3838" w:type="pct"/>
          </w:tcPr>
          <w:p w:rsidR="00054963" w:rsidRDefault="00054963" w:rsidP="00054963">
            <w:pPr>
              <w:pStyle w:val="Tabletext"/>
            </w:pPr>
            <w:r>
              <w:t>Adenocarcinoma in situ</w:t>
            </w:r>
          </w:p>
        </w:tc>
      </w:tr>
      <w:tr w:rsidR="00054963" w:rsidTr="00BD5CD5">
        <w:tc>
          <w:tcPr>
            <w:tcW w:w="1162" w:type="pct"/>
          </w:tcPr>
          <w:p w:rsidR="00054963" w:rsidRDefault="00054963" w:rsidP="00054963">
            <w:pPr>
              <w:pStyle w:val="Tabletext"/>
            </w:pPr>
            <w:r>
              <w:t>AMBS</w:t>
            </w:r>
          </w:p>
        </w:tc>
        <w:tc>
          <w:tcPr>
            <w:tcW w:w="3838" w:type="pct"/>
          </w:tcPr>
          <w:p w:rsidR="006A54BE" w:rsidRDefault="00054963" w:rsidP="00054963">
            <w:pPr>
              <w:pStyle w:val="Tabletext"/>
            </w:pPr>
            <w:r>
              <w:t>Australian modified Bethesda System</w:t>
            </w:r>
          </w:p>
        </w:tc>
      </w:tr>
      <w:tr w:rsidR="00AB0C17" w:rsidTr="00BD5CD5">
        <w:tc>
          <w:tcPr>
            <w:tcW w:w="1162" w:type="pct"/>
          </w:tcPr>
          <w:p w:rsidR="00AB0C17" w:rsidRDefault="00AB0C17" w:rsidP="00054963">
            <w:pPr>
              <w:pStyle w:val="Tabletext"/>
            </w:pPr>
            <w:r>
              <w:t>APV</w:t>
            </w:r>
          </w:p>
        </w:tc>
        <w:tc>
          <w:tcPr>
            <w:tcW w:w="3838" w:type="pct"/>
          </w:tcPr>
          <w:p w:rsidR="00AB0C17" w:rsidRDefault="00AB0C17" w:rsidP="00054963">
            <w:pPr>
              <w:pStyle w:val="Tabletext"/>
            </w:pPr>
            <w:r>
              <w:t>Abnormal Predictive Value</w:t>
            </w:r>
          </w:p>
        </w:tc>
      </w:tr>
      <w:tr w:rsidR="00054963" w:rsidTr="00BD5CD5">
        <w:tc>
          <w:tcPr>
            <w:tcW w:w="1162" w:type="pct"/>
          </w:tcPr>
          <w:p w:rsidR="00054963" w:rsidRDefault="00054963" w:rsidP="00054963">
            <w:pPr>
              <w:pStyle w:val="Tabletext"/>
            </w:pPr>
            <w:r>
              <w:t>ASC-H</w:t>
            </w:r>
          </w:p>
        </w:tc>
        <w:tc>
          <w:tcPr>
            <w:tcW w:w="3838" w:type="pct"/>
          </w:tcPr>
          <w:p w:rsidR="00054963" w:rsidRDefault="00054963" w:rsidP="00054963">
            <w:pPr>
              <w:pStyle w:val="Tabletext"/>
            </w:pPr>
            <w:r>
              <w:t>Atypical squamous cells, possible high-grade lesion</w:t>
            </w:r>
          </w:p>
        </w:tc>
      </w:tr>
      <w:tr w:rsidR="00054963" w:rsidTr="00BD5CD5">
        <w:tc>
          <w:tcPr>
            <w:tcW w:w="1162" w:type="pct"/>
          </w:tcPr>
          <w:p w:rsidR="00054963" w:rsidRDefault="00054963" w:rsidP="00054963">
            <w:pPr>
              <w:pStyle w:val="Tabletext"/>
            </w:pPr>
            <w:r>
              <w:t>ASCUS</w:t>
            </w:r>
          </w:p>
        </w:tc>
        <w:tc>
          <w:tcPr>
            <w:tcW w:w="3838" w:type="pct"/>
          </w:tcPr>
          <w:p w:rsidR="00054963" w:rsidRDefault="00054963" w:rsidP="00054963">
            <w:pPr>
              <w:pStyle w:val="Tabletext"/>
            </w:pPr>
            <w:r>
              <w:t>Atypical squamous cells of undetermined significance</w:t>
            </w:r>
            <w:r w:rsidR="00345355">
              <w:t>/pLSIL</w:t>
            </w:r>
          </w:p>
        </w:tc>
      </w:tr>
      <w:tr w:rsidR="00054963" w:rsidTr="00BD5CD5">
        <w:tc>
          <w:tcPr>
            <w:tcW w:w="1162" w:type="pct"/>
          </w:tcPr>
          <w:p w:rsidR="00054963" w:rsidRDefault="00054963" w:rsidP="00054963">
            <w:pPr>
              <w:pStyle w:val="Tabletext"/>
            </w:pPr>
            <w:r>
              <w:t>ASCUS+</w:t>
            </w:r>
          </w:p>
        </w:tc>
        <w:tc>
          <w:tcPr>
            <w:tcW w:w="3838" w:type="pct"/>
          </w:tcPr>
          <w:p w:rsidR="00054963" w:rsidRDefault="00054963" w:rsidP="005F6015">
            <w:pPr>
              <w:pStyle w:val="Tabletext"/>
            </w:pPr>
            <w:r>
              <w:t>Atypical squamous cells of undetermined significance grade</w:t>
            </w:r>
            <w:r w:rsidR="004F523D">
              <w:t xml:space="preserve"> </w:t>
            </w:r>
            <w:r>
              <w:t>or higher</w:t>
            </w:r>
          </w:p>
        </w:tc>
      </w:tr>
      <w:tr w:rsidR="00054963" w:rsidTr="00BD5CD5">
        <w:tc>
          <w:tcPr>
            <w:tcW w:w="1162" w:type="pct"/>
          </w:tcPr>
          <w:p w:rsidR="00054963" w:rsidRDefault="00054963" w:rsidP="00054963">
            <w:pPr>
              <w:pStyle w:val="Tabletext"/>
            </w:pPr>
            <w:r>
              <w:t>BD</w:t>
            </w:r>
          </w:p>
        </w:tc>
        <w:tc>
          <w:tcPr>
            <w:tcW w:w="3838" w:type="pct"/>
          </w:tcPr>
          <w:p w:rsidR="00054963" w:rsidRDefault="00054963" w:rsidP="00054963">
            <w:pPr>
              <w:pStyle w:val="Tabletext"/>
            </w:pPr>
            <w:r>
              <w:t>Becton Dickinson</w:t>
            </w:r>
            <w:r w:rsidR="006A54BE">
              <w:t xml:space="preserve"> Pty Limited</w:t>
            </w:r>
          </w:p>
        </w:tc>
      </w:tr>
      <w:tr w:rsidR="00054963" w:rsidTr="00BD5CD5">
        <w:tc>
          <w:tcPr>
            <w:tcW w:w="1162" w:type="pct"/>
          </w:tcPr>
          <w:p w:rsidR="00054963" w:rsidRDefault="00054963" w:rsidP="00054963">
            <w:pPr>
              <w:pStyle w:val="Tabletext"/>
            </w:pPr>
            <w:r>
              <w:t>BSCC</w:t>
            </w:r>
          </w:p>
        </w:tc>
        <w:tc>
          <w:tcPr>
            <w:tcW w:w="3838" w:type="pct"/>
          </w:tcPr>
          <w:p w:rsidR="00054963" w:rsidRDefault="00054963" w:rsidP="00054963">
            <w:pPr>
              <w:pStyle w:val="Tabletext"/>
            </w:pPr>
            <w:r>
              <w:t>British Society for Clinical Cytol</w:t>
            </w:r>
            <w:r w:rsidR="005D1FFA">
              <w:t>ogy</w:t>
            </w:r>
          </w:p>
        </w:tc>
      </w:tr>
      <w:tr w:rsidR="00054963" w:rsidTr="00BD5CD5">
        <w:tc>
          <w:tcPr>
            <w:tcW w:w="1162" w:type="pct"/>
          </w:tcPr>
          <w:p w:rsidR="00054963" w:rsidRDefault="00054963" w:rsidP="00054963">
            <w:pPr>
              <w:pStyle w:val="Tabletext"/>
            </w:pPr>
            <w:r>
              <w:t>CC</w:t>
            </w:r>
          </w:p>
        </w:tc>
        <w:tc>
          <w:tcPr>
            <w:tcW w:w="3838" w:type="pct"/>
          </w:tcPr>
          <w:p w:rsidR="00054963" w:rsidRDefault="00054963" w:rsidP="00054963">
            <w:pPr>
              <w:pStyle w:val="Tabletext"/>
            </w:pPr>
            <w:r>
              <w:t>Conventional cytology</w:t>
            </w:r>
          </w:p>
        </w:tc>
      </w:tr>
      <w:tr w:rsidR="00054963" w:rsidTr="00BD5CD5">
        <w:tc>
          <w:tcPr>
            <w:tcW w:w="1162" w:type="pct"/>
          </w:tcPr>
          <w:p w:rsidR="00054963" w:rsidRDefault="00054963" w:rsidP="00054963">
            <w:pPr>
              <w:pStyle w:val="Tabletext"/>
            </w:pPr>
            <w:r>
              <w:t>CI</w:t>
            </w:r>
          </w:p>
        </w:tc>
        <w:tc>
          <w:tcPr>
            <w:tcW w:w="3838" w:type="pct"/>
          </w:tcPr>
          <w:p w:rsidR="00054963" w:rsidRDefault="00054963" w:rsidP="00054963">
            <w:pPr>
              <w:pStyle w:val="Tabletext"/>
            </w:pPr>
            <w:r>
              <w:t>Confidence interval</w:t>
            </w:r>
          </w:p>
        </w:tc>
      </w:tr>
      <w:tr w:rsidR="00054963" w:rsidTr="00BD5CD5">
        <w:tc>
          <w:tcPr>
            <w:tcW w:w="1162" w:type="pct"/>
          </w:tcPr>
          <w:p w:rsidR="00054963" w:rsidRDefault="00054963" w:rsidP="00054963">
            <w:pPr>
              <w:pStyle w:val="Tabletext"/>
            </w:pPr>
            <w:r>
              <w:t>CIN</w:t>
            </w:r>
          </w:p>
        </w:tc>
        <w:tc>
          <w:tcPr>
            <w:tcW w:w="3838" w:type="pct"/>
          </w:tcPr>
          <w:p w:rsidR="00054963" w:rsidRDefault="00054963" w:rsidP="00054963">
            <w:pPr>
              <w:pStyle w:val="Tabletext"/>
            </w:pPr>
            <w:r>
              <w:t>Cervical intraepithelial neoplasia</w:t>
            </w:r>
          </w:p>
        </w:tc>
      </w:tr>
      <w:tr w:rsidR="00054963" w:rsidTr="00BD5CD5">
        <w:tc>
          <w:tcPr>
            <w:tcW w:w="1162" w:type="pct"/>
          </w:tcPr>
          <w:p w:rsidR="00054963" w:rsidRDefault="00054963" w:rsidP="00054963">
            <w:pPr>
              <w:pStyle w:val="Tabletext"/>
            </w:pPr>
            <w:r>
              <w:t>CIN</w:t>
            </w:r>
            <w:r w:rsidR="004F523D">
              <w:t xml:space="preserve"> </w:t>
            </w:r>
            <w:r>
              <w:t>1</w:t>
            </w:r>
          </w:p>
        </w:tc>
        <w:tc>
          <w:tcPr>
            <w:tcW w:w="3838" w:type="pct"/>
          </w:tcPr>
          <w:p w:rsidR="00054963" w:rsidRDefault="00054963" w:rsidP="00054963">
            <w:pPr>
              <w:pStyle w:val="Tabletext"/>
            </w:pPr>
            <w:r>
              <w:t>Cervical intraepithelial neoplasia grade 1</w:t>
            </w:r>
          </w:p>
        </w:tc>
      </w:tr>
      <w:tr w:rsidR="00054963" w:rsidTr="00BD5CD5">
        <w:tc>
          <w:tcPr>
            <w:tcW w:w="1162" w:type="pct"/>
          </w:tcPr>
          <w:p w:rsidR="00054963" w:rsidRDefault="00054963" w:rsidP="00054963">
            <w:pPr>
              <w:pStyle w:val="Tabletext"/>
            </w:pPr>
            <w:r>
              <w:t>CIN</w:t>
            </w:r>
            <w:r w:rsidR="004F523D">
              <w:t xml:space="preserve"> </w:t>
            </w:r>
            <w:r>
              <w:t>1+</w:t>
            </w:r>
          </w:p>
        </w:tc>
        <w:tc>
          <w:tcPr>
            <w:tcW w:w="3838" w:type="pct"/>
          </w:tcPr>
          <w:p w:rsidR="00054963" w:rsidRDefault="00054963" w:rsidP="00054963">
            <w:pPr>
              <w:pStyle w:val="Tabletext"/>
            </w:pPr>
            <w:r>
              <w:t>Cervical intraepithelial neoplasia grade 1 or higher</w:t>
            </w:r>
          </w:p>
        </w:tc>
      </w:tr>
      <w:tr w:rsidR="00054963" w:rsidTr="00BD5CD5">
        <w:tc>
          <w:tcPr>
            <w:tcW w:w="1162" w:type="pct"/>
          </w:tcPr>
          <w:p w:rsidR="00054963" w:rsidRDefault="00054963" w:rsidP="00054963">
            <w:pPr>
              <w:pStyle w:val="Tabletext"/>
            </w:pPr>
            <w:r>
              <w:t>CIN</w:t>
            </w:r>
            <w:r w:rsidR="004F523D">
              <w:t xml:space="preserve"> </w:t>
            </w:r>
            <w:r>
              <w:t>2</w:t>
            </w:r>
          </w:p>
        </w:tc>
        <w:tc>
          <w:tcPr>
            <w:tcW w:w="3838" w:type="pct"/>
          </w:tcPr>
          <w:p w:rsidR="00054963" w:rsidRDefault="00054963" w:rsidP="00054963">
            <w:pPr>
              <w:pStyle w:val="Tabletext"/>
            </w:pPr>
            <w:r>
              <w:t>Cervical intraepithelial neoplasia grade 2</w:t>
            </w:r>
          </w:p>
        </w:tc>
      </w:tr>
      <w:tr w:rsidR="00054963" w:rsidTr="00BD5CD5">
        <w:tc>
          <w:tcPr>
            <w:tcW w:w="1162" w:type="pct"/>
          </w:tcPr>
          <w:p w:rsidR="00054963" w:rsidRDefault="00054963" w:rsidP="00054963">
            <w:pPr>
              <w:pStyle w:val="Tabletext"/>
            </w:pPr>
            <w:r>
              <w:t>CIN</w:t>
            </w:r>
            <w:r w:rsidR="004F523D">
              <w:t xml:space="preserve"> </w:t>
            </w:r>
            <w:r>
              <w:t>2+</w:t>
            </w:r>
          </w:p>
        </w:tc>
        <w:tc>
          <w:tcPr>
            <w:tcW w:w="3838" w:type="pct"/>
          </w:tcPr>
          <w:p w:rsidR="00054963" w:rsidRDefault="00054963" w:rsidP="00054963">
            <w:pPr>
              <w:pStyle w:val="Tabletext"/>
            </w:pPr>
            <w:r>
              <w:t xml:space="preserve">Cervical intraepithelial neoplasia </w:t>
            </w:r>
            <w:r w:rsidR="00EF6859">
              <w:t>grade</w:t>
            </w:r>
            <w:r>
              <w:t xml:space="preserve"> 2 or higher</w:t>
            </w:r>
          </w:p>
        </w:tc>
      </w:tr>
      <w:tr w:rsidR="00054963" w:rsidTr="00BD5CD5">
        <w:tc>
          <w:tcPr>
            <w:tcW w:w="1162" w:type="pct"/>
          </w:tcPr>
          <w:p w:rsidR="00054963" w:rsidRDefault="00054963" w:rsidP="00054963">
            <w:pPr>
              <w:pStyle w:val="Tabletext"/>
            </w:pPr>
            <w:r>
              <w:t>CIN</w:t>
            </w:r>
            <w:r w:rsidR="004F523D">
              <w:t xml:space="preserve"> </w:t>
            </w:r>
            <w:r>
              <w:t>3</w:t>
            </w:r>
          </w:p>
        </w:tc>
        <w:tc>
          <w:tcPr>
            <w:tcW w:w="3838" w:type="pct"/>
          </w:tcPr>
          <w:p w:rsidR="00054963" w:rsidRDefault="00054963" w:rsidP="00054963">
            <w:pPr>
              <w:pStyle w:val="Tabletext"/>
            </w:pPr>
            <w:r>
              <w:t>Cervical intraepithelial neoplasia grade 3</w:t>
            </w:r>
          </w:p>
        </w:tc>
      </w:tr>
      <w:tr w:rsidR="00054963" w:rsidTr="00BD5CD5">
        <w:tc>
          <w:tcPr>
            <w:tcW w:w="1162" w:type="pct"/>
          </w:tcPr>
          <w:p w:rsidR="00054963" w:rsidRDefault="00054963" w:rsidP="00054963">
            <w:pPr>
              <w:pStyle w:val="Tabletext"/>
            </w:pPr>
            <w:r>
              <w:t>CIN</w:t>
            </w:r>
            <w:r w:rsidR="004F523D">
              <w:t xml:space="preserve"> </w:t>
            </w:r>
            <w:r>
              <w:t>3+</w:t>
            </w:r>
          </w:p>
        </w:tc>
        <w:tc>
          <w:tcPr>
            <w:tcW w:w="3838" w:type="pct"/>
          </w:tcPr>
          <w:p w:rsidR="00054963" w:rsidRDefault="00054963" w:rsidP="00054963">
            <w:pPr>
              <w:pStyle w:val="Tabletext"/>
            </w:pPr>
            <w:r>
              <w:t>Cervical intraepithelial neoplasia grade 3 or higher</w:t>
            </w:r>
          </w:p>
        </w:tc>
      </w:tr>
      <w:tr w:rsidR="00054963" w:rsidTr="00BD5CD5">
        <w:tc>
          <w:tcPr>
            <w:tcW w:w="1162" w:type="pct"/>
          </w:tcPr>
          <w:p w:rsidR="00054963" w:rsidRPr="005F6015" w:rsidRDefault="00054963" w:rsidP="00054963">
            <w:pPr>
              <w:pStyle w:val="Tabletext"/>
            </w:pPr>
            <w:r w:rsidRPr="005F6015">
              <w:t>CISOE-A</w:t>
            </w:r>
          </w:p>
        </w:tc>
        <w:tc>
          <w:tcPr>
            <w:tcW w:w="3838" w:type="pct"/>
          </w:tcPr>
          <w:p w:rsidR="00054963" w:rsidRPr="005F6015" w:rsidRDefault="00054963" w:rsidP="00054963">
            <w:pPr>
              <w:pStyle w:val="Tabletext"/>
            </w:pPr>
            <w:r w:rsidRPr="005F6015">
              <w:t>Cytology Classification System: composition (C), inflammation (I), squamous epithelium (S), other and endometrium (O), endocervical columnar epithelium (E)</w:t>
            </w:r>
          </w:p>
        </w:tc>
      </w:tr>
      <w:tr w:rsidR="00D40832" w:rsidTr="00BD5CD5">
        <w:tc>
          <w:tcPr>
            <w:tcW w:w="1162" w:type="pct"/>
          </w:tcPr>
          <w:p w:rsidR="00D40832" w:rsidRPr="005F6015" w:rsidRDefault="00D40832" w:rsidP="00054963">
            <w:pPr>
              <w:pStyle w:val="Tabletext"/>
            </w:pPr>
            <w:r w:rsidRPr="005F6015">
              <w:t>CPS</w:t>
            </w:r>
          </w:p>
        </w:tc>
        <w:tc>
          <w:tcPr>
            <w:tcW w:w="3838" w:type="pct"/>
          </w:tcPr>
          <w:p w:rsidR="00D40832" w:rsidRPr="005F6015" w:rsidRDefault="005F6015" w:rsidP="00054963">
            <w:pPr>
              <w:pStyle w:val="Tabletext"/>
            </w:pPr>
            <w:r w:rsidRPr="005F6015">
              <w:t>Conventional Pap smear</w:t>
            </w:r>
          </w:p>
        </w:tc>
      </w:tr>
      <w:tr w:rsidR="004F523D" w:rsidTr="00BD5CD5">
        <w:tc>
          <w:tcPr>
            <w:tcW w:w="1162" w:type="pct"/>
          </w:tcPr>
          <w:p w:rsidR="004F523D" w:rsidRPr="005F6015" w:rsidRDefault="004F523D" w:rsidP="00054963">
            <w:pPr>
              <w:pStyle w:val="Tabletext"/>
            </w:pPr>
            <w:r w:rsidRPr="005F6015">
              <w:t>CV</w:t>
            </w:r>
          </w:p>
        </w:tc>
        <w:tc>
          <w:tcPr>
            <w:tcW w:w="3838" w:type="pct"/>
          </w:tcPr>
          <w:p w:rsidR="004F523D" w:rsidRPr="005F6015" w:rsidRDefault="005F6015" w:rsidP="00054963">
            <w:pPr>
              <w:pStyle w:val="Tabletext"/>
            </w:pPr>
            <w:r w:rsidRPr="005F6015">
              <w:t>Conventional cytology</w:t>
            </w:r>
          </w:p>
        </w:tc>
      </w:tr>
      <w:tr w:rsidR="00054963" w:rsidTr="00BD5CD5">
        <w:tc>
          <w:tcPr>
            <w:tcW w:w="1162" w:type="pct"/>
          </w:tcPr>
          <w:p w:rsidR="00054963" w:rsidRPr="005F6015" w:rsidRDefault="00054963" w:rsidP="00054963">
            <w:pPr>
              <w:pStyle w:val="Tabletext"/>
            </w:pPr>
            <w:r w:rsidRPr="005F6015">
              <w:t>DAP</w:t>
            </w:r>
          </w:p>
        </w:tc>
        <w:tc>
          <w:tcPr>
            <w:tcW w:w="3838" w:type="pct"/>
          </w:tcPr>
          <w:p w:rsidR="00054963" w:rsidRPr="005F6015" w:rsidRDefault="00054963" w:rsidP="00054963">
            <w:pPr>
              <w:pStyle w:val="Tabletext"/>
            </w:pPr>
            <w:r w:rsidRPr="005F6015">
              <w:t>Decision Analytical Protocol</w:t>
            </w:r>
          </w:p>
        </w:tc>
      </w:tr>
      <w:tr w:rsidR="00054963" w:rsidTr="00BD5CD5">
        <w:tc>
          <w:tcPr>
            <w:tcW w:w="1162" w:type="pct"/>
          </w:tcPr>
          <w:p w:rsidR="00054963" w:rsidRPr="005F6015" w:rsidRDefault="00054963" w:rsidP="00054963">
            <w:pPr>
              <w:pStyle w:val="Tabletext"/>
            </w:pPr>
            <w:r w:rsidRPr="005F6015">
              <w:t>DoHA</w:t>
            </w:r>
          </w:p>
        </w:tc>
        <w:tc>
          <w:tcPr>
            <w:tcW w:w="3838" w:type="pct"/>
          </w:tcPr>
          <w:p w:rsidR="00054963" w:rsidRPr="005F6015" w:rsidRDefault="00054963" w:rsidP="00054963">
            <w:pPr>
              <w:pStyle w:val="Tabletext"/>
            </w:pPr>
            <w:r w:rsidRPr="005F6015">
              <w:t>Department of Health and Ageing</w:t>
            </w:r>
          </w:p>
        </w:tc>
      </w:tr>
      <w:tr w:rsidR="004F523D" w:rsidTr="00BD5CD5">
        <w:tc>
          <w:tcPr>
            <w:tcW w:w="1162" w:type="pct"/>
          </w:tcPr>
          <w:p w:rsidR="004F523D" w:rsidRPr="005F6015" w:rsidRDefault="004F523D" w:rsidP="00054963">
            <w:pPr>
              <w:pStyle w:val="Tabletext"/>
            </w:pPr>
            <w:r w:rsidRPr="005F6015">
              <w:t>DR</w:t>
            </w:r>
          </w:p>
        </w:tc>
        <w:tc>
          <w:tcPr>
            <w:tcW w:w="3838" w:type="pct"/>
          </w:tcPr>
          <w:p w:rsidR="004F523D" w:rsidRPr="005F6015" w:rsidRDefault="005F6015" w:rsidP="00054963">
            <w:pPr>
              <w:pStyle w:val="Tabletext"/>
            </w:pPr>
            <w:r w:rsidRPr="005F6015">
              <w:t>Detection Rate</w:t>
            </w:r>
          </w:p>
        </w:tc>
      </w:tr>
      <w:tr w:rsidR="00054963" w:rsidTr="00BD5CD5">
        <w:tc>
          <w:tcPr>
            <w:tcW w:w="1162" w:type="pct"/>
          </w:tcPr>
          <w:p w:rsidR="00054963" w:rsidRPr="005F6015" w:rsidRDefault="00054963" w:rsidP="00054963">
            <w:pPr>
              <w:pStyle w:val="Tabletext"/>
            </w:pPr>
            <w:r w:rsidRPr="005F6015">
              <w:t>FAR</w:t>
            </w:r>
          </w:p>
        </w:tc>
        <w:tc>
          <w:tcPr>
            <w:tcW w:w="3838" w:type="pct"/>
          </w:tcPr>
          <w:p w:rsidR="00054963" w:rsidRPr="005F6015" w:rsidRDefault="00054963" w:rsidP="00054963">
            <w:pPr>
              <w:pStyle w:val="Tabletext"/>
            </w:pPr>
            <w:r w:rsidRPr="005F6015">
              <w:t>Final automated result</w:t>
            </w:r>
          </w:p>
        </w:tc>
      </w:tr>
      <w:tr w:rsidR="00054963" w:rsidTr="00BD5CD5">
        <w:tc>
          <w:tcPr>
            <w:tcW w:w="1162" w:type="pct"/>
          </w:tcPr>
          <w:p w:rsidR="00054963" w:rsidRDefault="00054963" w:rsidP="00054963">
            <w:pPr>
              <w:pStyle w:val="Tabletext"/>
            </w:pPr>
            <w:r>
              <w:t>FDA</w:t>
            </w:r>
          </w:p>
        </w:tc>
        <w:tc>
          <w:tcPr>
            <w:tcW w:w="3838" w:type="pct"/>
          </w:tcPr>
          <w:p w:rsidR="00054963" w:rsidRDefault="00054963" w:rsidP="00054963">
            <w:pPr>
              <w:pStyle w:val="Tabletext"/>
            </w:pPr>
            <w:r>
              <w:t>US Food and Drug Administration</w:t>
            </w:r>
          </w:p>
        </w:tc>
      </w:tr>
      <w:tr w:rsidR="00054963" w:rsidTr="00BD5CD5">
        <w:tc>
          <w:tcPr>
            <w:tcW w:w="1162" w:type="pct"/>
          </w:tcPr>
          <w:p w:rsidR="00054963" w:rsidRDefault="00054963" w:rsidP="00054963">
            <w:pPr>
              <w:pStyle w:val="Tabletext"/>
            </w:pPr>
            <w:r>
              <w:t>FMR</w:t>
            </w:r>
          </w:p>
        </w:tc>
        <w:tc>
          <w:tcPr>
            <w:tcW w:w="3838" w:type="pct"/>
          </w:tcPr>
          <w:p w:rsidR="00054963" w:rsidRDefault="00054963" w:rsidP="00054963">
            <w:pPr>
              <w:pStyle w:val="Tabletext"/>
            </w:pPr>
            <w:r>
              <w:t>Final manual result</w:t>
            </w:r>
          </w:p>
        </w:tc>
      </w:tr>
      <w:tr w:rsidR="00054963" w:rsidTr="00BD5CD5">
        <w:tc>
          <w:tcPr>
            <w:tcW w:w="1162" w:type="pct"/>
          </w:tcPr>
          <w:p w:rsidR="00054963" w:rsidRPr="005F6015" w:rsidRDefault="00054963" w:rsidP="00054963">
            <w:pPr>
              <w:pStyle w:val="Tabletext"/>
            </w:pPr>
            <w:r w:rsidRPr="005F6015">
              <w:t>FN</w:t>
            </w:r>
          </w:p>
        </w:tc>
        <w:tc>
          <w:tcPr>
            <w:tcW w:w="3838" w:type="pct"/>
          </w:tcPr>
          <w:p w:rsidR="00054963" w:rsidRPr="005F6015" w:rsidRDefault="00054963" w:rsidP="00054963">
            <w:pPr>
              <w:pStyle w:val="Tabletext"/>
            </w:pPr>
            <w:r w:rsidRPr="005F6015">
              <w:t>False negative</w:t>
            </w:r>
          </w:p>
        </w:tc>
      </w:tr>
      <w:tr w:rsidR="00054963" w:rsidTr="00BD5CD5">
        <w:tc>
          <w:tcPr>
            <w:tcW w:w="1162" w:type="pct"/>
          </w:tcPr>
          <w:p w:rsidR="00054963" w:rsidRPr="005F6015" w:rsidRDefault="00054963" w:rsidP="00054963">
            <w:pPr>
              <w:pStyle w:val="Tabletext"/>
            </w:pPr>
            <w:r w:rsidRPr="005F6015">
              <w:t>FP</w:t>
            </w:r>
          </w:p>
        </w:tc>
        <w:tc>
          <w:tcPr>
            <w:tcW w:w="3838" w:type="pct"/>
          </w:tcPr>
          <w:p w:rsidR="00054963" w:rsidRPr="005F6015" w:rsidRDefault="00054963" w:rsidP="00054963">
            <w:pPr>
              <w:pStyle w:val="Tabletext"/>
            </w:pPr>
            <w:r w:rsidRPr="005F6015">
              <w:t>False positive</w:t>
            </w:r>
          </w:p>
        </w:tc>
      </w:tr>
      <w:tr w:rsidR="007E0A1C" w:rsidTr="00BD5CD5">
        <w:tc>
          <w:tcPr>
            <w:tcW w:w="1162" w:type="pct"/>
          </w:tcPr>
          <w:p w:rsidR="007E0A1C" w:rsidRPr="005F6015" w:rsidRDefault="007E0A1C" w:rsidP="00054963">
            <w:pPr>
              <w:pStyle w:val="Tabletext"/>
            </w:pPr>
            <w:r w:rsidRPr="005F6015">
              <w:t>FPGS</w:t>
            </w:r>
          </w:p>
        </w:tc>
        <w:tc>
          <w:tcPr>
            <w:tcW w:w="3838" w:type="pct"/>
          </w:tcPr>
          <w:p w:rsidR="007E0A1C" w:rsidRPr="005F6015" w:rsidRDefault="00EE1B61" w:rsidP="00054963">
            <w:pPr>
              <w:pStyle w:val="Tabletext"/>
            </w:pPr>
            <w:r w:rsidRPr="005F6015">
              <w:t>FocalPoint Guided Screening</w:t>
            </w:r>
          </w:p>
        </w:tc>
      </w:tr>
      <w:tr w:rsidR="007E0A1C" w:rsidTr="00BD5CD5">
        <w:tc>
          <w:tcPr>
            <w:tcW w:w="1162" w:type="pct"/>
          </w:tcPr>
          <w:p w:rsidR="007E0A1C" w:rsidRPr="005F6015" w:rsidRDefault="007E0A1C" w:rsidP="00054963">
            <w:pPr>
              <w:pStyle w:val="Tabletext"/>
            </w:pPr>
            <w:r w:rsidRPr="005F6015">
              <w:t>FPSP</w:t>
            </w:r>
          </w:p>
        </w:tc>
        <w:tc>
          <w:tcPr>
            <w:tcW w:w="3838" w:type="pct"/>
          </w:tcPr>
          <w:p w:rsidR="007E0A1C" w:rsidRPr="005F6015" w:rsidRDefault="00EE1B61" w:rsidP="005F6015">
            <w:pPr>
              <w:pStyle w:val="Tabletext"/>
            </w:pPr>
            <w:r w:rsidRPr="005F6015">
              <w:t>FocalPoint</w:t>
            </w:r>
            <w:r w:rsidR="005F6015" w:rsidRPr="005F6015">
              <w:t xml:space="preserve"> SurePath</w:t>
            </w:r>
          </w:p>
        </w:tc>
      </w:tr>
      <w:tr w:rsidR="00054963" w:rsidTr="00BD5CD5">
        <w:tc>
          <w:tcPr>
            <w:tcW w:w="1162" w:type="pct"/>
          </w:tcPr>
          <w:p w:rsidR="00054963" w:rsidRPr="005F6015" w:rsidRDefault="00054963" w:rsidP="00054963">
            <w:pPr>
              <w:pStyle w:val="Tabletext"/>
            </w:pPr>
            <w:r w:rsidRPr="005F6015">
              <w:t>GAA</w:t>
            </w:r>
          </w:p>
        </w:tc>
        <w:tc>
          <w:tcPr>
            <w:tcW w:w="3838" w:type="pct"/>
          </w:tcPr>
          <w:p w:rsidR="00054963" w:rsidRPr="005F6015" w:rsidRDefault="00054963" w:rsidP="00054963">
            <w:pPr>
              <w:pStyle w:val="Tabletext"/>
            </w:pPr>
            <w:r w:rsidRPr="005F6015">
              <w:t xml:space="preserve">Glacial acetic acid </w:t>
            </w:r>
          </w:p>
        </w:tc>
      </w:tr>
      <w:tr w:rsidR="00054963" w:rsidTr="00BD5CD5">
        <w:tc>
          <w:tcPr>
            <w:tcW w:w="1162" w:type="pct"/>
          </w:tcPr>
          <w:p w:rsidR="00054963" w:rsidRPr="005F6015" w:rsidRDefault="00054963" w:rsidP="00054963">
            <w:pPr>
              <w:pStyle w:val="Tabletext"/>
            </w:pPr>
            <w:r w:rsidRPr="005F6015">
              <w:t>GP</w:t>
            </w:r>
          </w:p>
        </w:tc>
        <w:tc>
          <w:tcPr>
            <w:tcW w:w="3838" w:type="pct"/>
          </w:tcPr>
          <w:p w:rsidR="00054963" w:rsidRPr="005F6015" w:rsidRDefault="00054963" w:rsidP="00054963">
            <w:pPr>
              <w:pStyle w:val="Tabletext"/>
            </w:pPr>
            <w:r w:rsidRPr="005F6015">
              <w:t>General practitioner</w:t>
            </w:r>
          </w:p>
        </w:tc>
      </w:tr>
      <w:tr w:rsidR="00054963" w:rsidTr="00BD5CD5">
        <w:tc>
          <w:tcPr>
            <w:tcW w:w="1162" w:type="pct"/>
          </w:tcPr>
          <w:p w:rsidR="00054963" w:rsidRDefault="00054963" w:rsidP="00054963">
            <w:pPr>
              <w:pStyle w:val="Tabletext"/>
            </w:pPr>
            <w:r>
              <w:t>HPV</w:t>
            </w:r>
          </w:p>
        </w:tc>
        <w:tc>
          <w:tcPr>
            <w:tcW w:w="3838" w:type="pct"/>
          </w:tcPr>
          <w:p w:rsidR="00054963" w:rsidRDefault="00054963" w:rsidP="00054963">
            <w:pPr>
              <w:pStyle w:val="Tabletext"/>
            </w:pPr>
            <w:r>
              <w:t>Human papillomavirus</w:t>
            </w:r>
          </w:p>
        </w:tc>
      </w:tr>
      <w:tr w:rsidR="00054963" w:rsidTr="00BD5CD5">
        <w:tc>
          <w:tcPr>
            <w:tcW w:w="1162" w:type="pct"/>
          </w:tcPr>
          <w:p w:rsidR="00054963" w:rsidRDefault="00054963" w:rsidP="00054963">
            <w:pPr>
              <w:pStyle w:val="Tabletext"/>
            </w:pPr>
            <w:r>
              <w:t>HSIL</w:t>
            </w:r>
          </w:p>
        </w:tc>
        <w:tc>
          <w:tcPr>
            <w:tcW w:w="3838" w:type="pct"/>
          </w:tcPr>
          <w:p w:rsidR="00054963" w:rsidRDefault="00054963" w:rsidP="00054963">
            <w:pPr>
              <w:pStyle w:val="Tabletext"/>
            </w:pPr>
            <w:r>
              <w:t>High-grade squamous intraepithelial lesions</w:t>
            </w:r>
          </w:p>
        </w:tc>
      </w:tr>
      <w:tr w:rsidR="00054963" w:rsidTr="00BD5CD5">
        <w:tc>
          <w:tcPr>
            <w:tcW w:w="1162" w:type="pct"/>
          </w:tcPr>
          <w:p w:rsidR="00054963" w:rsidRDefault="00054963" w:rsidP="00054963">
            <w:pPr>
              <w:pStyle w:val="Tabletext"/>
            </w:pPr>
            <w:r>
              <w:t>HSIL+</w:t>
            </w:r>
          </w:p>
        </w:tc>
        <w:tc>
          <w:tcPr>
            <w:tcW w:w="3838" w:type="pct"/>
          </w:tcPr>
          <w:p w:rsidR="00054963" w:rsidRDefault="00054963" w:rsidP="00054963">
            <w:pPr>
              <w:pStyle w:val="Tabletext"/>
            </w:pPr>
            <w:r>
              <w:t xml:space="preserve">High-grade squamous intraepithelial lesions </w:t>
            </w:r>
            <w:r w:rsidR="006B13B0">
              <w:t xml:space="preserve">grade </w:t>
            </w:r>
            <w:r>
              <w:t>or higher</w:t>
            </w:r>
          </w:p>
        </w:tc>
      </w:tr>
      <w:tr w:rsidR="00054963" w:rsidTr="00BD5CD5">
        <w:tc>
          <w:tcPr>
            <w:tcW w:w="1162" w:type="pct"/>
          </w:tcPr>
          <w:p w:rsidR="00054963" w:rsidRDefault="00054963" w:rsidP="00054963">
            <w:pPr>
              <w:pStyle w:val="Tabletext"/>
            </w:pPr>
            <w:r>
              <w:lastRenderedPageBreak/>
              <w:t>HTA</w:t>
            </w:r>
          </w:p>
        </w:tc>
        <w:tc>
          <w:tcPr>
            <w:tcW w:w="3838" w:type="pct"/>
          </w:tcPr>
          <w:p w:rsidR="00054963" w:rsidRDefault="00054963" w:rsidP="00054963">
            <w:pPr>
              <w:pStyle w:val="Tabletext"/>
            </w:pPr>
            <w:r>
              <w:t>Health technology assessment</w:t>
            </w:r>
          </w:p>
        </w:tc>
      </w:tr>
      <w:tr w:rsidR="004F523D" w:rsidTr="00BD5CD5">
        <w:tc>
          <w:tcPr>
            <w:tcW w:w="1162" w:type="pct"/>
          </w:tcPr>
          <w:p w:rsidR="004F523D" w:rsidRDefault="004F523D" w:rsidP="00054963">
            <w:pPr>
              <w:pStyle w:val="Tabletext"/>
            </w:pPr>
            <w:r>
              <w:t>ICER</w:t>
            </w:r>
          </w:p>
        </w:tc>
        <w:tc>
          <w:tcPr>
            <w:tcW w:w="3838" w:type="pct"/>
          </w:tcPr>
          <w:p w:rsidR="004F523D" w:rsidRDefault="004F523D" w:rsidP="00054963">
            <w:pPr>
              <w:pStyle w:val="Tabletext"/>
            </w:pPr>
            <w:r>
              <w:t>Incremental cost-effectiveness ratio</w:t>
            </w:r>
          </w:p>
        </w:tc>
      </w:tr>
      <w:tr w:rsidR="00054963" w:rsidTr="00BD5CD5">
        <w:tc>
          <w:tcPr>
            <w:tcW w:w="1162" w:type="pct"/>
          </w:tcPr>
          <w:p w:rsidR="00054963" w:rsidRDefault="00054963" w:rsidP="00054963">
            <w:pPr>
              <w:pStyle w:val="Tabletext"/>
            </w:pPr>
            <w:r>
              <w:t>IVD</w:t>
            </w:r>
          </w:p>
        </w:tc>
        <w:tc>
          <w:tcPr>
            <w:tcW w:w="3838" w:type="pct"/>
          </w:tcPr>
          <w:p w:rsidR="00054963" w:rsidRDefault="00775777" w:rsidP="00054963">
            <w:pPr>
              <w:pStyle w:val="Tabletext"/>
            </w:pPr>
            <w:r>
              <w:t>In vitro d</w:t>
            </w:r>
            <w:r w:rsidR="00054963">
              <w:t>iagnostic</w:t>
            </w:r>
          </w:p>
        </w:tc>
      </w:tr>
      <w:tr w:rsidR="00054963" w:rsidTr="00BD5CD5">
        <w:tc>
          <w:tcPr>
            <w:tcW w:w="1162" w:type="pct"/>
          </w:tcPr>
          <w:p w:rsidR="00054963" w:rsidRDefault="00054963" w:rsidP="00054963">
            <w:pPr>
              <w:pStyle w:val="Tabletext"/>
            </w:pPr>
            <w:r>
              <w:t>KOPAC-B</w:t>
            </w:r>
          </w:p>
        </w:tc>
        <w:tc>
          <w:tcPr>
            <w:tcW w:w="3838" w:type="pct"/>
          </w:tcPr>
          <w:p w:rsidR="00054963" w:rsidRDefault="00054963" w:rsidP="00054963">
            <w:pPr>
              <w:pStyle w:val="Tabletext"/>
            </w:pPr>
            <w:r>
              <w:t xml:space="preserve">Dutch Cytology Classification System: </w:t>
            </w:r>
            <w:r w:rsidRPr="005D0BC7">
              <w:t xml:space="preserve"> kompositie (K), ontsteking (O), plaveisel epitheel (P), andere en endometrium afwijkingen (A), cylinder epitheel (C</w:t>
            </w:r>
            <w:r>
              <w:t>)</w:t>
            </w:r>
          </w:p>
        </w:tc>
      </w:tr>
      <w:tr w:rsidR="00054963" w:rsidTr="00BD5CD5">
        <w:tc>
          <w:tcPr>
            <w:tcW w:w="1162" w:type="pct"/>
          </w:tcPr>
          <w:p w:rsidR="00054963" w:rsidRDefault="00054963" w:rsidP="00054963">
            <w:pPr>
              <w:pStyle w:val="Tabletext"/>
            </w:pPr>
            <w:r>
              <w:t>LBC</w:t>
            </w:r>
          </w:p>
        </w:tc>
        <w:tc>
          <w:tcPr>
            <w:tcW w:w="3838" w:type="pct"/>
          </w:tcPr>
          <w:p w:rsidR="00054963" w:rsidRDefault="005E0D57" w:rsidP="00054963">
            <w:pPr>
              <w:pStyle w:val="Tabletext"/>
            </w:pPr>
            <w:r>
              <w:t>Liquid-based</w:t>
            </w:r>
            <w:r w:rsidR="00054963">
              <w:t xml:space="preserve"> cytology</w:t>
            </w:r>
          </w:p>
        </w:tc>
      </w:tr>
      <w:tr w:rsidR="00054963" w:rsidTr="00BD5CD5">
        <w:tc>
          <w:tcPr>
            <w:tcW w:w="1162" w:type="pct"/>
          </w:tcPr>
          <w:p w:rsidR="00054963" w:rsidRDefault="00054963" w:rsidP="00054963">
            <w:pPr>
              <w:pStyle w:val="Tabletext"/>
            </w:pPr>
            <w:r>
              <w:t>LSIL</w:t>
            </w:r>
          </w:p>
        </w:tc>
        <w:tc>
          <w:tcPr>
            <w:tcW w:w="3838" w:type="pct"/>
          </w:tcPr>
          <w:p w:rsidR="00054963" w:rsidRDefault="00054963" w:rsidP="00054963">
            <w:pPr>
              <w:pStyle w:val="Tabletext"/>
            </w:pPr>
            <w:r>
              <w:t>Low-grade squamous intraepithelial lesions</w:t>
            </w:r>
          </w:p>
        </w:tc>
      </w:tr>
      <w:tr w:rsidR="00054963" w:rsidTr="00BD5CD5">
        <w:tc>
          <w:tcPr>
            <w:tcW w:w="1162" w:type="pct"/>
          </w:tcPr>
          <w:p w:rsidR="00054963" w:rsidRDefault="00054963" w:rsidP="00054963">
            <w:pPr>
              <w:pStyle w:val="Tabletext"/>
            </w:pPr>
            <w:r>
              <w:t>LSIL+</w:t>
            </w:r>
          </w:p>
        </w:tc>
        <w:tc>
          <w:tcPr>
            <w:tcW w:w="3838" w:type="pct"/>
          </w:tcPr>
          <w:p w:rsidR="00054963" w:rsidRDefault="00054963" w:rsidP="00054963">
            <w:pPr>
              <w:pStyle w:val="Tabletext"/>
            </w:pPr>
            <w:r>
              <w:t>Low-grade squamous intraepithelial lesions or higher</w:t>
            </w:r>
          </w:p>
        </w:tc>
      </w:tr>
      <w:tr w:rsidR="00054963" w:rsidTr="00BD5CD5">
        <w:tc>
          <w:tcPr>
            <w:tcW w:w="1162" w:type="pct"/>
          </w:tcPr>
          <w:p w:rsidR="00054963" w:rsidRDefault="00054963" w:rsidP="00054963">
            <w:pPr>
              <w:pStyle w:val="Tabletext"/>
            </w:pPr>
            <w:r>
              <w:t>MAVARIC</w:t>
            </w:r>
          </w:p>
        </w:tc>
        <w:tc>
          <w:tcPr>
            <w:tcW w:w="3838" w:type="pct"/>
          </w:tcPr>
          <w:p w:rsidR="00054963" w:rsidRDefault="00054963" w:rsidP="00054963">
            <w:pPr>
              <w:pStyle w:val="Tabletext"/>
            </w:pPr>
            <w:r>
              <w:t>Manual Assessment Versus Automated Reading In Cytology trial</w:t>
            </w:r>
          </w:p>
        </w:tc>
      </w:tr>
      <w:tr w:rsidR="00054963" w:rsidTr="00BD5CD5">
        <w:tc>
          <w:tcPr>
            <w:tcW w:w="1162" w:type="pct"/>
          </w:tcPr>
          <w:p w:rsidR="00054963" w:rsidRDefault="00054963" w:rsidP="00054963">
            <w:pPr>
              <w:pStyle w:val="Tabletext"/>
            </w:pPr>
            <w:r>
              <w:t>MBS</w:t>
            </w:r>
          </w:p>
        </w:tc>
        <w:tc>
          <w:tcPr>
            <w:tcW w:w="3838" w:type="pct"/>
          </w:tcPr>
          <w:p w:rsidR="00054963" w:rsidRDefault="00775777" w:rsidP="00054963">
            <w:pPr>
              <w:pStyle w:val="Tabletext"/>
            </w:pPr>
            <w:r>
              <w:t>Medicare Benefits S</w:t>
            </w:r>
            <w:r w:rsidR="00054963">
              <w:t>cheme</w:t>
            </w:r>
          </w:p>
        </w:tc>
      </w:tr>
      <w:tr w:rsidR="00054963" w:rsidTr="00BD5CD5">
        <w:tc>
          <w:tcPr>
            <w:tcW w:w="1162" w:type="pct"/>
            <w:tcBorders>
              <w:bottom w:val="nil"/>
            </w:tcBorders>
          </w:tcPr>
          <w:p w:rsidR="00054963" w:rsidRDefault="00054963" w:rsidP="00054963">
            <w:pPr>
              <w:pStyle w:val="Tabletext"/>
            </w:pPr>
            <w:r>
              <w:t>MCID</w:t>
            </w:r>
          </w:p>
        </w:tc>
        <w:tc>
          <w:tcPr>
            <w:tcW w:w="3838" w:type="pct"/>
            <w:tcBorders>
              <w:bottom w:val="nil"/>
            </w:tcBorders>
          </w:tcPr>
          <w:p w:rsidR="00054963" w:rsidRDefault="00054963" w:rsidP="00054963">
            <w:pPr>
              <w:pStyle w:val="Tabletext"/>
            </w:pPr>
            <w:r>
              <w:t>Minimal clinically important difference</w:t>
            </w:r>
          </w:p>
        </w:tc>
      </w:tr>
      <w:tr w:rsidR="00054963" w:rsidTr="00BD5CD5">
        <w:tc>
          <w:tcPr>
            <w:tcW w:w="1162" w:type="pct"/>
            <w:tcBorders>
              <w:top w:val="nil"/>
              <w:bottom w:val="nil"/>
            </w:tcBorders>
          </w:tcPr>
          <w:p w:rsidR="00054963" w:rsidRDefault="00054963" w:rsidP="00054963">
            <w:pPr>
              <w:pStyle w:val="Tabletext"/>
            </w:pPr>
            <w:r>
              <w:t>MR1</w:t>
            </w:r>
          </w:p>
        </w:tc>
        <w:tc>
          <w:tcPr>
            <w:tcW w:w="3838" w:type="pct"/>
            <w:tcBorders>
              <w:top w:val="nil"/>
              <w:bottom w:val="nil"/>
            </w:tcBorders>
          </w:tcPr>
          <w:p w:rsidR="00054963" w:rsidRDefault="00054963" w:rsidP="00054963">
            <w:pPr>
              <w:pStyle w:val="Tabletext"/>
            </w:pPr>
            <w:r>
              <w:t>Manual result 1</w:t>
            </w:r>
          </w:p>
        </w:tc>
      </w:tr>
      <w:tr w:rsidR="00054963" w:rsidTr="00BD5CD5">
        <w:tc>
          <w:tcPr>
            <w:tcW w:w="1162" w:type="pct"/>
            <w:tcBorders>
              <w:top w:val="nil"/>
            </w:tcBorders>
          </w:tcPr>
          <w:p w:rsidR="00054963" w:rsidRDefault="00054963" w:rsidP="00054963">
            <w:pPr>
              <w:pStyle w:val="Tabletext"/>
            </w:pPr>
            <w:r>
              <w:t>MSAC</w:t>
            </w:r>
          </w:p>
        </w:tc>
        <w:tc>
          <w:tcPr>
            <w:tcW w:w="3838" w:type="pct"/>
            <w:tcBorders>
              <w:top w:val="nil"/>
            </w:tcBorders>
          </w:tcPr>
          <w:p w:rsidR="00054963" w:rsidRDefault="00054963" w:rsidP="00054963">
            <w:pPr>
              <w:pStyle w:val="Tabletext"/>
            </w:pPr>
            <w:r>
              <w:t>Medical Services Advisory Committee</w:t>
            </w:r>
          </w:p>
        </w:tc>
      </w:tr>
      <w:tr w:rsidR="00054963" w:rsidTr="00BD5CD5">
        <w:tc>
          <w:tcPr>
            <w:tcW w:w="1162" w:type="pct"/>
          </w:tcPr>
          <w:p w:rsidR="00054963" w:rsidRDefault="005D1FFA" w:rsidP="00054963">
            <w:pPr>
              <w:pStyle w:val="Tabletext"/>
            </w:pPr>
            <w:r>
              <w:t>N</w:t>
            </w:r>
            <w:r w:rsidR="00054963">
              <w:t>A</w:t>
            </w:r>
          </w:p>
        </w:tc>
        <w:tc>
          <w:tcPr>
            <w:tcW w:w="3838" w:type="pct"/>
          </w:tcPr>
          <w:p w:rsidR="00054963" w:rsidRDefault="00054963" w:rsidP="00054963">
            <w:pPr>
              <w:pStyle w:val="Tabletext"/>
            </w:pPr>
            <w:r>
              <w:t>Not applicable</w:t>
            </w:r>
          </w:p>
        </w:tc>
      </w:tr>
      <w:tr w:rsidR="00054963" w:rsidTr="00BD5CD5">
        <w:tc>
          <w:tcPr>
            <w:tcW w:w="1162" w:type="pct"/>
          </w:tcPr>
          <w:p w:rsidR="00054963" w:rsidRDefault="00054963" w:rsidP="00054963">
            <w:pPr>
              <w:pStyle w:val="Tabletext"/>
            </w:pPr>
            <w:r>
              <w:t>NATA</w:t>
            </w:r>
          </w:p>
        </w:tc>
        <w:tc>
          <w:tcPr>
            <w:tcW w:w="3838" w:type="pct"/>
          </w:tcPr>
          <w:p w:rsidR="00054963" w:rsidRDefault="00775777" w:rsidP="00054963">
            <w:pPr>
              <w:pStyle w:val="Tabletext"/>
            </w:pPr>
            <w:r>
              <w:t>National Association of T</w:t>
            </w:r>
            <w:r w:rsidR="00EE1B61">
              <w:t>esting Authorities</w:t>
            </w:r>
          </w:p>
        </w:tc>
      </w:tr>
      <w:tr w:rsidR="00054963" w:rsidTr="00BD5CD5">
        <w:tc>
          <w:tcPr>
            <w:tcW w:w="1162" w:type="pct"/>
          </w:tcPr>
          <w:p w:rsidR="00054963" w:rsidRDefault="00054963" w:rsidP="00054963">
            <w:pPr>
              <w:pStyle w:val="Tabletext"/>
            </w:pPr>
            <w:r>
              <w:t>NC</w:t>
            </w:r>
          </w:p>
        </w:tc>
        <w:tc>
          <w:tcPr>
            <w:tcW w:w="3838" w:type="pct"/>
          </w:tcPr>
          <w:p w:rsidR="00054963" w:rsidRDefault="00054963" w:rsidP="00054963">
            <w:pPr>
              <w:pStyle w:val="Tabletext"/>
            </w:pPr>
            <w:r>
              <w:t>Not calculated</w:t>
            </w:r>
          </w:p>
        </w:tc>
      </w:tr>
      <w:tr w:rsidR="004D5A34" w:rsidTr="00BD5CD5">
        <w:tc>
          <w:tcPr>
            <w:tcW w:w="1162" w:type="pct"/>
          </w:tcPr>
          <w:p w:rsidR="004D5A34" w:rsidRDefault="004D5A34" w:rsidP="00054963">
            <w:pPr>
              <w:pStyle w:val="Tabletext"/>
            </w:pPr>
            <w:r>
              <w:t>NCSP</w:t>
            </w:r>
          </w:p>
        </w:tc>
        <w:tc>
          <w:tcPr>
            <w:tcW w:w="3838" w:type="pct"/>
          </w:tcPr>
          <w:p w:rsidR="004D5A34" w:rsidRDefault="004D5A34" w:rsidP="00054963">
            <w:pPr>
              <w:pStyle w:val="Tabletext"/>
            </w:pPr>
            <w:r>
              <w:t>National Cervical Screening Program</w:t>
            </w:r>
          </w:p>
        </w:tc>
      </w:tr>
      <w:tr w:rsidR="00054963" w:rsidTr="00BD5CD5">
        <w:tc>
          <w:tcPr>
            <w:tcW w:w="1162" w:type="pct"/>
          </w:tcPr>
          <w:p w:rsidR="00054963" w:rsidRDefault="00054963" w:rsidP="00054963">
            <w:pPr>
              <w:pStyle w:val="Tabletext"/>
            </w:pPr>
            <w:r>
              <w:t>NETHCON</w:t>
            </w:r>
          </w:p>
        </w:tc>
        <w:tc>
          <w:tcPr>
            <w:tcW w:w="3838" w:type="pct"/>
          </w:tcPr>
          <w:p w:rsidR="00054963" w:rsidRDefault="00054963" w:rsidP="00054963">
            <w:pPr>
              <w:pStyle w:val="Tabletext"/>
            </w:pPr>
            <w:r w:rsidRPr="00927576">
              <w:t>Netherlands ThinPrep Versus Conventional Cytology</w:t>
            </w:r>
            <w:r>
              <w:t xml:space="preserve"> trial</w:t>
            </w:r>
          </w:p>
        </w:tc>
      </w:tr>
      <w:tr w:rsidR="00054963" w:rsidTr="00BD5CD5">
        <w:tc>
          <w:tcPr>
            <w:tcW w:w="1162" w:type="pct"/>
          </w:tcPr>
          <w:p w:rsidR="00054963" w:rsidRDefault="00054963" w:rsidP="00054963">
            <w:pPr>
              <w:pStyle w:val="Tabletext"/>
            </w:pPr>
            <w:r>
              <w:t>NHMRC</w:t>
            </w:r>
          </w:p>
        </w:tc>
        <w:tc>
          <w:tcPr>
            <w:tcW w:w="3838" w:type="pct"/>
          </w:tcPr>
          <w:p w:rsidR="00054963" w:rsidRDefault="00054963" w:rsidP="00054963">
            <w:pPr>
              <w:pStyle w:val="Tabletext"/>
            </w:pPr>
            <w:r>
              <w:t>National Health Medical Research Council</w:t>
            </w:r>
          </w:p>
        </w:tc>
      </w:tr>
      <w:tr w:rsidR="00054963" w:rsidTr="00BD5CD5">
        <w:tc>
          <w:tcPr>
            <w:tcW w:w="1162" w:type="pct"/>
          </w:tcPr>
          <w:p w:rsidR="00054963" w:rsidRDefault="00054963" w:rsidP="00054963">
            <w:pPr>
              <w:pStyle w:val="Tabletext"/>
            </w:pPr>
            <w:r>
              <w:t>NHSPC</w:t>
            </w:r>
          </w:p>
        </w:tc>
        <w:tc>
          <w:tcPr>
            <w:tcW w:w="3838" w:type="pct"/>
          </w:tcPr>
          <w:p w:rsidR="00054963" w:rsidRDefault="00054963" w:rsidP="00054963">
            <w:pPr>
              <w:pStyle w:val="Tabletext"/>
            </w:pPr>
            <w:r w:rsidRPr="005D0BC7">
              <w:t>National Health Service Cervical Screening program</w:t>
            </w:r>
          </w:p>
        </w:tc>
      </w:tr>
      <w:tr w:rsidR="00054963" w:rsidTr="00BD5CD5">
        <w:tc>
          <w:tcPr>
            <w:tcW w:w="1162" w:type="pct"/>
          </w:tcPr>
          <w:p w:rsidR="00054963" w:rsidRDefault="00054963" w:rsidP="00054963">
            <w:pPr>
              <w:pStyle w:val="Tabletext"/>
            </w:pPr>
            <w:r>
              <w:t>NPV</w:t>
            </w:r>
          </w:p>
        </w:tc>
        <w:tc>
          <w:tcPr>
            <w:tcW w:w="3838" w:type="pct"/>
          </w:tcPr>
          <w:p w:rsidR="00054963" w:rsidRDefault="00054963" w:rsidP="00054963">
            <w:pPr>
              <w:pStyle w:val="Tabletext"/>
            </w:pPr>
            <w:r>
              <w:t>Negative predictive value</w:t>
            </w:r>
          </w:p>
        </w:tc>
      </w:tr>
      <w:tr w:rsidR="00054963" w:rsidTr="00BD5CD5">
        <w:tc>
          <w:tcPr>
            <w:tcW w:w="1162" w:type="pct"/>
          </w:tcPr>
          <w:p w:rsidR="00054963" w:rsidRDefault="00054963" w:rsidP="00054963">
            <w:pPr>
              <w:pStyle w:val="Tabletext"/>
            </w:pPr>
            <w:r>
              <w:t>NR</w:t>
            </w:r>
          </w:p>
        </w:tc>
        <w:tc>
          <w:tcPr>
            <w:tcW w:w="3838" w:type="pct"/>
          </w:tcPr>
          <w:p w:rsidR="00054963" w:rsidRDefault="00054963" w:rsidP="00054963">
            <w:pPr>
              <w:pStyle w:val="Tabletext"/>
            </w:pPr>
            <w:r>
              <w:t>Not reported</w:t>
            </w:r>
          </w:p>
        </w:tc>
      </w:tr>
      <w:tr w:rsidR="00054963" w:rsidTr="00BD5CD5">
        <w:tc>
          <w:tcPr>
            <w:tcW w:w="1162" w:type="pct"/>
          </w:tcPr>
          <w:p w:rsidR="00054963" w:rsidRDefault="00054963" w:rsidP="00054963">
            <w:pPr>
              <w:pStyle w:val="Tabletext"/>
            </w:pPr>
            <w:r>
              <w:t>NS</w:t>
            </w:r>
          </w:p>
        </w:tc>
        <w:tc>
          <w:tcPr>
            <w:tcW w:w="3838" w:type="pct"/>
          </w:tcPr>
          <w:p w:rsidR="00054963" w:rsidRDefault="00054963" w:rsidP="00054963">
            <w:pPr>
              <w:pStyle w:val="Tabletext"/>
            </w:pPr>
            <w:r>
              <w:t>Not significant</w:t>
            </w:r>
          </w:p>
        </w:tc>
      </w:tr>
      <w:tr w:rsidR="00054963" w:rsidTr="00BD5CD5">
        <w:tc>
          <w:tcPr>
            <w:tcW w:w="1162" w:type="pct"/>
          </w:tcPr>
          <w:p w:rsidR="00054963" w:rsidRDefault="00054963" w:rsidP="00054963">
            <w:pPr>
              <w:pStyle w:val="Tabletext"/>
            </w:pPr>
            <w:r>
              <w:t>NTCC</w:t>
            </w:r>
          </w:p>
        </w:tc>
        <w:tc>
          <w:tcPr>
            <w:tcW w:w="3838" w:type="pct"/>
          </w:tcPr>
          <w:p w:rsidR="00054963" w:rsidRDefault="00054963" w:rsidP="00054963">
            <w:pPr>
              <w:pStyle w:val="Tabletext"/>
            </w:pPr>
            <w:r>
              <w:t>New Technology in Cervical Cancer trial</w:t>
            </w:r>
          </w:p>
        </w:tc>
      </w:tr>
      <w:tr w:rsidR="00AB0C17" w:rsidTr="00BD5CD5">
        <w:tc>
          <w:tcPr>
            <w:tcW w:w="1162" w:type="pct"/>
          </w:tcPr>
          <w:p w:rsidR="00AB0C17" w:rsidRDefault="00AB0C17" w:rsidP="00054963">
            <w:pPr>
              <w:pStyle w:val="Tabletext"/>
            </w:pPr>
            <w:r>
              <w:t>NZ NCSP</w:t>
            </w:r>
          </w:p>
        </w:tc>
        <w:tc>
          <w:tcPr>
            <w:tcW w:w="3838" w:type="pct"/>
          </w:tcPr>
          <w:p w:rsidR="00AB0C17" w:rsidRDefault="00AB0C17" w:rsidP="00054963">
            <w:pPr>
              <w:pStyle w:val="Tabletext"/>
            </w:pPr>
            <w:r w:rsidRPr="00AB0C17">
              <w:t>New Zealand National Cervical Screening Program</w:t>
            </w:r>
          </w:p>
        </w:tc>
      </w:tr>
      <w:tr w:rsidR="00054963" w:rsidTr="00BD5CD5">
        <w:tc>
          <w:tcPr>
            <w:tcW w:w="1162" w:type="pct"/>
          </w:tcPr>
          <w:p w:rsidR="00054963" w:rsidRDefault="00054963" w:rsidP="00054963">
            <w:pPr>
              <w:pStyle w:val="Tabletext"/>
            </w:pPr>
            <w:r>
              <w:t>OR</w:t>
            </w:r>
          </w:p>
        </w:tc>
        <w:tc>
          <w:tcPr>
            <w:tcW w:w="3838" w:type="pct"/>
          </w:tcPr>
          <w:p w:rsidR="00054963" w:rsidRDefault="00775777" w:rsidP="00054963">
            <w:pPr>
              <w:pStyle w:val="Tabletext"/>
            </w:pPr>
            <w:r>
              <w:t>Odds r</w:t>
            </w:r>
            <w:r w:rsidR="00054963">
              <w:t>atio</w:t>
            </w:r>
          </w:p>
        </w:tc>
      </w:tr>
      <w:tr w:rsidR="00054963" w:rsidTr="00BD5CD5">
        <w:tc>
          <w:tcPr>
            <w:tcW w:w="1162" w:type="pct"/>
          </w:tcPr>
          <w:p w:rsidR="00054963" w:rsidRDefault="00054963" w:rsidP="00054963">
            <w:pPr>
              <w:pStyle w:val="Tabletext"/>
            </w:pPr>
            <w:r>
              <w:t>PALGA</w:t>
            </w:r>
          </w:p>
        </w:tc>
        <w:tc>
          <w:tcPr>
            <w:tcW w:w="3838" w:type="pct"/>
          </w:tcPr>
          <w:p w:rsidR="00054963" w:rsidRDefault="00054963" w:rsidP="00054963">
            <w:pPr>
              <w:pStyle w:val="Tabletext"/>
            </w:pPr>
            <w:r>
              <w:t>Dutch Network and National Database for Pathology</w:t>
            </w:r>
          </w:p>
        </w:tc>
      </w:tr>
      <w:tr w:rsidR="00054963" w:rsidTr="00BD5CD5">
        <w:tc>
          <w:tcPr>
            <w:tcW w:w="1162" w:type="pct"/>
          </w:tcPr>
          <w:p w:rsidR="00054963" w:rsidRDefault="00054963" w:rsidP="00054963">
            <w:pPr>
              <w:pStyle w:val="Tabletext"/>
            </w:pPr>
            <w:r>
              <w:t>Pap</w:t>
            </w:r>
          </w:p>
        </w:tc>
        <w:tc>
          <w:tcPr>
            <w:tcW w:w="3838" w:type="pct"/>
          </w:tcPr>
          <w:p w:rsidR="00054963" w:rsidRDefault="00054963" w:rsidP="00054963">
            <w:pPr>
              <w:pStyle w:val="Tabletext"/>
            </w:pPr>
            <w:r>
              <w:t>Papanicolaou</w:t>
            </w:r>
          </w:p>
        </w:tc>
      </w:tr>
      <w:tr w:rsidR="00054963" w:rsidTr="00BD5CD5">
        <w:tc>
          <w:tcPr>
            <w:tcW w:w="1162" w:type="pct"/>
          </w:tcPr>
          <w:p w:rsidR="00054963" w:rsidRDefault="00054963" w:rsidP="00054963">
            <w:pPr>
              <w:pStyle w:val="Tabletext"/>
            </w:pPr>
            <w:r>
              <w:t>PASC</w:t>
            </w:r>
          </w:p>
        </w:tc>
        <w:tc>
          <w:tcPr>
            <w:tcW w:w="3838" w:type="pct"/>
          </w:tcPr>
          <w:p w:rsidR="00054963" w:rsidRDefault="00054963" w:rsidP="00054963">
            <w:pPr>
              <w:pStyle w:val="Tabletext"/>
            </w:pPr>
            <w:r>
              <w:t>Protocol Advisory Subcommittee</w:t>
            </w:r>
          </w:p>
        </w:tc>
      </w:tr>
      <w:tr w:rsidR="00054963" w:rsidTr="00BD5CD5">
        <w:tc>
          <w:tcPr>
            <w:tcW w:w="1162" w:type="pct"/>
          </w:tcPr>
          <w:p w:rsidR="00054963" w:rsidRDefault="00054963" w:rsidP="00054963">
            <w:pPr>
              <w:pStyle w:val="Tabletext"/>
            </w:pPr>
            <w:r>
              <w:t>pHSIL</w:t>
            </w:r>
          </w:p>
        </w:tc>
        <w:tc>
          <w:tcPr>
            <w:tcW w:w="3838" w:type="pct"/>
          </w:tcPr>
          <w:p w:rsidR="00054963" w:rsidRDefault="00054963" w:rsidP="00054963">
            <w:pPr>
              <w:pStyle w:val="Tabletext"/>
            </w:pPr>
            <w:r>
              <w:t>Possible high-grade squamous intraepithelial lesions</w:t>
            </w:r>
          </w:p>
        </w:tc>
      </w:tr>
      <w:tr w:rsidR="00054963" w:rsidTr="00BD5CD5">
        <w:tc>
          <w:tcPr>
            <w:tcW w:w="1162" w:type="pct"/>
          </w:tcPr>
          <w:p w:rsidR="00054963" w:rsidRDefault="00054963" w:rsidP="00054963">
            <w:pPr>
              <w:pStyle w:val="Tabletext"/>
            </w:pPr>
            <w:r>
              <w:t>pLSIL</w:t>
            </w:r>
          </w:p>
        </w:tc>
        <w:tc>
          <w:tcPr>
            <w:tcW w:w="3838" w:type="pct"/>
          </w:tcPr>
          <w:p w:rsidR="00054963" w:rsidRDefault="00054963" w:rsidP="00054963">
            <w:pPr>
              <w:pStyle w:val="Tabletext"/>
            </w:pPr>
            <w:r>
              <w:t>Possible low-grade squamous intraepithelial lesions</w:t>
            </w:r>
            <w:r w:rsidR="00345355">
              <w:t>/ASCUS</w:t>
            </w:r>
          </w:p>
        </w:tc>
      </w:tr>
      <w:tr w:rsidR="00054963" w:rsidTr="00BD5CD5">
        <w:tc>
          <w:tcPr>
            <w:tcW w:w="1162" w:type="pct"/>
          </w:tcPr>
          <w:p w:rsidR="00054963" w:rsidRDefault="00054963" w:rsidP="00054963">
            <w:pPr>
              <w:pStyle w:val="Tabletext"/>
            </w:pPr>
            <w:r>
              <w:t>PPV</w:t>
            </w:r>
          </w:p>
        </w:tc>
        <w:tc>
          <w:tcPr>
            <w:tcW w:w="3838" w:type="pct"/>
          </w:tcPr>
          <w:p w:rsidR="00054963" w:rsidRDefault="00054963" w:rsidP="00054963">
            <w:pPr>
              <w:pStyle w:val="Tabletext"/>
            </w:pPr>
            <w:r>
              <w:t>Positive predictive value</w:t>
            </w:r>
          </w:p>
        </w:tc>
      </w:tr>
      <w:tr w:rsidR="00FA4285" w:rsidTr="00BD5CD5">
        <w:tc>
          <w:tcPr>
            <w:tcW w:w="1162" w:type="pct"/>
          </w:tcPr>
          <w:p w:rsidR="00FA4285" w:rsidRDefault="00FA4285" w:rsidP="00054963">
            <w:pPr>
              <w:pStyle w:val="Tabletext"/>
            </w:pPr>
            <w:r>
              <w:t>QALY</w:t>
            </w:r>
          </w:p>
        </w:tc>
        <w:tc>
          <w:tcPr>
            <w:tcW w:w="3838" w:type="pct"/>
          </w:tcPr>
          <w:p w:rsidR="00FA4285" w:rsidRDefault="00FA4285" w:rsidP="00054963">
            <w:pPr>
              <w:pStyle w:val="Tabletext"/>
            </w:pPr>
            <w:r>
              <w:t>quality adjusted life year</w:t>
            </w:r>
          </w:p>
        </w:tc>
      </w:tr>
      <w:tr w:rsidR="00054963" w:rsidTr="00BD5CD5">
        <w:tc>
          <w:tcPr>
            <w:tcW w:w="1162" w:type="pct"/>
          </w:tcPr>
          <w:p w:rsidR="00054963" w:rsidRDefault="00054963" w:rsidP="00054963">
            <w:pPr>
              <w:pStyle w:val="Tabletext"/>
            </w:pPr>
            <w:r>
              <w:t>QC</w:t>
            </w:r>
          </w:p>
        </w:tc>
        <w:tc>
          <w:tcPr>
            <w:tcW w:w="3838" w:type="pct"/>
          </w:tcPr>
          <w:p w:rsidR="00054963" w:rsidRDefault="00054963" w:rsidP="00054963">
            <w:pPr>
              <w:pStyle w:val="Tabletext"/>
            </w:pPr>
            <w:r>
              <w:t>Quality control</w:t>
            </w:r>
          </w:p>
        </w:tc>
      </w:tr>
      <w:tr w:rsidR="00054963" w:rsidTr="00BD5CD5">
        <w:tc>
          <w:tcPr>
            <w:tcW w:w="1162" w:type="pct"/>
          </w:tcPr>
          <w:p w:rsidR="00054963" w:rsidRDefault="00054963" w:rsidP="00054963">
            <w:pPr>
              <w:pStyle w:val="Tabletext"/>
            </w:pPr>
            <w:r>
              <w:t>RCPA</w:t>
            </w:r>
          </w:p>
        </w:tc>
        <w:tc>
          <w:tcPr>
            <w:tcW w:w="3838" w:type="pct"/>
          </w:tcPr>
          <w:p w:rsidR="00054963" w:rsidRDefault="00054963" w:rsidP="00054963">
            <w:pPr>
              <w:pStyle w:val="Tabletext"/>
            </w:pPr>
            <w:r>
              <w:t>Royal College of Pathologists Australia</w:t>
            </w:r>
          </w:p>
        </w:tc>
      </w:tr>
      <w:tr w:rsidR="00054963" w:rsidTr="00BD5CD5">
        <w:tc>
          <w:tcPr>
            <w:tcW w:w="1162" w:type="pct"/>
          </w:tcPr>
          <w:p w:rsidR="00054963" w:rsidRDefault="00054963" w:rsidP="00054963">
            <w:pPr>
              <w:pStyle w:val="Tabletext"/>
            </w:pPr>
            <w:r>
              <w:t>RCT</w:t>
            </w:r>
          </w:p>
        </w:tc>
        <w:tc>
          <w:tcPr>
            <w:tcW w:w="3838" w:type="pct"/>
          </w:tcPr>
          <w:p w:rsidR="00054963" w:rsidRDefault="00054963" w:rsidP="00054963">
            <w:pPr>
              <w:pStyle w:val="Tabletext"/>
            </w:pPr>
            <w:r>
              <w:t>Randomised controlled trial</w:t>
            </w:r>
          </w:p>
        </w:tc>
      </w:tr>
      <w:tr w:rsidR="00054963" w:rsidTr="00BD5CD5">
        <w:tc>
          <w:tcPr>
            <w:tcW w:w="1162" w:type="pct"/>
          </w:tcPr>
          <w:p w:rsidR="00054963" w:rsidRDefault="00054963" w:rsidP="00054963">
            <w:pPr>
              <w:pStyle w:val="Tabletext"/>
            </w:pPr>
            <w:r>
              <w:t>RD</w:t>
            </w:r>
          </w:p>
        </w:tc>
        <w:tc>
          <w:tcPr>
            <w:tcW w:w="3838" w:type="pct"/>
          </w:tcPr>
          <w:p w:rsidR="00054963" w:rsidRDefault="00775777" w:rsidP="00054963">
            <w:pPr>
              <w:pStyle w:val="Tabletext"/>
            </w:pPr>
            <w:r>
              <w:t>Risk d</w:t>
            </w:r>
            <w:r w:rsidR="00054963">
              <w:t>ifference</w:t>
            </w:r>
          </w:p>
        </w:tc>
      </w:tr>
      <w:tr w:rsidR="00054963" w:rsidTr="00BD5CD5">
        <w:tc>
          <w:tcPr>
            <w:tcW w:w="1162" w:type="pct"/>
          </w:tcPr>
          <w:p w:rsidR="00054963" w:rsidRDefault="00054963" w:rsidP="00054963">
            <w:pPr>
              <w:pStyle w:val="Tabletext"/>
            </w:pPr>
            <w:r>
              <w:t>RevMan</w:t>
            </w:r>
          </w:p>
        </w:tc>
        <w:tc>
          <w:tcPr>
            <w:tcW w:w="3838" w:type="pct"/>
          </w:tcPr>
          <w:p w:rsidR="00054963" w:rsidRDefault="00054963" w:rsidP="00054963">
            <w:pPr>
              <w:pStyle w:val="Tabletext"/>
            </w:pPr>
            <w:r>
              <w:t>Review Manager Version 5</w:t>
            </w:r>
          </w:p>
        </w:tc>
      </w:tr>
      <w:tr w:rsidR="00054963" w:rsidTr="00BD5CD5">
        <w:tc>
          <w:tcPr>
            <w:tcW w:w="1162" w:type="pct"/>
          </w:tcPr>
          <w:p w:rsidR="00054963" w:rsidRDefault="00054963" w:rsidP="00054963">
            <w:pPr>
              <w:pStyle w:val="Tabletext"/>
            </w:pPr>
            <w:r>
              <w:t>SBLB</w:t>
            </w:r>
          </w:p>
        </w:tc>
        <w:tc>
          <w:tcPr>
            <w:tcW w:w="3838" w:type="pct"/>
          </w:tcPr>
          <w:p w:rsidR="00054963" w:rsidRDefault="00054963" w:rsidP="00054963">
            <w:pPr>
              <w:pStyle w:val="Tabletext"/>
            </w:pPr>
            <w:r>
              <w:t>Significant but limited by</w:t>
            </w:r>
          </w:p>
        </w:tc>
      </w:tr>
      <w:tr w:rsidR="00054963" w:rsidTr="00BD5CD5">
        <w:tc>
          <w:tcPr>
            <w:tcW w:w="1162" w:type="pct"/>
          </w:tcPr>
          <w:p w:rsidR="00054963" w:rsidRPr="005F6015" w:rsidRDefault="00054963" w:rsidP="00054963">
            <w:pPr>
              <w:pStyle w:val="Tabletext"/>
            </w:pPr>
            <w:r w:rsidRPr="005F6015">
              <w:t>SCC</w:t>
            </w:r>
          </w:p>
        </w:tc>
        <w:tc>
          <w:tcPr>
            <w:tcW w:w="3838" w:type="pct"/>
          </w:tcPr>
          <w:p w:rsidR="00054963" w:rsidRPr="005F6015" w:rsidRDefault="00054963" w:rsidP="00054963">
            <w:pPr>
              <w:pStyle w:val="Tabletext"/>
            </w:pPr>
            <w:r w:rsidRPr="005F6015">
              <w:t>Squamous cell carcinoma</w:t>
            </w:r>
          </w:p>
        </w:tc>
      </w:tr>
      <w:tr w:rsidR="00054963" w:rsidTr="00BD5CD5">
        <w:tc>
          <w:tcPr>
            <w:tcW w:w="1162" w:type="pct"/>
          </w:tcPr>
          <w:p w:rsidR="00054963" w:rsidRPr="005F6015" w:rsidRDefault="00054963" w:rsidP="00054963">
            <w:pPr>
              <w:pStyle w:val="Tabletext"/>
            </w:pPr>
            <w:r w:rsidRPr="005F6015">
              <w:t>SIL</w:t>
            </w:r>
          </w:p>
        </w:tc>
        <w:tc>
          <w:tcPr>
            <w:tcW w:w="3838" w:type="pct"/>
          </w:tcPr>
          <w:p w:rsidR="00054963" w:rsidRPr="005F6015" w:rsidRDefault="00054963" w:rsidP="00054963">
            <w:pPr>
              <w:pStyle w:val="Tabletext"/>
            </w:pPr>
            <w:r w:rsidRPr="005F6015">
              <w:t>Squamous intraepithelial lesion</w:t>
            </w:r>
          </w:p>
        </w:tc>
      </w:tr>
      <w:tr w:rsidR="00EE1B61" w:rsidTr="00BD5CD5">
        <w:tc>
          <w:tcPr>
            <w:tcW w:w="1162" w:type="pct"/>
          </w:tcPr>
          <w:p w:rsidR="00EE1B61" w:rsidRPr="005F6015" w:rsidRDefault="00EE1B61" w:rsidP="00054963">
            <w:pPr>
              <w:pStyle w:val="Tabletext"/>
            </w:pPr>
            <w:r w:rsidRPr="005F6015">
              <w:lastRenderedPageBreak/>
              <w:t>SE</w:t>
            </w:r>
          </w:p>
        </w:tc>
        <w:tc>
          <w:tcPr>
            <w:tcW w:w="3838" w:type="pct"/>
          </w:tcPr>
          <w:p w:rsidR="00EE1B61" w:rsidRPr="005F6015" w:rsidRDefault="00EE1B61" w:rsidP="00054963">
            <w:pPr>
              <w:pStyle w:val="Tabletext"/>
            </w:pPr>
            <w:r w:rsidRPr="005F6015">
              <w:t>Standard error</w:t>
            </w:r>
          </w:p>
        </w:tc>
      </w:tr>
      <w:tr w:rsidR="004F523D" w:rsidTr="00BD5CD5">
        <w:tc>
          <w:tcPr>
            <w:tcW w:w="1162" w:type="pct"/>
          </w:tcPr>
          <w:p w:rsidR="004F523D" w:rsidRPr="005F6015" w:rsidRDefault="004F523D" w:rsidP="00054963">
            <w:pPr>
              <w:pStyle w:val="Tabletext"/>
            </w:pPr>
            <w:r w:rsidRPr="005F6015">
              <w:t>SP</w:t>
            </w:r>
          </w:p>
        </w:tc>
        <w:tc>
          <w:tcPr>
            <w:tcW w:w="3838" w:type="pct"/>
          </w:tcPr>
          <w:p w:rsidR="004F523D" w:rsidRPr="005F6015" w:rsidRDefault="005F6015" w:rsidP="00054963">
            <w:pPr>
              <w:pStyle w:val="Tabletext"/>
            </w:pPr>
            <w:r w:rsidRPr="005F6015">
              <w:t>SurePath</w:t>
            </w:r>
          </w:p>
        </w:tc>
      </w:tr>
      <w:tr w:rsidR="00054963" w:rsidTr="00BD5CD5">
        <w:tc>
          <w:tcPr>
            <w:tcW w:w="1162" w:type="pct"/>
          </w:tcPr>
          <w:p w:rsidR="00054963" w:rsidRPr="005F6015" w:rsidRDefault="00054963" w:rsidP="00054963">
            <w:pPr>
              <w:pStyle w:val="Tabletext"/>
            </w:pPr>
            <w:r w:rsidRPr="005F6015">
              <w:t>TIS</w:t>
            </w:r>
          </w:p>
        </w:tc>
        <w:tc>
          <w:tcPr>
            <w:tcW w:w="3838" w:type="pct"/>
          </w:tcPr>
          <w:p w:rsidR="00054963" w:rsidRPr="005F6015" w:rsidRDefault="00054963" w:rsidP="00054963">
            <w:pPr>
              <w:pStyle w:val="Tabletext"/>
            </w:pPr>
            <w:r w:rsidRPr="005F6015">
              <w:t>ThinPrep Imaging system</w:t>
            </w:r>
          </w:p>
        </w:tc>
      </w:tr>
      <w:tr w:rsidR="00054963" w:rsidTr="00BD5CD5">
        <w:tc>
          <w:tcPr>
            <w:tcW w:w="1162" w:type="pct"/>
          </w:tcPr>
          <w:p w:rsidR="00054963" w:rsidRDefault="00054963" w:rsidP="00054963">
            <w:pPr>
              <w:pStyle w:val="Tabletext"/>
            </w:pPr>
            <w:r>
              <w:t>TN</w:t>
            </w:r>
          </w:p>
        </w:tc>
        <w:tc>
          <w:tcPr>
            <w:tcW w:w="3838" w:type="pct"/>
          </w:tcPr>
          <w:p w:rsidR="00054963" w:rsidRDefault="00775777" w:rsidP="00054963">
            <w:pPr>
              <w:pStyle w:val="Tabletext"/>
            </w:pPr>
            <w:r>
              <w:t>True n</w:t>
            </w:r>
            <w:r w:rsidR="00054963">
              <w:t>egative</w:t>
            </w:r>
          </w:p>
        </w:tc>
      </w:tr>
      <w:tr w:rsidR="00054963" w:rsidTr="00BD5CD5">
        <w:tc>
          <w:tcPr>
            <w:tcW w:w="1162" w:type="pct"/>
          </w:tcPr>
          <w:p w:rsidR="00054963" w:rsidRDefault="00054963" w:rsidP="00054963">
            <w:pPr>
              <w:pStyle w:val="Tabletext"/>
            </w:pPr>
            <w:r>
              <w:t>TP</w:t>
            </w:r>
          </w:p>
        </w:tc>
        <w:tc>
          <w:tcPr>
            <w:tcW w:w="3838" w:type="pct"/>
          </w:tcPr>
          <w:p w:rsidR="00054963" w:rsidRDefault="00775777" w:rsidP="00054963">
            <w:pPr>
              <w:pStyle w:val="Tabletext"/>
            </w:pPr>
            <w:r>
              <w:t>True p</w:t>
            </w:r>
            <w:r w:rsidR="00054963">
              <w:t>ositive</w:t>
            </w:r>
          </w:p>
        </w:tc>
      </w:tr>
      <w:tr w:rsidR="00054963" w:rsidTr="00BD5CD5">
        <w:tc>
          <w:tcPr>
            <w:tcW w:w="1162" w:type="pct"/>
          </w:tcPr>
          <w:p w:rsidR="00054963" w:rsidRDefault="00054963" w:rsidP="00054963">
            <w:pPr>
              <w:pStyle w:val="Tabletext"/>
            </w:pPr>
            <w:r>
              <w:t>TPV</w:t>
            </w:r>
          </w:p>
        </w:tc>
        <w:tc>
          <w:tcPr>
            <w:tcW w:w="3838" w:type="pct"/>
          </w:tcPr>
          <w:p w:rsidR="00054963" w:rsidRDefault="00054963" w:rsidP="00054963">
            <w:pPr>
              <w:pStyle w:val="Tabletext"/>
            </w:pPr>
            <w:r>
              <w:t>Total predictive value</w:t>
            </w:r>
          </w:p>
        </w:tc>
      </w:tr>
      <w:tr w:rsidR="00054963" w:rsidTr="00BD5CD5">
        <w:tc>
          <w:tcPr>
            <w:tcW w:w="1162" w:type="pct"/>
          </w:tcPr>
          <w:p w:rsidR="00054963" w:rsidRDefault="00054963" w:rsidP="00054963">
            <w:pPr>
              <w:pStyle w:val="Tabletext"/>
            </w:pPr>
            <w:r>
              <w:t>WHO</w:t>
            </w:r>
          </w:p>
        </w:tc>
        <w:tc>
          <w:tcPr>
            <w:tcW w:w="3838" w:type="pct"/>
          </w:tcPr>
          <w:p w:rsidR="00054963" w:rsidRDefault="0046371A" w:rsidP="00054963">
            <w:pPr>
              <w:pStyle w:val="Tabletext"/>
              <w:tabs>
                <w:tab w:val="left" w:pos="2894"/>
              </w:tabs>
            </w:pPr>
            <w:r>
              <w:t>World Health Organiz</w:t>
            </w:r>
            <w:r w:rsidR="00054963">
              <w:t>ation</w:t>
            </w:r>
          </w:p>
        </w:tc>
      </w:tr>
    </w:tbl>
    <w:p w:rsidR="00775777" w:rsidRPr="00606621" w:rsidRDefault="00775777" w:rsidP="00775777">
      <w:bookmarkStart w:id="38" w:name="_Toc258501759"/>
      <w:bookmarkStart w:id="39" w:name="_Toc169275355"/>
    </w:p>
    <w:bookmarkEnd w:id="38"/>
    <w:p w:rsidR="00CA31F5" w:rsidRDefault="00CA31F5" w:rsidP="00CA31F5">
      <w:pPr>
        <w:sectPr w:rsidR="00CA31F5" w:rsidSect="007D5C08">
          <w:headerReference w:type="default" r:id="rId17"/>
          <w:pgSz w:w="11907" w:h="16839" w:code="9"/>
          <w:pgMar w:top="1701" w:right="1418" w:bottom="1418" w:left="1701" w:header="720" w:footer="720" w:gutter="0"/>
          <w:paperSrc w:first="7" w:other="7"/>
          <w:pgNumType w:fmt="lowerRoman"/>
          <w:cols w:space="720"/>
          <w:noEndnote/>
          <w:docGrid w:linePitch="299"/>
        </w:sectPr>
      </w:pPr>
    </w:p>
    <w:p w:rsidR="00FF05EE" w:rsidRDefault="00BE19DF" w:rsidP="00881BD2">
      <w:pPr>
        <w:pStyle w:val="Heading1"/>
      </w:pPr>
      <w:bookmarkStart w:id="40" w:name="_Toc191822139"/>
      <w:bookmarkStart w:id="41" w:name="_Toc191822189"/>
      <w:bookmarkStart w:id="42" w:name="_Toc191822239"/>
      <w:bookmarkStart w:id="43" w:name="_Toc258501760"/>
      <w:bookmarkStart w:id="44" w:name="_Toc337546864"/>
      <w:bookmarkEnd w:id="39"/>
      <w:r>
        <w:lastRenderedPageBreak/>
        <w:t>A.</w:t>
      </w:r>
      <w:r>
        <w:tab/>
      </w:r>
      <w:r w:rsidR="00FF05EE" w:rsidRPr="00BE19DF">
        <w:t xml:space="preserve">Details of the proposed </w:t>
      </w:r>
      <w:r w:rsidR="00FA5500">
        <w:t>intervention</w:t>
      </w:r>
      <w:r w:rsidR="00FF05EE" w:rsidRPr="00BE19DF">
        <w:t xml:space="preserve"> and its intended use on the </w:t>
      </w:r>
      <w:bookmarkEnd w:id="40"/>
      <w:bookmarkEnd w:id="41"/>
      <w:bookmarkEnd w:id="42"/>
      <w:bookmarkEnd w:id="43"/>
      <w:r w:rsidR="00D21516">
        <w:t>MBS</w:t>
      </w:r>
      <w:bookmarkEnd w:id="44"/>
    </w:p>
    <w:p w:rsidR="00FF05EE" w:rsidRPr="00136D50" w:rsidRDefault="00B143AE" w:rsidP="00136D50">
      <w:pPr>
        <w:pStyle w:val="Heading20"/>
      </w:pPr>
      <w:bookmarkStart w:id="45" w:name="_Toc191822140"/>
      <w:bookmarkStart w:id="46" w:name="_Toc191822190"/>
      <w:bookmarkStart w:id="47" w:name="_Toc191822240"/>
      <w:bookmarkStart w:id="48" w:name="_Toc258501761"/>
      <w:bookmarkStart w:id="49" w:name="_Toc337546865"/>
      <w:r w:rsidRPr="00136D50">
        <w:t>A</w:t>
      </w:r>
      <w:r w:rsidR="00D7751F" w:rsidRPr="00136D50">
        <w:t>.</w:t>
      </w:r>
      <w:r w:rsidRPr="00136D50">
        <w:t>1</w:t>
      </w:r>
      <w:r w:rsidR="00121231" w:rsidRPr="00136D50">
        <w:tab/>
      </w:r>
      <w:r w:rsidR="00FF05EE" w:rsidRPr="00136D50">
        <w:t xml:space="preserve">Requested </w:t>
      </w:r>
      <w:r w:rsidR="00FA5500" w:rsidRPr="00136D50">
        <w:t>M</w:t>
      </w:r>
      <w:r w:rsidR="00FF05EE" w:rsidRPr="00136D50">
        <w:t xml:space="preserve">BS listing and </w:t>
      </w:r>
      <w:bookmarkEnd w:id="45"/>
      <w:bookmarkEnd w:id="46"/>
      <w:bookmarkEnd w:id="47"/>
      <w:bookmarkEnd w:id="48"/>
      <w:r w:rsidR="00D035F9" w:rsidRPr="00136D50">
        <w:t>details of the intervention</w:t>
      </w:r>
      <w:bookmarkEnd w:id="49"/>
    </w:p>
    <w:p w:rsidR="000B2CBF" w:rsidRDefault="000B2CBF" w:rsidP="005D1FFA">
      <w:r>
        <w:t>This</w:t>
      </w:r>
      <w:r w:rsidRPr="00397CE8">
        <w:t xml:space="preserve"> application </w:t>
      </w:r>
      <w:r>
        <w:t xml:space="preserve">is seeking </w:t>
      </w:r>
      <w:r w:rsidRPr="00397CE8">
        <w:t>Medicare Benefits Schedule (MBS) listing of</w:t>
      </w:r>
      <w:r w:rsidRPr="000B2CBF">
        <w:t xml:space="preserve"> </w:t>
      </w:r>
      <w:r w:rsidR="0021724B">
        <w:t xml:space="preserve">cell enrichment </w:t>
      </w:r>
      <w:r w:rsidRPr="000B2CBF">
        <w:t xml:space="preserve">liquid-based cytology </w:t>
      </w:r>
      <w:r w:rsidR="0021724B">
        <w:t>(LBC) for cervical cancer screening.</w:t>
      </w:r>
    </w:p>
    <w:p w:rsidR="00136D50" w:rsidRDefault="000B2CBF" w:rsidP="005D1FFA">
      <w:r>
        <w:t>In Australia, cervical cytology is routinely undertaken using the conventional Papanicolaou (Pap) smear</w:t>
      </w:r>
      <w:r w:rsidR="0083297B">
        <w:t xml:space="preserve"> or test</w:t>
      </w:r>
      <w:r>
        <w:t xml:space="preserve"> (also referred to as conventional cytology</w:t>
      </w:r>
      <w:r w:rsidR="005D1FFA">
        <w:t>,</w:t>
      </w:r>
      <w:r>
        <w:t xml:space="preserve"> </w:t>
      </w:r>
      <w:r w:rsidR="005D1FFA">
        <w:t>CC,</w:t>
      </w:r>
      <w:r w:rsidR="00BD5CD5">
        <w:t xml:space="preserve"> </w:t>
      </w:r>
      <w:r>
        <w:t xml:space="preserve">in this document). </w:t>
      </w:r>
      <w:r w:rsidR="00136D50">
        <w:t xml:space="preserve">In line with the </w:t>
      </w:r>
      <w:r w:rsidR="00136D50" w:rsidRPr="00136D50">
        <w:t>Natio</w:t>
      </w:r>
      <w:r w:rsidR="00BD5CD5">
        <w:t>nal Cervical Screening Program</w:t>
      </w:r>
      <w:r w:rsidR="00136D50">
        <w:t xml:space="preserve"> </w:t>
      </w:r>
      <w:r w:rsidR="0088469A">
        <w:t xml:space="preserve">(NSCP) </w:t>
      </w:r>
      <w:r w:rsidR="00136D50">
        <w:t>c</w:t>
      </w:r>
      <w:r w:rsidR="00136D50" w:rsidRPr="00136D50">
        <w:t xml:space="preserve">ervical cytology tests are recommended every two years starting at 18 </w:t>
      </w:r>
      <w:r w:rsidR="00BD5CD5">
        <w:t xml:space="preserve">years of age </w:t>
      </w:r>
      <w:r w:rsidR="00136D50" w:rsidRPr="00136D50">
        <w:t xml:space="preserve">(or two years after first sexual intercourse, whichever occurs first) and ceasing at </w:t>
      </w:r>
      <w:r w:rsidR="00673EC8" w:rsidRPr="00673EC8">
        <w:t>69</w:t>
      </w:r>
      <w:r w:rsidR="00136D50" w:rsidRPr="00673EC8">
        <w:t xml:space="preserve"> years</w:t>
      </w:r>
      <w:r w:rsidR="00BD5CD5" w:rsidRPr="00673EC8">
        <w:t xml:space="preserve"> of age</w:t>
      </w:r>
      <w:r w:rsidR="00136D50" w:rsidRPr="00673EC8">
        <w:t>.</w:t>
      </w:r>
    </w:p>
    <w:p w:rsidR="0037031D" w:rsidRDefault="0037031D" w:rsidP="005D1FFA">
      <w:r>
        <w:t>The</w:t>
      </w:r>
      <w:r w:rsidR="00743935">
        <w:t xml:space="preserve"> </w:t>
      </w:r>
      <w:r w:rsidR="0088469A">
        <w:t>cell enrichment</w:t>
      </w:r>
      <w:r w:rsidRPr="0037031D">
        <w:t xml:space="preserve"> </w:t>
      </w:r>
      <w:r w:rsidR="0083297B">
        <w:t xml:space="preserve">LBC </w:t>
      </w:r>
      <w:r w:rsidRPr="0037031D">
        <w:t xml:space="preserve">test </w:t>
      </w:r>
      <w:r>
        <w:t>is</w:t>
      </w:r>
      <w:r w:rsidRPr="0037031D">
        <w:t xml:space="preserve"> an alternative </w:t>
      </w:r>
      <w:r w:rsidR="00743935">
        <w:t>method of preparing a P</w:t>
      </w:r>
      <w:r>
        <w:t>ap smear</w:t>
      </w:r>
      <w:r w:rsidR="0083297B">
        <w:t xml:space="preserve"> test</w:t>
      </w:r>
      <w:r>
        <w:t xml:space="preserve">. </w:t>
      </w:r>
      <w:r w:rsidRPr="0037031D">
        <w:t xml:space="preserve">This </w:t>
      </w:r>
      <w:r>
        <w:t>submission</w:t>
      </w:r>
      <w:r w:rsidRPr="0037031D">
        <w:t xml:space="preserve"> refers to the assessment of </w:t>
      </w:r>
      <w:r w:rsidR="004D5A34">
        <w:t>cell enrichment</w:t>
      </w:r>
      <w:r w:rsidRPr="0037031D">
        <w:t xml:space="preserve"> LBC system, also referred to in the document as </w:t>
      </w:r>
      <w:r w:rsidR="00775777">
        <w:t>SureP</w:t>
      </w:r>
      <w:r w:rsidR="004D5A34">
        <w:t>ath™</w:t>
      </w:r>
      <w:r w:rsidRPr="0037031D">
        <w:t>. It encompasses both manual and automated reading methods of the slides.</w:t>
      </w:r>
    </w:p>
    <w:p w:rsidR="00136D50" w:rsidRPr="00136D50" w:rsidRDefault="00136D50" w:rsidP="00136D50">
      <w:pPr>
        <w:pStyle w:val="Heading30"/>
      </w:pPr>
      <w:bookmarkStart w:id="50" w:name="_Toc316369883"/>
      <w:bookmarkStart w:id="51" w:name="_Toc337546866"/>
      <w:r>
        <w:t>A.1.1</w:t>
      </w:r>
      <w:r>
        <w:tab/>
      </w:r>
      <w:bookmarkEnd w:id="50"/>
      <w:r w:rsidR="005D1FFA">
        <w:t>Health technology assessment</w:t>
      </w:r>
      <w:r w:rsidR="00B05F8B">
        <w:t xml:space="preserve"> </w:t>
      </w:r>
      <w:r w:rsidR="00210DF9">
        <w:t>bac</w:t>
      </w:r>
      <w:r w:rsidR="00210DF9" w:rsidRPr="00136D50">
        <w:rPr>
          <w:i/>
        </w:rPr>
        <w:t>k</w:t>
      </w:r>
      <w:r w:rsidR="00210DF9">
        <w:t>ground</w:t>
      </w:r>
      <w:bookmarkEnd w:id="51"/>
    </w:p>
    <w:p w:rsidR="00330CE8" w:rsidRDefault="004D5A34" w:rsidP="00330CE8">
      <w:r>
        <w:t>The Australian Medical Services Advisory Committee (</w:t>
      </w:r>
      <w:r w:rsidR="00583406" w:rsidRPr="00583406">
        <w:t>MSAC</w:t>
      </w:r>
      <w:r>
        <w:t>)</w:t>
      </w:r>
      <w:r w:rsidR="00583406" w:rsidRPr="00583406">
        <w:t xml:space="preserve"> has reviewed LBC </w:t>
      </w:r>
      <w:r w:rsidR="008E497A">
        <w:t xml:space="preserve">for cervical screening </w:t>
      </w:r>
      <w:r w:rsidR="00583406" w:rsidRPr="00583406">
        <w:t xml:space="preserve">twice before. </w:t>
      </w:r>
      <w:r w:rsidR="00BD5CD5">
        <w:t>The first review concluded that “</w:t>
      </w:r>
      <w:r w:rsidR="00583406" w:rsidRPr="00583406">
        <w:t xml:space="preserve">there is currently insufficient evidence pertaining to </w:t>
      </w:r>
      <w:r w:rsidR="005E0D57">
        <w:t>liquid-based</w:t>
      </w:r>
      <w:r w:rsidR="00583406" w:rsidRPr="00583406">
        <w:t xml:space="preserve"> cytology for cervical screening</w:t>
      </w:r>
      <w:r w:rsidR="00BD5CD5">
        <w:t>”</w:t>
      </w:r>
      <w:r w:rsidR="00583406" w:rsidRPr="00583406">
        <w:t>’ (</w:t>
      </w:r>
      <w:r>
        <w:t>MSAC</w:t>
      </w:r>
      <w:r w:rsidR="00583406" w:rsidRPr="00583406">
        <w:t xml:space="preserve"> </w:t>
      </w:r>
      <w:r w:rsidR="003B4263">
        <w:t>12a assessment report August 2002</w:t>
      </w:r>
      <w:r w:rsidR="00583406" w:rsidRPr="00583406">
        <w:t xml:space="preserve">). The second review </w:t>
      </w:r>
      <w:r w:rsidR="003B4263">
        <w:t xml:space="preserve">(MSAC 1122 assessment report March </w:t>
      </w:r>
      <w:r w:rsidR="00902BC8">
        <w:t>2009</w:t>
      </w:r>
      <w:r w:rsidR="00330CE8" w:rsidRPr="00583406">
        <w:t>)</w:t>
      </w:r>
      <w:r w:rsidR="00583406" w:rsidRPr="00583406">
        <w:t xml:space="preserve"> </w:t>
      </w:r>
      <w:r w:rsidR="00BD5CD5">
        <w:t xml:space="preserve">concluded that </w:t>
      </w:r>
      <w:r w:rsidR="00123496">
        <w:t xml:space="preserve">LBC </w:t>
      </w:r>
      <w:r w:rsidR="00BD5CD5">
        <w:t>compared with</w:t>
      </w:r>
      <w:r w:rsidR="00330CE8">
        <w:t xml:space="preserve"> conventional cytology:</w:t>
      </w:r>
    </w:p>
    <w:p w:rsidR="00330CE8" w:rsidRDefault="005D1FFA" w:rsidP="00123496">
      <w:pPr>
        <w:pStyle w:val="Bulletedbodytext"/>
      </w:pPr>
      <w:r>
        <w:t>i</w:t>
      </w:r>
      <w:r w:rsidR="00123496">
        <w:t xml:space="preserve">s </w:t>
      </w:r>
      <w:r w:rsidR="00BD5CD5">
        <w:t>safe</w:t>
      </w:r>
    </w:p>
    <w:p w:rsidR="00330CE8" w:rsidRDefault="00123496" w:rsidP="00123496">
      <w:pPr>
        <w:pStyle w:val="Bulletedbodytext"/>
      </w:pPr>
      <w:r>
        <w:t>p</w:t>
      </w:r>
      <w:r w:rsidR="00330CE8">
        <w:t>rovides no statistically significant increas</w:t>
      </w:r>
      <w:r w:rsidR="00BD5CD5">
        <w:t>e in sensitivity or specificity</w:t>
      </w:r>
    </w:p>
    <w:p w:rsidR="00330CE8" w:rsidRDefault="00123496" w:rsidP="00123496">
      <w:pPr>
        <w:pStyle w:val="Bulletedbodytext"/>
      </w:pPr>
      <w:r>
        <w:t>p</w:t>
      </w:r>
      <w:r w:rsidR="00330CE8">
        <w:t>rovides no statistically significant difference in sensitivity (high-grade s</w:t>
      </w:r>
      <w:r w:rsidR="006B13B0">
        <w:t>quamous intraepithelial lesion (HSIL)</w:t>
      </w:r>
      <w:r w:rsidR="00330CE8">
        <w:t>, low-grade s</w:t>
      </w:r>
      <w:r w:rsidR="006B13B0">
        <w:t>quamous intraepithelial lesion (LSIL)</w:t>
      </w:r>
      <w:r w:rsidR="00330CE8">
        <w:t xml:space="preserve"> or possible</w:t>
      </w:r>
      <w:r w:rsidR="00330CE8" w:rsidRPr="00330CE8">
        <w:t xml:space="preserve"> </w:t>
      </w:r>
      <w:r w:rsidR="00330CE8">
        <w:t>low-grade s</w:t>
      </w:r>
      <w:r w:rsidR="006B13B0">
        <w:t>quamous intraepithelial lesion (pLSIL)</w:t>
      </w:r>
      <w:r w:rsidR="00330CE8">
        <w:t xml:space="preserve"> thresholds) or specificity (HSIL or LSIL threshol</w:t>
      </w:r>
      <w:r>
        <w:t>ds</w:t>
      </w:r>
      <w:r w:rsidR="006B13B0">
        <w:t>)</w:t>
      </w:r>
      <w:r>
        <w:t xml:space="preserve">) for the detection of </w:t>
      </w:r>
      <w:r w:rsidR="006B13B0">
        <w:t>cervical intraepithelial neoplasia grade</w:t>
      </w:r>
      <w:r>
        <w:t xml:space="preserve"> 2</w:t>
      </w:r>
      <w:r w:rsidR="006B13B0">
        <w:t xml:space="preserve"> or higher (CIN 2+)</w:t>
      </w:r>
      <w:r>
        <w:t>+</w:t>
      </w:r>
    </w:p>
    <w:p w:rsidR="00330CE8" w:rsidRDefault="00123496" w:rsidP="00123496">
      <w:pPr>
        <w:pStyle w:val="Bulletedbodytext"/>
      </w:pPr>
      <w:r>
        <w:t>r</w:t>
      </w:r>
      <w:r w:rsidR="00330CE8">
        <w:t xml:space="preserve">educes the specificity for the detection of </w:t>
      </w:r>
      <w:r w:rsidR="001B4D68">
        <w:t>CIN</w:t>
      </w:r>
      <w:r>
        <w:t xml:space="preserve"> 2+ at a threshold of pLSIL</w:t>
      </w:r>
    </w:p>
    <w:p w:rsidR="00330CE8" w:rsidRDefault="00123496" w:rsidP="00123496">
      <w:pPr>
        <w:pStyle w:val="Bulletedbodytext"/>
      </w:pPr>
      <w:r>
        <w:t>c</w:t>
      </w:r>
      <w:r w:rsidR="00330CE8">
        <w:t xml:space="preserve">lassifies more slides as positive for </w:t>
      </w:r>
      <w:r w:rsidR="007508D9">
        <w:t>LSIL</w:t>
      </w:r>
    </w:p>
    <w:p w:rsidR="00330CE8" w:rsidRDefault="00123496" w:rsidP="00123496">
      <w:pPr>
        <w:pStyle w:val="Bulletedbodytext"/>
      </w:pPr>
      <w:r>
        <w:t>r</w:t>
      </w:r>
      <w:r w:rsidR="00330CE8">
        <w:t>educes the rate of unsatisfactory smears; and</w:t>
      </w:r>
    </w:p>
    <w:p w:rsidR="00330CE8" w:rsidRDefault="00123496" w:rsidP="00123496">
      <w:pPr>
        <w:pStyle w:val="Bulletedbodytext"/>
      </w:pPr>
      <w:proofErr w:type="gramStart"/>
      <w:r>
        <w:lastRenderedPageBreak/>
        <w:t>h</w:t>
      </w:r>
      <w:r w:rsidR="00330CE8">
        <w:t>as</w:t>
      </w:r>
      <w:proofErr w:type="gramEnd"/>
      <w:r w:rsidR="00330CE8">
        <w:t xml:space="preserve"> a high cost-effectiveness ratio which appears to be </w:t>
      </w:r>
      <w:r w:rsidR="00330CE8" w:rsidRPr="00210DF9">
        <w:rPr>
          <w:lang w:val="en-AU"/>
        </w:rPr>
        <w:t>unfavourable</w:t>
      </w:r>
      <w:r w:rsidR="00330CE8">
        <w:t xml:space="preserve"> in the current Australian setting.</w:t>
      </w:r>
    </w:p>
    <w:p w:rsidR="001873A8" w:rsidRDefault="001873A8" w:rsidP="001873A8">
      <w:pPr>
        <w:pStyle w:val="Bulletedbodytext"/>
        <w:numPr>
          <w:ilvl w:val="0"/>
          <w:numId w:val="0"/>
        </w:numPr>
      </w:pPr>
      <w:r>
        <w:t xml:space="preserve">Furthermore the MSAC review found that Automation-assisted reading of LBC slides with the </w:t>
      </w:r>
      <w:r w:rsidR="0025779E">
        <w:t>ThinPrepImager system</w:t>
      </w:r>
      <w:r w:rsidR="001A3CFB">
        <w:t xml:space="preserve"> </w:t>
      </w:r>
      <w:r>
        <w:t>compared to manual reading of conventional cytology</w:t>
      </w:r>
    </w:p>
    <w:p w:rsidR="001873A8" w:rsidRDefault="001873A8" w:rsidP="001873A8">
      <w:pPr>
        <w:pStyle w:val="Bulletedbodytext"/>
      </w:pPr>
      <w:r>
        <w:t>is safe</w:t>
      </w:r>
    </w:p>
    <w:p w:rsidR="001873A8" w:rsidRDefault="001873A8" w:rsidP="001873A8">
      <w:pPr>
        <w:pStyle w:val="Bulletedbodytext"/>
      </w:pPr>
      <w:r>
        <w:t>detects at least as many CIN 2+ lesions, and may detect more</w:t>
      </w:r>
    </w:p>
    <w:p w:rsidR="001873A8" w:rsidRDefault="001873A8" w:rsidP="001873A8">
      <w:pPr>
        <w:pStyle w:val="Bulletedbodytext"/>
      </w:pPr>
      <w:r>
        <w:t>increases the number of slides classified as having low-grade lesions on cytology</w:t>
      </w:r>
    </w:p>
    <w:p w:rsidR="001873A8" w:rsidRDefault="001873A8" w:rsidP="001873A8">
      <w:pPr>
        <w:pStyle w:val="Bulletedbodytext"/>
      </w:pPr>
      <w:r>
        <w:t>reduces the rate of unsatisfactory slides</w:t>
      </w:r>
    </w:p>
    <w:p w:rsidR="001873A8" w:rsidRDefault="001873A8" w:rsidP="001873A8">
      <w:pPr>
        <w:pStyle w:val="Bulletedbodytext"/>
      </w:pPr>
      <w:r>
        <w:t>reduces slide processing time</w:t>
      </w:r>
    </w:p>
    <w:p w:rsidR="007F13EE" w:rsidRDefault="007F13EE" w:rsidP="007F13EE">
      <w:pPr>
        <w:pStyle w:val="Bulletedbodytext"/>
      </w:pPr>
      <w:r>
        <w:t>has a high cost-effectiveness ratio which appears to be unfavourable in the current Australian setting</w:t>
      </w:r>
    </w:p>
    <w:p w:rsidR="002352A9" w:rsidRDefault="002352A9" w:rsidP="00330CE8">
      <w:r>
        <w:t>In addition</w:t>
      </w:r>
      <w:r w:rsidR="00123496">
        <w:t>,</w:t>
      </w:r>
      <w:r>
        <w:t xml:space="preserve"> other international </w:t>
      </w:r>
      <w:r w:rsidR="005D1FFA">
        <w:t>health technology assessment (</w:t>
      </w:r>
      <w:r>
        <w:t>HTA</w:t>
      </w:r>
      <w:r w:rsidR="005D1FFA">
        <w:t>)</w:t>
      </w:r>
      <w:r>
        <w:t xml:space="preserve"> agencies have review</w:t>
      </w:r>
      <w:r w:rsidR="00123496">
        <w:t>ed</w:t>
      </w:r>
      <w:r>
        <w:t xml:space="preserve"> LBC</w:t>
      </w:r>
      <w:r w:rsidR="00941EC6">
        <w:t xml:space="preserve"> for cervical cancer screening.</w:t>
      </w:r>
    </w:p>
    <w:p w:rsidR="00941EC6" w:rsidRPr="008B3AD3" w:rsidRDefault="00941EC6" w:rsidP="00F553DD">
      <w:r>
        <w:t>The first UK HTA report for LBC in cervical cancer screening was publishe</w:t>
      </w:r>
      <w:r w:rsidR="005D1FFA">
        <w:t xml:space="preserve">d in January 2000 (Payne </w:t>
      </w:r>
      <w:r>
        <w:t xml:space="preserve">2000). The National Institute for Excellence (NICE) rejected the report on the basis that although LBC </w:t>
      </w:r>
      <w:r w:rsidRPr="008B3AD3">
        <w:t>“could provide sig</w:t>
      </w:r>
      <w:r>
        <w:t>nificant and important benefits</w:t>
      </w:r>
      <w:r w:rsidRPr="008B3AD3">
        <w:t xml:space="preserve">… [The] quality </w:t>
      </w:r>
      <w:r>
        <w:t>of the evidence is variable and</w:t>
      </w:r>
      <w:r w:rsidRPr="008B3AD3">
        <w:t>…</w:t>
      </w:r>
      <w:r>
        <w:t xml:space="preserve"> </w:t>
      </w:r>
      <w:r w:rsidRPr="008B3AD3">
        <w:t>there is insuf</w:t>
      </w:r>
      <w:r>
        <w:t xml:space="preserve">ficient evidence to justify the </w:t>
      </w:r>
      <w:r w:rsidRPr="008B3AD3">
        <w:t>nationwide introdu</w:t>
      </w:r>
      <w:r>
        <w:t xml:space="preserve">ction of LBC technology at this </w:t>
      </w:r>
      <w:r w:rsidRPr="008B3AD3">
        <w:t>time”</w:t>
      </w:r>
      <w:r w:rsidR="005D1FFA">
        <w:t xml:space="preserve"> (Karnon</w:t>
      </w:r>
      <w:r>
        <w:t xml:space="preserve"> 2004)</w:t>
      </w:r>
      <w:r w:rsidRPr="008B3AD3">
        <w:t>.</w:t>
      </w:r>
      <w:r>
        <w:t xml:space="preserve"> A second HTA report was subsequently published resulting in a positive recommendation by NICE in October 2003. LBC is </w:t>
      </w:r>
      <w:r w:rsidRPr="008B3AD3">
        <w:t>the primary means of pro</w:t>
      </w:r>
      <w:r>
        <w:t xml:space="preserve">cessing samples in the cervical </w:t>
      </w:r>
      <w:r w:rsidR="00123496">
        <w:t>screening program</w:t>
      </w:r>
      <w:r w:rsidRPr="008B3AD3">
        <w:t xml:space="preserve"> in England and Wales.</w:t>
      </w:r>
      <w:r>
        <w:t xml:space="preserve"> No distinction between automated and manual processing was documented in the guidance published by NICE, although evaluation of automated technologies for the analysis of cervical samples was recommended for future</w:t>
      </w:r>
      <w:r w:rsidR="003B2F96">
        <w:t xml:space="preserve"> research (NICE Guidance on LBC</w:t>
      </w:r>
      <w:r>
        <w:t xml:space="preserve"> 2003).</w:t>
      </w:r>
    </w:p>
    <w:p w:rsidR="00941EC6" w:rsidRDefault="00941EC6" w:rsidP="00F553DD">
      <w:r>
        <w:t xml:space="preserve">In November 2003, the </w:t>
      </w:r>
      <w:r w:rsidRPr="00CA4F2E">
        <w:t>Canadian Coordinating Office for Health Technology Assessment</w:t>
      </w:r>
      <w:r>
        <w:t xml:space="preserve"> (CCOHTA) published a HTA report reviewing b</w:t>
      </w:r>
      <w:r w:rsidR="00123496">
        <w:t xml:space="preserve">oth LBC and </w:t>
      </w:r>
      <w:r w:rsidR="005D1FFA">
        <w:t>human papillomavirus (</w:t>
      </w:r>
      <w:r w:rsidR="00123496">
        <w:t>HPV</w:t>
      </w:r>
      <w:r w:rsidR="005D1FFA">
        <w:t>)</w:t>
      </w:r>
      <w:r w:rsidR="00123496">
        <w:t xml:space="preserve"> in comparison with</w:t>
      </w:r>
      <w:r>
        <w:t xml:space="preserve"> conventional Pap smears for cervical cancer screening. A s</w:t>
      </w:r>
      <w:r w:rsidR="00F553DD">
        <w:t>econdary systematic review and c</w:t>
      </w:r>
      <w:r>
        <w:t xml:space="preserve">ost-effectiveness analysis was published in February 2008 by the Canadian Agency for Drugs and Technologies in Health (CADTH). These reports were considered by provincial and territorial health ministries in Canada and formed the evidence-base for the recommendations on the delivery of </w:t>
      </w:r>
      <w:r w:rsidRPr="00CE3B74">
        <w:t>cervical cancer screening within the Canadian health system</w:t>
      </w:r>
      <w:r>
        <w:t>.</w:t>
      </w:r>
      <w:r w:rsidR="001E569B">
        <w:t xml:space="preserve"> Whilst the use of semi-automated LBC screening is discussed in the Canadian HTA assessments, no formal recommendation is given for either </w:t>
      </w:r>
      <w:r w:rsidR="00EF6859">
        <w:t>manual</w:t>
      </w:r>
      <w:r w:rsidR="001E569B">
        <w:t xml:space="preserve"> or semi-automated cytology processing.</w:t>
      </w:r>
    </w:p>
    <w:p w:rsidR="00B05F8B" w:rsidRPr="003B2F96" w:rsidRDefault="00B05F8B" w:rsidP="00B05F8B">
      <w:pPr>
        <w:pStyle w:val="Heading30"/>
      </w:pPr>
      <w:bookmarkStart w:id="52" w:name="_Toc337546867"/>
      <w:r>
        <w:lastRenderedPageBreak/>
        <w:t>A.1.2</w:t>
      </w:r>
      <w:r>
        <w:tab/>
      </w:r>
      <w:r w:rsidR="005D1FFA">
        <w:t>Cervical c</w:t>
      </w:r>
      <w:r>
        <w:t xml:space="preserve">ancer </w:t>
      </w:r>
      <w:r w:rsidR="005D1FFA">
        <w:t>and s</w:t>
      </w:r>
      <w:r w:rsidR="001B4D68">
        <w:t xml:space="preserve">creening </w:t>
      </w:r>
      <w:r w:rsidR="005D1FFA">
        <w:t>b</w:t>
      </w:r>
      <w:r w:rsidR="003B2F96">
        <w:t>ackground</w:t>
      </w:r>
      <w:bookmarkEnd w:id="52"/>
    </w:p>
    <w:p w:rsidR="002352A9" w:rsidRDefault="00B05F8B" w:rsidP="00B266B0">
      <w:r>
        <w:t xml:space="preserve">The </w:t>
      </w:r>
      <w:r w:rsidR="004D5A34">
        <w:t>NCSP</w:t>
      </w:r>
      <w:r>
        <w:t xml:space="preserve"> was established in Australia in 1991 to identify and treat women with precancerous cervical intraepithelial neoplasia (CIN) before it progresses to invasive cancer. Cervical cytolo</w:t>
      </w:r>
      <w:r w:rsidR="00123496">
        <w:t>gy tests are recommended every two</w:t>
      </w:r>
      <w:r>
        <w:t xml:space="preserve"> years starting at age 18 to 20 years for asymptomatic, sexually active women (</w:t>
      </w:r>
      <w:r w:rsidR="006B13B0">
        <w:t xml:space="preserve">or within 1 to 2 years of </w:t>
      </w:r>
      <w:r>
        <w:t>becoming sexually active</w:t>
      </w:r>
      <w:r w:rsidR="000770B2">
        <w:t xml:space="preserve">) and ceasing at </w:t>
      </w:r>
      <w:r w:rsidR="000770B2" w:rsidRPr="00673EC8">
        <w:t xml:space="preserve">age </w:t>
      </w:r>
      <w:r w:rsidR="00673EC8" w:rsidRPr="00673EC8">
        <w:t>69</w:t>
      </w:r>
      <w:r w:rsidR="000770B2" w:rsidRPr="00673EC8">
        <w:t xml:space="preserve"> years</w:t>
      </w:r>
      <w:r>
        <w:t>. If the cytolog</w:t>
      </w:r>
      <w:r w:rsidR="00123496">
        <w:t>y results are suggestive of pre</w:t>
      </w:r>
      <w:r>
        <w:t xml:space="preserve">cancerous </w:t>
      </w:r>
      <w:r w:rsidR="00FB2F4A">
        <w:t xml:space="preserve">changes, women are referred for specialist </w:t>
      </w:r>
      <w:r>
        <w:t>histological diagnosis</w:t>
      </w:r>
      <w:r w:rsidR="00FB2F4A">
        <w:t xml:space="preserve">, </w:t>
      </w:r>
      <w:r w:rsidR="002352A9">
        <w:t>further follow up and appropriate treatment.</w:t>
      </w:r>
    </w:p>
    <w:p w:rsidR="00B266B0" w:rsidRDefault="00B266B0" w:rsidP="00022100">
      <w:r>
        <w:t>Different systems are used for classifying cytological and histological abnormalities in cervical screening. In Australia, cytological abnormalities are classified by using the Australian Modified Bethesda System (AMBS). Under this system, cytological abnormalities of squamous cells</w:t>
      </w:r>
      <w:r w:rsidR="00884DF5">
        <w:t xml:space="preserve"> are classified as </w:t>
      </w:r>
      <w:r w:rsidR="003B2F96">
        <w:t>high-grade squamous intraepithelial lesion (</w:t>
      </w:r>
      <w:r>
        <w:t>HSIL</w:t>
      </w:r>
      <w:r w:rsidR="003B2F96">
        <w:t>)</w:t>
      </w:r>
      <w:r>
        <w:t>, possible HSIL (pHSIL), LSIL or possible LSIL (pLSIL) (</w:t>
      </w:r>
      <w:r w:rsidR="00086C77">
        <w:fldChar w:fldCharType="begin"/>
      </w:r>
      <w:r w:rsidR="000770B2">
        <w:instrText xml:space="preserve"> REF _Ref333997383 \h </w:instrText>
      </w:r>
      <w:r w:rsidR="00086C77">
        <w:fldChar w:fldCharType="separate"/>
      </w:r>
      <w:r w:rsidR="003361A8">
        <w:t xml:space="preserve">Table </w:t>
      </w:r>
      <w:r w:rsidR="003361A8">
        <w:rPr>
          <w:noProof/>
        </w:rPr>
        <w:t>3</w:t>
      </w:r>
      <w:r w:rsidR="00086C77">
        <w:fldChar w:fldCharType="end"/>
      </w:r>
      <w:r>
        <w:t xml:space="preserve">). </w:t>
      </w:r>
      <w:r w:rsidR="00022100">
        <w:t>Cytological abnormalities of glandular cells are classified as atypical endocervical cells of undetermined significance, atypical glandular cells of undetermined significance (AGUS), possible high-grade glandular lesion, endocervical adenocarcinoma in situ (AIS)</w:t>
      </w:r>
      <w:r w:rsidR="00FB2F4A">
        <w:t>,</w:t>
      </w:r>
      <w:r w:rsidR="009073D9">
        <w:t xml:space="preserve"> and</w:t>
      </w:r>
      <w:r w:rsidR="00022100">
        <w:t xml:space="preserve"> adenocarcinoma.</w:t>
      </w:r>
      <w:r w:rsidR="00FB2F4A">
        <w:t xml:space="preserve"> </w:t>
      </w:r>
      <w:r>
        <w:t>The international literature most commonly uses the US Bethesda System</w:t>
      </w:r>
      <w:r w:rsidR="002D28E4">
        <w:t xml:space="preserve"> for classifying cervical cytology</w:t>
      </w:r>
      <w:r>
        <w:t xml:space="preserve">, which uses a slightly different terminology. </w:t>
      </w:r>
      <w:r w:rsidR="00623C1E">
        <w:t>Importantly</w:t>
      </w:r>
      <w:r w:rsidR="00FB2F4A">
        <w:t>,</w:t>
      </w:r>
      <w:r w:rsidR="00623C1E">
        <w:t xml:space="preserve"> </w:t>
      </w:r>
      <w:r>
        <w:t xml:space="preserve">pLSIL is equivalent to atypical squamous cells of undetermined </w:t>
      </w:r>
      <w:r w:rsidR="00022100">
        <w:t xml:space="preserve">significance (ASCUS) under the </w:t>
      </w:r>
      <w:r>
        <w:t>US Bethesda System (</w:t>
      </w:r>
      <w:r w:rsidR="00086C77">
        <w:fldChar w:fldCharType="begin"/>
      </w:r>
      <w:r w:rsidR="005D1FFA">
        <w:instrText xml:space="preserve"> REF _Ref333997383 \h </w:instrText>
      </w:r>
      <w:r w:rsidR="00086C77">
        <w:fldChar w:fldCharType="separate"/>
      </w:r>
      <w:r w:rsidR="003361A8">
        <w:t xml:space="preserve">Table </w:t>
      </w:r>
      <w:r w:rsidR="003361A8">
        <w:rPr>
          <w:noProof/>
        </w:rPr>
        <w:t>3</w:t>
      </w:r>
      <w:r w:rsidR="00086C77">
        <w:fldChar w:fldCharType="end"/>
      </w:r>
      <w:r>
        <w:t>).</w:t>
      </w:r>
    </w:p>
    <w:p w:rsidR="00B266B0" w:rsidRDefault="00623C1E" w:rsidP="00B266B0">
      <w:r>
        <w:t>As per the Australian National Health and Medical Research Counci</w:t>
      </w:r>
      <w:r w:rsidR="005222AE">
        <w:t>l</w:t>
      </w:r>
      <w:r>
        <w:t xml:space="preserve"> (NHMRC) Screening to Prevent Ce</w:t>
      </w:r>
      <w:r w:rsidR="005D1FFA">
        <w:t>rvical Cancer Guidelines (NHMRC</w:t>
      </w:r>
      <w:r>
        <w:t xml:space="preserve"> 2005), </w:t>
      </w:r>
      <w:r w:rsidR="00BA01A7">
        <w:t>w</w:t>
      </w:r>
      <w:r w:rsidR="00B266B0">
        <w:t>omen with HSIL are referred to a specialist for exami</w:t>
      </w:r>
      <w:r w:rsidR="005D1FFA">
        <w:t>nation of the cervix using a</w:t>
      </w:r>
      <w:r w:rsidR="00B266B0">
        <w:t xml:space="preserve"> co</w:t>
      </w:r>
      <w:r w:rsidR="005D1FFA">
        <w:t>lposcope (</w:t>
      </w:r>
      <w:r w:rsidR="00B266B0">
        <w:t>colposcopy</w:t>
      </w:r>
      <w:r w:rsidR="005D1FFA">
        <w:t>)</w:t>
      </w:r>
      <w:r w:rsidR="00B266B0">
        <w:t>. Abnormal lesions identified at colposcopy are biopsied and classified as</w:t>
      </w:r>
      <w:r w:rsidR="00F25250">
        <w:t xml:space="preserve"> CIN</w:t>
      </w:r>
      <w:r w:rsidR="00FB2F4A">
        <w:t xml:space="preserve"> grades 1 to </w:t>
      </w:r>
      <w:r w:rsidR="00B266B0">
        <w:t>3 on the basis of the histological findings (</w:t>
      </w:r>
      <w:r w:rsidR="00086C77">
        <w:fldChar w:fldCharType="begin"/>
      </w:r>
      <w:r w:rsidR="000770B2">
        <w:instrText xml:space="preserve"> REF _Ref333997406 \h </w:instrText>
      </w:r>
      <w:r w:rsidR="00086C77">
        <w:fldChar w:fldCharType="separate"/>
      </w:r>
      <w:r w:rsidR="003361A8">
        <w:t xml:space="preserve">Table </w:t>
      </w:r>
      <w:r w:rsidR="003361A8">
        <w:rPr>
          <w:noProof/>
        </w:rPr>
        <w:t>4</w:t>
      </w:r>
      <w:r w:rsidR="00086C77">
        <w:fldChar w:fldCharType="end"/>
      </w:r>
      <w:r w:rsidR="00B266B0">
        <w:t xml:space="preserve">). Although it was originally believed that neoplastic cellular changes occurred along a continuum from CIN 1 to 2 to 3, CIN 1 is now regarded as a manifestation of the HPV infective process, rather than as the first step in the neoplastic process. </w:t>
      </w:r>
    </w:p>
    <w:p w:rsidR="00B266B0" w:rsidRDefault="00B266B0" w:rsidP="00B266B0">
      <w:r>
        <w:t>HPV infection of the cervix is usually asymptomatic, and most infections are transient. HPV infection may not cause any change in cell morphology or it may cause the cytopathic effect previously recognised as mild dysplasia and classified as CIN 1. Thus, CIN 1 lesions are now monitored by repeat cytology with the expectation that the cellular changes will regress when HPV infection resolves. In a small proportion of women, persistent HPV infection may occur.</w:t>
      </w:r>
    </w:p>
    <w:p w:rsidR="00B266B0" w:rsidRDefault="00B266B0" w:rsidP="00022100">
      <w:r>
        <w:t>Persistent infection with oncogenic</w:t>
      </w:r>
      <w:r w:rsidR="0083297B">
        <w:t xml:space="preserve"> HPV</w:t>
      </w:r>
      <w:r>
        <w:t xml:space="preserve"> genotypes precedes precancerous changes, which are classified as CIN 2 (moderate dysplasia) or CIN 3 (severe dysplasia)</w:t>
      </w:r>
      <w:r w:rsidR="00BA01A7">
        <w:t xml:space="preserve"> </w:t>
      </w:r>
      <w:r w:rsidR="00FB2F4A">
        <w:t>(</w:t>
      </w:r>
      <w:r w:rsidR="00086C77">
        <w:fldChar w:fldCharType="begin"/>
      </w:r>
      <w:r w:rsidR="00BA01A7">
        <w:instrText xml:space="preserve"> REF _Ref333997406 \h </w:instrText>
      </w:r>
      <w:r w:rsidR="00086C77">
        <w:fldChar w:fldCharType="separate"/>
      </w:r>
      <w:r w:rsidR="003361A8">
        <w:t xml:space="preserve">Table </w:t>
      </w:r>
      <w:r w:rsidR="003361A8">
        <w:rPr>
          <w:noProof/>
        </w:rPr>
        <w:t>4</w:t>
      </w:r>
      <w:r w:rsidR="00086C77">
        <w:fldChar w:fldCharType="end"/>
      </w:r>
      <w:r w:rsidR="00FB2F4A">
        <w:t>)</w:t>
      </w:r>
      <w:r>
        <w:t xml:space="preserve">. These lesions are treated by ablative therapy to prevent progression to invasive cancer. It is now accepted that CIN 2 or </w:t>
      </w:r>
      <w:r w:rsidR="00FB2F4A">
        <w:t xml:space="preserve">CIN </w:t>
      </w:r>
      <w:r>
        <w:t>3 can occur de novo, rather than as a continu</w:t>
      </w:r>
      <w:r w:rsidR="00FB2F4A">
        <w:t>um from CIN 1 lesions. A trial-</w:t>
      </w:r>
      <w:r>
        <w:t xml:space="preserve">based quality </w:t>
      </w:r>
      <w:r>
        <w:lastRenderedPageBreak/>
        <w:t>control assessment of community pathology biopsy diagnoses has demonstrated that the detection of CIN 2 has poor reproducibility compared to the dete</w:t>
      </w:r>
      <w:r w:rsidR="00FB2F4A">
        <w:t>ction of CIN 3, with 56%</w:t>
      </w:r>
      <w:r>
        <w:t xml:space="preserve"> of 523 CIN 2 cases reclassified as CIN 3 (27%) or &lt; CIN 2 (29%) at the quality c</w:t>
      </w:r>
      <w:r w:rsidR="00F25250">
        <w:t xml:space="preserve">ontrol assessment (Castle </w:t>
      </w:r>
      <w:r>
        <w:t>2007). The authors suggested that this evidence indicates that CIN 2 represents a mix of HPV infection and CIN 3, and that CIN 3 is the true prec</w:t>
      </w:r>
      <w:r w:rsidR="00F25250">
        <w:t xml:space="preserve">ursor to cancer (Castle </w:t>
      </w:r>
      <w:r>
        <w:t>2007).</w:t>
      </w:r>
      <w:r w:rsidR="00022100">
        <w:t xml:space="preserve"> Women with CIN 3 have a 12% chance of progression and shou</w:t>
      </w:r>
      <w:r w:rsidR="00FB2F4A">
        <w:t>ld therefore be treated</w:t>
      </w:r>
      <w:r w:rsidR="00022100">
        <w:t xml:space="preserve"> to reduce their risk of developing </w:t>
      </w:r>
      <w:r w:rsidR="00FB2F4A">
        <w:t>squamous cell carcinoma (</w:t>
      </w:r>
      <w:r w:rsidR="00022100">
        <w:t>SCC</w:t>
      </w:r>
      <w:r w:rsidR="00FB2F4A">
        <w:t>)</w:t>
      </w:r>
      <w:r w:rsidR="00F25250">
        <w:t xml:space="preserve"> (NHMRC</w:t>
      </w:r>
      <w:r w:rsidR="00022100">
        <w:t xml:space="preserve"> 2005 p.53)</w:t>
      </w:r>
      <w:r w:rsidR="003B2F96">
        <w:t>.</w:t>
      </w:r>
    </w:p>
    <w:p w:rsidR="00B266B0" w:rsidRDefault="00BA01A7" w:rsidP="00B266B0">
      <w:r>
        <w:t>In Australia, w</w:t>
      </w:r>
      <w:r w:rsidR="00FB2F4A">
        <w:t xml:space="preserve">omen with </w:t>
      </w:r>
      <w:r w:rsidR="00B266B0">
        <w:t>cytological finding</w:t>
      </w:r>
      <w:r w:rsidR="00FB2F4A">
        <w:t>s</w:t>
      </w:r>
      <w:r w:rsidR="00B266B0">
        <w:t xml:space="preserve"> of pLSIL</w:t>
      </w:r>
      <w:r>
        <w:t xml:space="preserve"> or LSIL</w:t>
      </w:r>
      <w:r w:rsidR="00B266B0">
        <w:t xml:space="preserve"> are m</w:t>
      </w:r>
      <w:r w:rsidR="00FB2F4A">
        <w:t xml:space="preserve">anaged more conservatively; </w:t>
      </w:r>
      <w:r w:rsidR="00B266B0">
        <w:t xml:space="preserve">cervical cytology </w:t>
      </w:r>
      <w:r w:rsidR="00FB2F4A">
        <w:t xml:space="preserve">is </w:t>
      </w:r>
      <w:r w:rsidR="00B266B0">
        <w:t>repeated at 12 and 24 months and referral for colposcopy</w:t>
      </w:r>
      <w:r w:rsidR="00FB2F4A">
        <w:t xml:space="preserve"> is made</w:t>
      </w:r>
      <w:r w:rsidR="00B266B0">
        <w:t xml:space="preserve"> only if these lesions are persistent</w:t>
      </w:r>
      <w:r w:rsidR="006C25B2">
        <w:rPr>
          <w:rStyle w:val="FootnoteReference"/>
        </w:rPr>
        <w:footnoteReference w:id="1"/>
      </w:r>
      <w:r w:rsidR="00B266B0">
        <w:t>, because the majority represent an infective process due to HPV and will resolve spontaneously without treatmen</w:t>
      </w:r>
      <w:r w:rsidR="00FB2F4A">
        <w:t>t</w:t>
      </w:r>
      <w:r w:rsidR="000704A6">
        <w:t>(</w:t>
      </w:r>
      <w:r w:rsidR="00086C77">
        <w:fldChar w:fldCharType="begin"/>
      </w:r>
      <w:r w:rsidR="000704A6">
        <w:instrText xml:space="preserve"> REF _Ref336434683 \h </w:instrText>
      </w:r>
      <w:r w:rsidR="00086C77">
        <w:fldChar w:fldCharType="separate"/>
      </w:r>
      <w:r w:rsidR="003361A8">
        <w:t>Appendix A</w:t>
      </w:r>
      <w:r w:rsidR="00086C77">
        <w:fldChar w:fldCharType="end"/>
      </w:r>
      <w:r w:rsidR="000704A6">
        <w:t>)</w:t>
      </w:r>
      <w:r w:rsidR="00FB2F4A">
        <w:t>. However, around 20%</w:t>
      </w:r>
      <w:r w:rsidR="00B266B0">
        <w:t xml:space="preserve"> of </w:t>
      </w:r>
      <w:r w:rsidR="00F25250">
        <w:t>women with LSIL</w:t>
      </w:r>
      <w:r w:rsidR="00FB2F4A">
        <w:t xml:space="preserve"> will be confirmed as CIN 2 to CIN </w:t>
      </w:r>
      <w:r w:rsidR="00B266B0">
        <w:t xml:space="preserve">3 at histology if immediate colposcopy and biopsy are performed (pooled prevalence from </w:t>
      </w:r>
      <w:r w:rsidR="00FB2F4A">
        <w:t xml:space="preserve">10 studies: 18.8% [95% CI 1.24% to </w:t>
      </w:r>
      <w:r w:rsidR="00F25250">
        <w:t xml:space="preserve">25.2%]; Arbyn </w:t>
      </w:r>
      <w:r w:rsidR="00B266B0">
        <w:t>2006).</w:t>
      </w:r>
    </w:p>
    <w:p w:rsidR="000770B2" w:rsidRDefault="000770B2" w:rsidP="000770B2">
      <w:pPr>
        <w:pStyle w:val="Caption"/>
      </w:pPr>
      <w:bookmarkStart w:id="53" w:name="_Ref333997383"/>
      <w:bookmarkStart w:id="54" w:name="_Toc335665969"/>
      <w:bookmarkStart w:id="55" w:name="_Toc337546940"/>
      <w:r>
        <w:t xml:space="preserve">Table </w:t>
      </w:r>
      <w:fldSimple w:instr=" SEQ Table \* ARABIC ">
        <w:r w:rsidR="003361A8">
          <w:rPr>
            <w:noProof/>
          </w:rPr>
          <w:t>3</w:t>
        </w:r>
      </w:fldSimple>
      <w:bookmarkEnd w:id="53"/>
      <w:r>
        <w:tab/>
        <w:t>Comparison of the Australian</w:t>
      </w:r>
      <w:r w:rsidR="00F25250">
        <w:t xml:space="preserve"> Modified Bethesda System (2004)</w:t>
      </w:r>
      <w:r>
        <w:t xml:space="preserve"> a</w:t>
      </w:r>
      <w:r w:rsidR="00F25250">
        <w:t>nd the US Bethesda System</w:t>
      </w:r>
      <w:r w:rsidR="00FB2F4A">
        <w:t xml:space="preserve"> </w:t>
      </w:r>
      <w:r w:rsidR="00F25250">
        <w:t>(</w:t>
      </w:r>
      <w:r w:rsidR="00FB2F4A">
        <w:t>2001</w:t>
      </w:r>
      <w:r w:rsidR="00F25250">
        <w:t>)</w:t>
      </w:r>
      <w:bookmarkEnd w:id="54"/>
      <w:bookmarkEnd w:id="5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99"/>
        <w:gridCol w:w="4644"/>
      </w:tblGrid>
      <w:tr w:rsidR="00B266B0" w:rsidTr="00F25250">
        <w:tc>
          <w:tcPr>
            <w:tcW w:w="2488" w:type="pct"/>
          </w:tcPr>
          <w:p w:rsidR="00B266B0" w:rsidRPr="00B43B48" w:rsidRDefault="00A100EE" w:rsidP="00B266B0">
            <w:pPr>
              <w:pStyle w:val="Tabletext"/>
              <w:rPr>
                <w:b/>
              </w:rPr>
            </w:pPr>
            <w:r>
              <w:rPr>
                <w:b/>
              </w:rPr>
              <w:t>AMBS</w:t>
            </w:r>
          </w:p>
        </w:tc>
        <w:tc>
          <w:tcPr>
            <w:tcW w:w="2512" w:type="pct"/>
          </w:tcPr>
          <w:p w:rsidR="00B266B0" w:rsidRPr="00B43B48" w:rsidRDefault="000770B2" w:rsidP="00B266B0">
            <w:pPr>
              <w:pStyle w:val="Tabletext"/>
              <w:rPr>
                <w:b/>
              </w:rPr>
            </w:pPr>
            <w:r w:rsidRPr="00B43B48">
              <w:rPr>
                <w:b/>
              </w:rPr>
              <w:t>US Bethesda System</w:t>
            </w:r>
          </w:p>
        </w:tc>
      </w:tr>
      <w:tr w:rsidR="006D6657" w:rsidTr="00F25250">
        <w:tc>
          <w:tcPr>
            <w:tcW w:w="5000" w:type="pct"/>
            <w:gridSpan w:val="2"/>
          </w:tcPr>
          <w:p w:rsidR="006D6657" w:rsidRDefault="006D6657" w:rsidP="00B266B0">
            <w:pPr>
              <w:pStyle w:val="Tabletext"/>
            </w:pPr>
            <w:r w:rsidRPr="00B43B48">
              <w:rPr>
                <w:b/>
              </w:rPr>
              <w:t>Squamous abnormalities</w:t>
            </w:r>
          </w:p>
        </w:tc>
      </w:tr>
      <w:tr w:rsidR="00B266B0" w:rsidTr="00F25250">
        <w:tc>
          <w:tcPr>
            <w:tcW w:w="2488" w:type="pct"/>
          </w:tcPr>
          <w:p w:rsidR="00B266B0" w:rsidRDefault="00B266B0" w:rsidP="00B266B0">
            <w:pPr>
              <w:pStyle w:val="Tabletext"/>
            </w:pPr>
            <w:r w:rsidRPr="00B266B0">
              <w:t>Possible low-grade squamous intraepithelial lesion (pLSIL)</w:t>
            </w:r>
          </w:p>
        </w:tc>
        <w:tc>
          <w:tcPr>
            <w:tcW w:w="2512" w:type="pct"/>
          </w:tcPr>
          <w:p w:rsidR="00B266B0" w:rsidRDefault="00B266B0" w:rsidP="000770B2">
            <w:pPr>
              <w:pStyle w:val="Tabletext"/>
            </w:pPr>
            <w:r>
              <w:t>Atypical squamous cells, undetermined significance</w:t>
            </w:r>
            <w:r w:rsidR="000770B2">
              <w:t xml:space="preserve"> </w:t>
            </w:r>
            <w:r>
              <w:t>(ASCUS)</w:t>
            </w:r>
          </w:p>
        </w:tc>
      </w:tr>
      <w:tr w:rsidR="00B266B0" w:rsidTr="00F25250">
        <w:tc>
          <w:tcPr>
            <w:tcW w:w="2488" w:type="pct"/>
          </w:tcPr>
          <w:p w:rsidR="00B266B0" w:rsidRDefault="00B266B0" w:rsidP="00B266B0">
            <w:pPr>
              <w:pStyle w:val="Tabletext"/>
            </w:pPr>
            <w:r w:rsidRPr="00B266B0">
              <w:t>Low-grade squamous intraepithelial lesion (LSIL)</w:t>
            </w:r>
          </w:p>
        </w:tc>
        <w:tc>
          <w:tcPr>
            <w:tcW w:w="2512" w:type="pct"/>
          </w:tcPr>
          <w:p w:rsidR="00B266B0" w:rsidRDefault="00B266B0" w:rsidP="00B266B0">
            <w:pPr>
              <w:pStyle w:val="Tabletext"/>
            </w:pPr>
            <w:r w:rsidRPr="00B266B0">
              <w:t>Low-grade squamous intraepithelial lesion</w:t>
            </w:r>
          </w:p>
        </w:tc>
      </w:tr>
      <w:tr w:rsidR="00B266B0" w:rsidTr="00F25250">
        <w:tc>
          <w:tcPr>
            <w:tcW w:w="2488" w:type="pct"/>
          </w:tcPr>
          <w:p w:rsidR="00B266B0" w:rsidRDefault="00B266B0" w:rsidP="00B266B0">
            <w:pPr>
              <w:pStyle w:val="Tabletext"/>
            </w:pPr>
            <w:r w:rsidRPr="00B266B0">
              <w:t>Possible high-grade squamous intraepithelial lesion (pHSIL)</w:t>
            </w:r>
          </w:p>
        </w:tc>
        <w:tc>
          <w:tcPr>
            <w:tcW w:w="2512" w:type="pct"/>
          </w:tcPr>
          <w:p w:rsidR="00B266B0" w:rsidRDefault="00B266B0" w:rsidP="000770B2">
            <w:pPr>
              <w:pStyle w:val="Tabletext"/>
            </w:pPr>
            <w:r>
              <w:t>Atypical squamous cells, possible high-grade lesion</w:t>
            </w:r>
            <w:r w:rsidR="000770B2">
              <w:t xml:space="preserve"> </w:t>
            </w:r>
            <w:r>
              <w:t>(ASC-H)</w:t>
            </w:r>
          </w:p>
        </w:tc>
      </w:tr>
      <w:tr w:rsidR="00B266B0" w:rsidTr="00F25250">
        <w:tc>
          <w:tcPr>
            <w:tcW w:w="2488" w:type="pct"/>
          </w:tcPr>
          <w:p w:rsidR="00B266B0" w:rsidRDefault="00B266B0" w:rsidP="00B266B0">
            <w:pPr>
              <w:pStyle w:val="Tabletext"/>
            </w:pPr>
            <w:r w:rsidRPr="00B266B0">
              <w:t>High-grade squamous intraepithelial lesion (HSIL)</w:t>
            </w:r>
          </w:p>
        </w:tc>
        <w:tc>
          <w:tcPr>
            <w:tcW w:w="2512" w:type="pct"/>
          </w:tcPr>
          <w:p w:rsidR="00B266B0" w:rsidRDefault="00B266B0" w:rsidP="00B266B0">
            <w:pPr>
              <w:pStyle w:val="Tabletext"/>
            </w:pPr>
            <w:r w:rsidRPr="00B266B0">
              <w:t>High-grade squamous intraepithelial lesion</w:t>
            </w:r>
          </w:p>
        </w:tc>
      </w:tr>
      <w:tr w:rsidR="00B266B0" w:rsidTr="00F25250">
        <w:tc>
          <w:tcPr>
            <w:tcW w:w="2488" w:type="pct"/>
          </w:tcPr>
          <w:p w:rsidR="00B266B0" w:rsidRDefault="00B266B0" w:rsidP="00B266B0">
            <w:pPr>
              <w:pStyle w:val="Tabletext"/>
            </w:pPr>
            <w:r w:rsidRPr="00B266B0">
              <w:t>Squamous cell carcinoma (SCC)</w:t>
            </w:r>
          </w:p>
        </w:tc>
        <w:tc>
          <w:tcPr>
            <w:tcW w:w="2512" w:type="pct"/>
          </w:tcPr>
          <w:p w:rsidR="00B266B0" w:rsidRDefault="00B266B0" w:rsidP="00B266B0">
            <w:pPr>
              <w:pStyle w:val="Tabletext"/>
            </w:pPr>
            <w:r w:rsidRPr="00B266B0">
              <w:t>Squamous cell carcinoma</w:t>
            </w:r>
          </w:p>
        </w:tc>
      </w:tr>
      <w:tr w:rsidR="006D6657" w:rsidTr="00F25250">
        <w:tc>
          <w:tcPr>
            <w:tcW w:w="5000" w:type="pct"/>
            <w:gridSpan w:val="2"/>
          </w:tcPr>
          <w:p w:rsidR="006D6657" w:rsidRDefault="006D6657" w:rsidP="00B266B0">
            <w:pPr>
              <w:pStyle w:val="Tabletext"/>
            </w:pPr>
            <w:r w:rsidRPr="00B43B48">
              <w:rPr>
                <w:b/>
              </w:rPr>
              <w:t>Glandular abnormality</w:t>
            </w:r>
          </w:p>
        </w:tc>
      </w:tr>
      <w:tr w:rsidR="00B266B0" w:rsidTr="00F25250">
        <w:tc>
          <w:tcPr>
            <w:tcW w:w="2488" w:type="pct"/>
          </w:tcPr>
          <w:p w:rsidR="00B266B0" w:rsidRDefault="00B266B0" w:rsidP="00B266B0">
            <w:pPr>
              <w:pStyle w:val="Tabletext"/>
            </w:pPr>
            <w:r w:rsidRPr="00B266B0">
              <w:t>Atypical endocervical cells of undetermined significance</w:t>
            </w:r>
          </w:p>
        </w:tc>
        <w:tc>
          <w:tcPr>
            <w:tcW w:w="2512" w:type="pct"/>
          </w:tcPr>
          <w:p w:rsidR="00B266B0" w:rsidRDefault="000770B2" w:rsidP="000770B2">
            <w:pPr>
              <w:pStyle w:val="Tabletext"/>
            </w:pPr>
            <w:r>
              <w:t>Atypical endocervical cells, undetermined significance</w:t>
            </w:r>
          </w:p>
        </w:tc>
      </w:tr>
      <w:tr w:rsidR="00B266B0" w:rsidTr="00F25250">
        <w:tc>
          <w:tcPr>
            <w:tcW w:w="2488" w:type="pct"/>
          </w:tcPr>
          <w:p w:rsidR="00B266B0" w:rsidRDefault="00B266B0" w:rsidP="00B266B0">
            <w:pPr>
              <w:pStyle w:val="Tabletext"/>
            </w:pPr>
            <w:r w:rsidRPr="00B266B0">
              <w:t>Atypical glandular cells of undetermined significance (AGUS)</w:t>
            </w:r>
          </w:p>
        </w:tc>
        <w:tc>
          <w:tcPr>
            <w:tcW w:w="2512" w:type="pct"/>
          </w:tcPr>
          <w:p w:rsidR="00B266B0" w:rsidRDefault="000770B2" w:rsidP="00B266B0">
            <w:pPr>
              <w:pStyle w:val="Tabletext"/>
            </w:pPr>
            <w:r w:rsidRPr="000770B2">
              <w:t>Atypical glandular cells of undetermined significance</w:t>
            </w:r>
          </w:p>
        </w:tc>
      </w:tr>
      <w:tr w:rsidR="00B266B0" w:rsidTr="00F25250">
        <w:tc>
          <w:tcPr>
            <w:tcW w:w="2488" w:type="pct"/>
          </w:tcPr>
          <w:p w:rsidR="00B266B0" w:rsidRDefault="00B266B0" w:rsidP="00B266B0">
            <w:pPr>
              <w:pStyle w:val="Tabletext"/>
            </w:pPr>
            <w:r w:rsidRPr="00B266B0">
              <w:t>Possible high-grade glandular lesion</w:t>
            </w:r>
          </w:p>
        </w:tc>
        <w:tc>
          <w:tcPr>
            <w:tcW w:w="2512" w:type="pct"/>
          </w:tcPr>
          <w:p w:rsidR="00B266B0" w:rsidRDefault="000770B2" w:rsidP="00B266B0">
            <w:pPr>
              <w:pStyle w:val="Tabletext"/>
            </w:pPr>
            <w:r w:rsidRPr="000770B2">
              <w:t>Atypical endocervical cells, possibly neoplastic</w:t>
            </w:r>
          </w:p>
        </w:tc>
      </w:tr>
      <w:tr w:rsidR="00B266B0" w:rsidTr="00F25250">
        <w:tc>
          <w:tcPr>
            <w:tcW w:w="2488" w:type="pct"/>
          </w:tcPr>
          <w:p w:rsidR="00B266B0" w:rsidRDefault="00B266B0" w:rsidP="00B266B0">
            <w:pPr>
              <w:pStyle w:val="Tabletext"/>
            </w:pPr>
            <w:r w:rsidRPr="00B266B0">
              <w:t>Endocervical adenocarcinoma in situ (AIS)</w:t>
            </w:r>
          </w:p>
        </w:tc>
        <w:tc>
          <w:tcPr>
            <w:tcW w:w="2512" w:type="pct"/>
          </w:tcPr>
          <w:p w:rsidR="00B266B0" w:rsidRDefault="000770B2" w:rsidP="00B266B0">
            <w:pPr>
              <w:pStyle w:val="Tabletext"/>
            </w:pPr>
            <w:r w:rsidRPr="000770B2">
              <w:t>Endocervical adenocarcinoma in situ</w:t>
            </w:r>
          </w:p>
        </w:tc>
      </w:tr>
      <w:tr w:rsidR="00B266B0" w:rsidTr="00F25250">
        <w:tc>
          <w:tcPr>
            <w:tcW w:w="2488" w:type="pct"/>
          </w:tcPr>
          <w:p w:rsidR="00B266B0" w:rsidRDefault="00B266B0" w:rsidP="00B266B0">
            <w:pPr>
              <w:pStyle w:val="Tabletext"/>
            </w:pPr>
            <w:r w:rsidRPr="00B266B0">
              <w:t>Adenocarcinoma</w:t>
            </w:r>
          </w:p>
        </w:tc>
        <w:tc>
          <w:tcPr>
            <w:tcW w:w="2512" w:type="pct"/>
          </w:tcPr>
          <w:p w:rsidR="00B266B0" w:rsidRDefault="000770B2" w:rsidP="00B266B0">
            <w:pPr>
              <w:pStyle w:val="Tabletext"/>
            </w:pPr>
            <w:r w:rsidRPr="000770B2">
              <w:t>Adenocarcinoma</w:t>
            </w:r>
          </w:p>
        </w:tc>
      </w:tr>
      <w:tr w:rsidR="000770B2" w:rsidTr="00F25250">
        <w:tc>
          <w:tcPr>
            <w:tcW w:w="5000" w:type="pct"/>
            <w:gridSpan w:val="2"/>
          </w:tcPr>
          <w:p w:rsidR="000770B2" w:rsidRDefault="000770B2" w:rsidP="003B4263">
            <w:pPr>
              <w:pStyle w:val="Tabletext"/>
            </w:pPr>
            <w:r w:rsidRPr="000770B2">
              <w:t xml:space="preserve">Source: </w:t>
            </w:r>
            <w:r w:rsidR="003B4263" w:rsidRPr="003B4263">
              <w:t>Australian NHMRC Screening to Prevent Cervical Cancer Guidelines, 2005</w:t>
            </w:r>
          </w:p>
        </w:tc>
      </w:tr>
    </w:tbl>
    <w:p w:rsidR="00B266B0" w:rsidRDefault="00B266B0" w:rsidP="00B266B0"/>
    <w:p w:rsidR="000770B2" w:rsidRDefault="000770B2" w:rsidP="000770B2">
      <w:pPr>
        <w:pStyle w:val="Caption"/>
      </w:pPr>
      <w:bookmarkStart w:id="56" w:name="_Ref333997406"/>
      <w:bookmarkStart w:id="57" w:name="_Toc335665970"/>
      <w:bookmarkStart w:id="58" w:name="_Toc337546941"/>
      <w:r>
        <w:lastRenderedPageBreak/>
        <w:t xml:space="preserve">Table </w:t>
      </w:r>
      <w:fldSimple w:instr=" SEQ Table \* ARABIC ">
        <w:r w:rsidR="003361A8">
          <w:rPr>
            <w:noProof/>
          </w:rPr>
          <w:t>4</w:t>
        </w:r>
      </w:fldSimple>
      <w:bookmarkEnd w:id="56"/>
      <w:r>
        <w:tab/>
        <w:t xml:space="preserve">Classification of histological abnormalities as grades of </w:t>
      </w:r>
      <w:r w:rsidR="001B4D68">
        <w:t>CIN</w:t>
      </w:r>
      <w:bookmarkEnd w:id="57"/>
      <w:bookmarkEnd w:id="5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8284"/>
      </w:tblGrid>
      <w:tr w:rsidR="000770B2" w:rsidRPr="006D6657" w:rsidTr="00B43B48">
        <w:tc>
          <w:tcPr>
            <w:tcW w:w="959" w:type="dxa"/>
          </w:tcPr>
          <w:p w:rsidR="000770B2" w:rsidRPr="006D6657" w:rsidRDefault="000770B2" w:rsidP="000770B2">
            <w:pPr>
              <w:pStyle w:val="Tabletext"/>
              <w:rPr>
                <w:b/>
              </w:rPr>
            </w:pPr>
            <w:r w:rsidRPr="006D6657">
              <w:rPr>
                <w:b/>
              </w:rPr>
              <w:t>Grade</w:t>
            </w:r>
          </w:p>
        </w:tc>
        <w:tc>
          <w:tcPr>
            <w:tcW w:w="8284" w:type="dxa"/>
          </w:tcPr>
          <w:p w:rsidR="000770B2" w:rsidRPr="006D6657" w:rsidRDefault="000770B2" w:rsidP="000770B2">
            <w:pPr>
              <w:pStyle w:val="Tabletext"/>
              <w:rPr>
                <w:b/>
              </w:rPr>
            </w:pPr>
            <w:r w:rsidRPr="006D6657">
              <w:rPr>
                <w:b/>
              </w:rPr>
              <w:t>Definition</w:t>
            </w:r>
          </w:p>
        </w:tc>
      </w:tr>
      <w:tr w:rsidR="000770B2" w:rsidTr="00B43B48">
        <w:tc>
          <w:tcPr>
            <w:tcW w:w="959" w:type="dxa"/>
          </w:tcPr>
          <w:p w:rsidR="000770B2" w:rsidRDefault="000770B2" w:rsidP="000770B2">
            <w:pPr>
              <w:pStyle w:val="Tabletext"/>
            </w:pPr>
            <w:r>
              <w:t>CIN 1</w:t>
            </w:r>
          </w:p>
        </w:tc>
        <w:tc>
          <w:tcPr>
            <w:tcW w:w="8284" w:type="dxa"/>
          </w:tcPr>
          <w:p w:rsidR="000770B2" w:rsidRDefault="000770B2" w:rsidP="000770B2">
            <w:pPr>
              <w:pStyle w:val="Tabletext"/>
            </w:pPr>
            <w:r w:rsidRPr="000770B2">
              <w:t>Mild dysplasia involving the basal 1/3 of the epithelium; an infective process</w:t>
            </w:r>
          </w:p>
        </w:tc>
      </w:tr>
      <w:tr w:rsidR="000770B2" w:rsidTr="00B43B48">
        <w:tc>
          <w:tcPr>
            <w:tcW w:w="959" w:type="dxa"/>
          </w:tcPr>
          <w:p w:rsidR="000770B2" w:rsidRDefault="000770B2" w:rsidP="000770B2">
            <w:pPr>
              <w:pStyle w:val="Tabletext"/>
            </w:pPr>
            <w:r>
              <w:t>CIN 2</w:t>
            </w:r>
          </w:p>
        </w:tc>
        <w:tc>
          <w:tcPr>
            <w:tcW w:w="8284" w:type="dxa"/>
          </w:tcPr>
          <w:p w:rsidR="000770B2" w:rsidRDefault="000770B2" w:rsidP="000770B2">
            <w:pPr>
              <w:pStyle w:val="Tabletext"/>
            </w:pPr>
            <w:r w:rsidRPr="000770B2">
              <w:t>Moderate dysplasia involving the basal 2/3 of the epithelium</w:t>
            </w:r>
          </w:p>
        </w:tc>
      </w:tr>
      <w:tr w:rsidR="000770B2" w:rsidTr="00B43B48">
        <w:tc>
          <w:tcPr>
            <w:tcW w:w="959" w:type="dxa"/>
          </w:tcPr>
          <w:p w:rsidR="000770B2" w:rsidRDefault="000770B2" w:rsidP="000770B2">
            <w:pPr>
              <w:pStyle w:val="Tabletext"/>
            </w:pPr>
            <w:r>
              <w:t xml:space="preserve">CIN 3 </w:t>
            </w:r>
          </w:p>
        </w:tc>
        <w:tc>
          <w:tcPr>
            <w:tcW w:w="8284" w:type="dxa"/>
          </w:tcPr>
          <w:p w:rsidR="000770B2" w:rsidRDefault="000770B2" w:rsidP="000770B2">
            <w:pPr>
              <w:pStyle w:val="Tabletext"/>
            </w:pPr>
            <w:r>
              <w:t>Severe dysplasia involving more than 2/3 of the cervical epithelium; also referred to as cervical cancer in</w:t>
            </w:r>
            <w:r w:rsidR="00FB2F4A">
              <w:t xml:space="preserve"> </w:t>
            </w:r>
            <w:r>
              <w:t>situ</w:t>
            </w:r>
          </w:p>
        </w:tc>
      </w:tr>
      <w:tr w:rsidR="006D6657" w:rsidTr="00FC7A74">
        <w:tc>
          <w:tcPr>
            <w:tcW w:w="9243" w:type="dxa"/>
            <w:gridSpan w:val="2"/>
          </w:tcPr>
          <w:p w:rsidR="006D6657" w:rsidRDefault="006D6657" w:rsidP="000770B2">
            <w:pPr>
              <w:pStyle w:val="Tabletext"/>
            </w:pPr>
            <w:r w:rsidRPr="000770B2">
              <w:t>Source:</w:t>
            </w:r>
            <w:r>
              <w:t xml:space="preserve"> MSAC 1122 assessment report March 2009</w:t>
            </w:r>
          </w:p>
        </w:tc>
      </w:tr>
    </w:tbl>
    <w:p w:rsidR="000770B2" w:rsidRDefault="000770B2" w:rsidP="00B266B0"/>
    <w:p w:rsidR="00B60787" w:rsidRDefault="00B60787" w:rsidP="00136D50">
      <w:pPr>
        <w:pStyle w:val="Heading20"/>
      </w:pPr>
      <w:bookmarkStart w:id="59" w:name="_Toc337546868"/>
      <w:r>
        <w:lastRenderedPageBreak/>
        <w:t>A.2</w:t>
      </w:r>
      <w:r>
        <w:tab/>
        <w:t>Indications and requested restrictions</w:t>
      </w:r>
      <w:bookmarkEnd w:id="59"/>
    </w:p>
    <w:p w:rsidR="00583406" w:rsidRDefault="00583406" w:rsidP="00583406">
      <w:pPr>
        <w:pStyle w:val="Heading30"/>
      </w:pPr>
      <w:bookmarkStart w:id="60" w:name="_Toc337546869"/>
      <w:r>
        <w:t>A.2.1.</w:t>
      </w:r>
      <w:r>
        <w:tab/>
        <w:t>Existing arrangements</w:t>
      </w:r>
      <w:bookmarkEnd w:id="60"/>
    </w:p>
    <w:p w:rsidR="00583406" w:rsidRDefault="00583406" w:rsidP="006D6657">
      <w:pPr>
        <w:keepNext/>
      </w:pPr>
      <w:r>
        <w:t>C</w:t>
      </w:r>
      <w:r w:rsidR="00743935">
        <w:t>onventional P</w:t>
      </w:r>
      <w:r w:rsidRPr="00583406">
        <w:t>ap smears are reimbursed by Medicare (MBS item numbers 73053, 73055, 73057)</w:t>
      </w:r>
      <w:r w:rsidR="00F25250">
        <w:t xml:space="preserve"> and</w:t>
      </w:r>
      <w:r w:rsidR="00EF6859" w:rsidRPr="00583406">
        <w:t xml:space="preserve"> </w:t>
      </w:r>
      <w:r w:rsidR="00EF6859">
        <w:t>are</w:t>
      </w:r>
      <w:r w:rsidR="00EF6859" w:rsidRPr="00583406">
        <w:t xml:space="preserve"> a stand-alone primary screenin</w:t>
      </w:r>
      <w:r w:rsidR="00F25250">
        <w:t xml:space="preserve">g test </w:t>
      </w:r>
      <w:r w:rsidRPr="00583406">
        <w:t>commonly administered within the context of a medical consul</w:t>
      </w:r>
      <w:r w:rsidR="00F25250">
        <w:t xml:space="preserve">tation (MBS Item 3, 23, 36, 44), </w:t>
      </w:r>
      <w:r w:rsidR="0028751E">
        <w:t xml:space="preserve">administered by </w:t>
      </w:r>
      <w:r w:rsidRPr="00583406">
        <w:t>qualified health professionals (MBS Item 52, 53, 54, 57) or</w:t>
      </w:r>
      <w:r w:rsidR="00F25250">
        <w:t xml:space="preserve"> provided</w:t>
      </w:r>
      <w:r w:rsidRPr="00583406">
        <w:t xml:space="preserve"> in the context of a specialist appointment (MBS Item 104</w:t>
      </w:r>
      <w:r w:rsidR="003D4360">
        <w:t xml:space="preserve"> </w:t>
      </w:r>
      <w:r w:rsidRPr="00583406">
        <w:t>,</w:t>
      </w:r>
      <w:r w:rsidR="00F25250">
        <w:t>105). A colposcopy</w:t>
      </w:r>
      <w:r w:rsidRPr="00583406">
        <w:t xml:space="preserve"> </w:t>
      </w:r>
      <w:r w:rsidR="00F25250">
        <w:t>and referral to a specialist</w:t>
      </w:r>
      <w:r w:rsidRPr="00583406">
        <w:t xml:space="preserve"> may be indicated following any abnormal test result from the initial screen.</w:t>
      </w:r>
    </w:p>
    <w:p w:rsidR="00583406" w:rsidRDefault="00086C77" w:rsidP="006D6657">
      <w:pPr>
        <w:keepNext/>
      </w:pPr>
      <w:r>
        <w:fldChar w:fldCharType="begin"/>
      </w:r>
      <w:r w:rsidR="00F25250">
        <w:instrText xml:space="preserve"> REF _Ref335579829 \h </w:instrText>
      </w:r>
      <w:r>
        <w:fldChar w:fldCharType="separate"/>
      </w:r>
      <w:r w:rsidR="003361A8">
        <w:t xml:space="preserve">Table </w:t>
      </w:r>
      <w:r w:rsidR="003361A8">
        <w:rPr>
          <w:noProof/>
        </w:rPr>
        <w:t>5</w:t>
      </w:r>
      <w:r>
        <w:fldChar w:fldCharType="end"/>
      </w:r>
      <w:r w:rsidR="00F25250">
        <w:t xml:space="preserve"> lists</w:t>
      </w:r>
      <w:r w:rsidR="00583406" w:rsidRPr="00583406">
        <w:t xml:space="preserve"> the current MBS item descriptors for </w:t>
      </w:r>
      <w:r w:rsidR="0028751E">
        <w:t>conventional Pap smears</w:t>
      </w:r>
      <w:r w:rsidR="00583406" w:rsidRPr="00583406">
        <w:t>.</w:t>
      </w:r>
    </w:p>
    <w:p w:rsidR="00583406" w:rsidRDefault="00583406" w:rsidP="00583406">
      <w:pPr>
        <w:pStyle w:val="Caption"/>
      </w:pPr>
      <w:bookmarkStart w:id="61" w:name="_Ref335579829"/>
      <w:bookmarkStart w:id="62" w:name="_Toc331766446"/>
      <w:bookmarkStart w:id="63" w:name="_Toc335665971"/>
      <w:bookmarkStart w:id="64" w:name="_Toc337546942"/>
      <w:r>
        <w:t xml:space="preserve">Table </w:t>
      </w:r>
      <w:fldSimple w:instr=" SEQ Table \* ARABIC ">
        <w:r w:rsidR="003361A8">
          <w:rPr>
            <w:noProof/>
          </w:rPr>
          <w:t>5</w:t>
        </w:r>
      </w:fldSimple>
      <w:bookmarkEnd w:id="61"/>
      <w:r>
        <w:tab/>
      </w:r>
      <w:r w:rsidRPr="00583406">
        <w:t xml:space="preserve">Current MBS item descriptor for </w:t>
      </w:r>
      <w:bookmarkEnd w:id="62"/>
      <w:r w:rsidR="0028751E">
        <w:t>conventional Pap smears</w:t>
      </w:r>
      <w:bookmarkEnd w:id="63"/>
      <w:bookmarkEnd w:id="6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583406" w:rsidRPr="006D6657" w:rsidTr="006D6657">
        <w:tc>
          <w:tcPr>
            <w:tcW w:w="5000" w:type="pct"/>
          </w:tcPr>
          <w:p w:rsidR="00583406" w:rsidRPr="006D6657" w:rsidRDefault="006D6657" w:rsidP="006D6657">
            <w:pPr>
              <w:pStyle w:val="Tabletext"/>
              <w:rPr>
                <w:b/>
              </w:rPr>
            </w:pPr>
            <w:r>
              <w:rPr>
                <w:b/>
              </w:rPr>
              <w:t>Category 6—</w:t>
            </w:r>
            <w:r w:rsidR="00583406" w:rsidRPr="006D6657">
              <w:rPr>
                <w:b/>
              </w:rPr>
              <w:t>Pathology Services (Cytology)</w:t>
            </w:r>
          </w:p>
        </w:tc>
      </w:tr>
      <w:tr w:rsidR="00583406" w:rsidTr="006D6657">
        <w:tc>
          <w:tcPr>
            <w:tcW w:w="5000" w:type="pct"/>
          </w:tcPr>
          <w:p w:rsidR="00583406" w:rsidRPr="006D6657" w:rsidRDefault="00583406" w:rsidP="006D6657">
            <w:pPr>
              <w:pStyle w:val="Tabletext"/>
              <w:rPr>
                <w:b/>
              </w:rPr>
            </w:pPr>
            <w:r w:rsidRPr="006D6657">
              <w:rPr>
                <w:b/>
              </w:rPr>
              <w:t>MBS 73053</w:t>
            </w:r>
          </w:p>
          <w:p w:rsidR="00583406" w:rsidRDefault="00583406" w:rsidP="006D6657">
            <w:pPr>
              <w:pStyle w:val="Tabletext"/>
            </w:pPr>
            <w:r>
              <w:t>Cytology of a smear from cervix where the smear is prepared by direct application of the specimen to a slide, excluding the use of liquid-based slide preparation techniques, and the stained smear is microscopically examined by or on behalf of a pathologist - each examination</w:t>
            </w:r>
          </w:p>
          <w:p w:rsidR="00583406" w:rsidRDefault="00583406" w:rsidP="006D6657">
            <w:pPr>
              <w:pStyle w:val="Tabletext"/>
            </w:pPr>
            <w:r>
              <w:t>(a) for the detection of precancerous or cancerous changes in women with no symptoms, signs or recent history suggestive of cervical neoplasia</w:t>
            </w:r>
            <w:r w:rsidR="0028751E">
              <w:t>;</w:t>
            </w:r>
            <w:r>
              <w:t xml:space="preserve"> or</w:t>
            </w:r>
          </w:p>
          <w:p w:rsidR="00583406" w:rsidRDefault="00583406" w:rsidP="006D6657">
            <w:pPr>
              <w:pStyle w:val="Tabletext"/>
            </w:pPr>
            <w:r>
              <w:t>(b) if a further specimen is taken due to an unsatisfactory smear taken f</w:t>
            </w:r>
            <w:r w:rsidR="0028751E">
              <w:t>or the purposes of paragraph</w:t>
            </w:r>
            <w:r>
              <w:t>;</w:t>
            </w:r>
            <w:r w:rsidR="0028751E">
              <w:t xml:space="preserve"> </w:t>
            </w:r>
            <w:r>
              <w:t>or</w:t>
            </w:r>
          </w:p>
          <w:p w:rsidR="00583406" w:rsidRDefault="00583406" w:rsidP="006D6657">
            <w:pPr>
              <w:pStyle w:val="Tabletext"/>
            </w:pPr>
            <w:r>
              <w:t>(c) if there is inadequate information provided to use item 73055;</w:t>
            </w:r>
          </w:p>
          <w:p w:rsidR="00583406" w:rsidRDefault="00583406" w:rsidP="006D6657">
            <w:pPr>
              <w:pStyle w:val="Tabletext"/>
            </w:pPr>
            <w:r>
              <w:t>(See para P16.11 of explanatory notes to this Category)</w:t>
            </w:r>
          </w:p>
          <w:p w:rsidR="00583406" w:rsidRDefault="00583406" w:rsidP="006D6657">
            <w:pPr>
              <w:pStyle w:val="Tabletext"/>
            </w:pPr>
            <w:r>
              <w:t>Fee: $19.60 Benefit: 75%</w:t>
            </w:r>
            <w:r w:rsidR="005E0D57">
              <w:t>=</w:t>
            </w:r>
            <w:r>
              <w:t>$14.70 85%</w:t>
            </w:r>
            <w:r w:rsidR="005E0D57">
              <w:t>=</w:t>
            </w:r>
            <w:r>
              <w:t>$16.70</w:t>
            </w:r>
          </w:p>
        </w:tc>
      </w:tr>
      <w:tr w:rsidR="00583406" w:rsidTr="006D6657">
        <w:tc>
          <w:tcPr>
            <w:tcW w:w="5000" w:type="pct"/>
          </w:tcPr>
          <w:p w:rsidR="00583406" w:rsidRPr="006D6657" w:rsidRDefault="00583406" w:rsidP="006D6657">
            <w:pPr>
              <w:pStyle w:val="Tabletext"/>
              <w:rPr>
                <w:b/>
              </w:rPr>
            </w:pPr>
            <w:r w:rsidRPr="006D6657">
              <w:rPr>
                <w:b/>
              </w:rPr>
              <w:t>MBS 73055</w:t>
            </w:r>
          </w:p>
          <w:p w:rsidR="00583406" w:rsidRDefault="00583406" w:rsidP="006D6657">
            <w:pPr>
              <w:pStyle w:val="Tabletext"/>
            </w:pPr>
            <w:r>
              <w:t>Cytology of a smear from cervix, not associated with item 73053, where the smear is prepared by direct application of the specimen to a slide, excluding the use of liquid-based slide preparation techniques, and the stained smear is microscopically examined by or on behalf of a pathologist - each test</w:t>
            </w:r>
          </w:p>
          <w:p w:rsidR="00583406" w:rsidRDefault="00583406" w:rsidP="006D6657">
            <w:pPr>
              <w:pStyle w:val="Tabletext"/>
            </w:pPr>
            <w:r>
              <w:t>(a) for the management of previously detected abnormalities including precancerous or cancerous conditions; or</w:t>
            </w:r>
          </w:p>
          <w:p w:rsidR="00583406" w:rsidRDefault="00583406" w:rsidP="006D6657">
            <w:pPr>
              <w:pStyle w:val="Tabletext"/>
            </w:pPr>
            <w:r>
              <w:t>(b) for the investigation of women with symptoms, signs or recent history suggestive of cervical neoplasia;</w:t>
            </w:r>
          </w:p>
          <w:p w:rsidR="00583406" w:rsidRDefault="00583406" w:rsidP="006D6657">
            <w:pPr>
              <w:pStyle w:val="Tabletext"/>
            </w:pPr>
            <w:r>
              <w:t>(see para 16.11 of explanatory notes to this Category)</w:t>
            </w:r>
          </w:p>
          <w:p w:rsidR="00583406" w:rsidRDefault="00583406" w:rsidP="006D6657">
            <w:pPr>
              <w:pStyle w:val="Tabletext"/>
            </w:pPr>
            <w:r>
              <w:t>Fee: $19.60 Benefit: 75%</w:t>
            </w:r>
            <w:r w:rsidR="005E0D57">
              <w:t>=</w:t>
            </w:r>
            <w:r>
              <w:t>$14.70 85%</w:t>
            </w:r>
            <w:r w:rsidR="005E0D57">
              <w:t>=</w:t>
            </w:r>
            <w:r>
              <w:t>$16.70</w:t>
            </w:r>
          </w:p>
        </w:tc>
      </w:tr>
      <w:tr w:rsidR="00583406" w:rsidTr="006D6657">
        <w:tc>
          <w:tcPr>
            <w:tcW w:w="5000" w:type="pct"/>
          </w:tcPr>
          <w:p w:rsidR="00583406" w:rsidRPr="006D6657" w:rsidRDefault="00583406" w:rsidP="006D6657">
            <w:pPr>
              <w:pStyle w:val="Tabletext"/>
              <w:rPr>
                <w:b/>
              </w:rPr>
            </w:pPr>
            <w:r w:rsidRPr="006D6657">
              <w:rPr>
                <w:b/>
              </w:rPr>
              <w:t>MBS 73057</w:t>
            </w:r>
          </w:p>
          <w:p w:rsidR="00583406" w:rsidRDefault="00583406" w:rsidP="006D6657">
            <w:pPr>
              <w:pStyle w:val="Tabletext"/>
            </w:pPr>
            <w:r>
              <w:t xml:space="preserve">Cytology of smears from </w:t>
            </w:r>
            <w:proofErr w:type="gramStart"/>
            <w:r>
              <w:t>vagina,</w:t>
            </w:r>
            <w:proofErr w:type="gramEnd"/>
            <w:r>
              <w:t xml:space="preserve"> not associated with item 73053 or 73055 and not to monitor hormone replacement therapy, where the smear is prepared by direct application of the specimen to a slide, excluding the use of </w:t>
            </w:r>
            <w:r w:rsidR="005E0D57">
              <w:t>liquid-based</w:t>
            </w:r>
            <w:r>
              <w:t xml:space="preserve"> slide preparation techniques, and the stained smear is microscopically examined by or on behalf of a pathologist - each test.</w:t>
            </w:r>
          </w:p>
          <w:p w:rsidR="00583406" w:rsidRDefault="00583406" w:rsidP="006D6657">
            <w:pPr>
              <w:pStyle w:val="Tabletext"/>
            </w:pPr>
            <w:r>
              <w:t>(See para P16.11 of explanatory notes to this Category)</w:t>
            </w:r>
          </w:p>
          <w:p w:rsidR="00583406" w:rsidRDefault="00583406" w:rsidP="006D6657">
            <w:pPr>
              <w:pStyle w:val="Tabletext"/>
            </w:pPr>
            <w:r>
              <w:t>Fee: $19.60 Benefit: 75%</w:t>
            </w:r>
            <w:r w:rsidR="005E0D57">
              <w:t>=</w:t>
            </w:r>
            <w:r>
              <w:t>$14.70 85%</w:t>
            </w:r>
            <w:r w:rsidR="005E0D57">
              <w:t>=</w:t>
            </w:r>
            <w:r>
              <w:t>$16.70</w:t>
            </w:r>
          </w:p>
        </w:tc>
      </w:tr>
      <w:tr w:rsidR="00583406" w:rsidTr="006D6657">
        <w:tc>
          <w:tcPr>
            <w:tcW w:w="5000" w:type="pct"/>
          </w:tcPr>
          <w:p w:rsidR="00583406" w:rsidRPr="006D6657" w:rsidRDefault="00583406" w:rsidP="006D6657">
            <w:pPr>
              <w:pStyle w:val="Tabletext"/>
              <w:rPr>
                <w:b/>
              </w:rPr>
            </w:pPr>
            <w:r w:rsidRPr="006D6657">
              <w:rPr>
                <w:b/>
              </w:rPr>
              <w:t>Explanatory notes for above items:</w:t>
            </w:r>
          </w:p>
          <w:p w:rsidR="00583406" w:rsidRDefault="00583406" w:rsidP="006D6657">
            <w:pPr>
              <w:pStyle w:val="Tabletext"/>
            </w:pPr>
            <w:r>
              <w:t>P16.11: Item 73053 applies to the cytological examination of cervical smears collected from women with no symptoms, signs or recent history suggestive of cervical neoplasia as part of routine, biennial examination for the detection of pre-cancerous or cancerous changes. This item also applies to smears repeated due to an unsatisfactory routine smear, or if there is inadequate information provided to use item 73055.</w:t>
            </w:r>
          </w:p>
          <w:p w:rsidR="00583406" w:rsidRDefault="00583406" w:rsidP="006D6657">
            <w:pPr>
              <w:pStyle w:val="Tabletext"/>
            </w:pPr>
            <w:r>
              <w:t>Cytological examinations carried out under item 73053 should be in accordance with the agreed National Policy on Screening for the Prevention of Cervical Cancer. This policy provides for:</w:t>
            </w:r>
          </w:p>
          <w:p w:rsidR="00583406" w:rsidRDefault="00583406" w:rsidP="006D6657">
            <w:pPr>
              <w:pStyle w:val="Tabletext"/>
            </w:pPr>
            <w:r>
              <w:t xml:space="preserve">(i) an examination interval of two years for women who have no symptoms or history suggestive of abnormal cervical cytology, commencing between the ages of 18 to 20 years, or one to two years after first sexual intercourse, whichever is </w:t>
            </w:r>
            <w:r>
              <w:lastRenderedPageBreak/>
              <w:t>later; and</w:t>
            </w:r>
          </w:p>
          <w:p w:rsidR="00583406" w:rsidRDefault="00583406" w:rsidP="006D6657">
            <w:pPr>
              <w:pStyle w:val="Tabletext"/>
            </w:pPr>
            <w:r>
              <w:t xml:space="preserve">(ii) </w:t>
            </w:r>
            <w:proofErr w:type="gramStart"/>
            <w:r>
              <w:t>cessation</w:t>
            </w:r>
            <w:proofErr w:type="gramEnd"/>
            <w:r>
              <w:t xml:space="preserve"> of cervical smears at 70 years for women who have had two normal results within the last five years. Women over 70 who have never been examined, or who request a cervical smear, should be examined.</w:t>
            </w:r>
          </w:p>
          <w:p w:rsidR="00583406" w:rsidRDefault="00583406" w:rsidP="006D6657">
            <w:pPr>
              <w:pStyle w:val="Tabletext"/>
            </w:pPr>
            <w:r>
              <w:t>This policy has been endorsed by the Royal Australian College of General Practitioners, the Royal Australian College of Obstetricians and Gynaecologists, The Royal College of Pathologists of Australasia, the Australian Cancer Society and the National Health and Medical Research Council.</w:t>
            </w:r>
          </w:p>
          <w:p w:rsidR="00583406" w:rsidRDefault="00583406" w:rsidP="006D6657">
            <w:pPr>
              <w:pStyle w:val="Tabletext"/>
            </w:pPr>
            <w:r>
              <w:t xml:space="preserve">The Health Insurance Act 1973 excludes payment of Medicare benefits for health screening services except where Ministerial directions have been issued to enable benefits to be paid, such as the </w:t>
            </w:r>
            <w:r w:rsidR="00743935">
              <w:t>Pap</w:t>
            </w:r>
            <w:r>
              <w:t>anicolaou test. As there is now an established policy which has the support of the relevant professional bodies, routine screening in accordance with the policy will be regarded as good medical practice.</w:t>
            </w:r>
          </w:p>
          <w:p w:rsidR="00583406" w:rsidRDefault="00583406" w:rsidP="006D6657">
            <w:pPr>
              <w:pStyle w:val="Tabletext"/>
            </w:pPr>
            <w:r>
              <w:t>The screening policy will not be used as a basis for determining eligibility for benefits. However, the policy will be used as a guide for reviewing practitioner profiles.</w:t>
            </w:r>
          </w:p>
          <w:p w:rsidR="00583406" w:rsidRDefault="00583406" w:rsidP="006D6657">
            <w:pPr>
              <w:pStyle w:val="Tabletext"/>
            </w:pPr>
            <w:r>
              <w:t>Item 73055 applies to cervical cytological examinations where the smear has been collected for the purpose of management, follow up or investigation of a previous abnormal cytology report, or collected from women with symptoms, signs or recent history suggestive of abnormal cervical cytology.</w:t>
            </w:r>
          </w:p>
          <w:p w:rsidR="00583406" w:rsidRDefault="00583406" w:rsidP="006D6657">
            <w:pPr>
              <w:pStyle w:val="Tabletext"/>
            </w:pPr>
            <w:r>
              <w:t>Items 73057 applies to all vaginal cytological examinations, whether for a routine examination or for the follow up or management of a previously detected abnormal smear.</w:t>
            </w:r>
          </w:p>
          <w:p w:rsidR="00583406" w:rsidRDefault="00583406" w:rsidP="006D6657">
            <w:pPr>
              <w:pStyle w:val="Tabletext"/>
            </w:pPr>
            <w:r>
              <w:t>For cervical smears, treating practitioners are asked to clearly identify on the request form to the pathologist, by item number, if the smear has been taken as a routine examination or for the management of a previously detected abnormality.</w:t>
            </w:r>
          </w:p>
          <w:p w:rsidR="00583406" w:rsidRDefault="00583406" w:rsidP="006D6657">
            <w:pPr>
              <w:pStyle w:val="Tabletext"/>
            </w:pPr>
            <w:r>
              <w:t>Related Items: 73053, 73055, 73057</w:t>
            </w:r>
          </w:p>
        </w:tc>
      </w:tr>
    </w:tbl>
    <w:p w:rsidR="00583406" w:rsidRDefault="00583406" w:rsidP="00583406"/>
    <w:p w:rsidR="00583406" w:rsidRPr="00583406" w:rsidRDefault="00583406" w:rsidP="00583406">
      <w:pPr>
        <w:pStyle w:val="Heading30"/>
      </w:pPr>
      <w:bookmarkStart w:id="65" w:name="_Toc316369886"/>
      <w:bookmarkStart w:id="66" w:name="_Toc337546870"/>
      <w:r>
        <w:t>A.2.</w:t>
      </w:r>
      <w:r w:rsidR="008434A3">
        <w:t>2</w:t>
      </w:r>
      <w:r>
        <w:tab/>
        <w:t>Marketing status</w:t>
      </w:r>
      <w:bookmarkEnd w:id="65"/>
      <w:r>
        <w:t xml:space="preserve"> of LBC</w:t>
      </w:r>
      <w:bookmarkEnd w:id="66"/>
    </w:p>
    <w:p w:rsidR="00583406" w:rsidRDefault="00AF4FAB" w:rsidP="00583406">
      <w:r>
        <w:t>The only cell enrichment LBC product</w:t>
      </w:r>
      <w:r w:rsidR="006D6657">
        <w:t xml:space="preserve"> available in Australia is SureP</w:t>
      </w:r>
      <w:r>
        <w:t>ath™ (</w:t>
      </w:r>
      <w:r w:rsidR="001A3CFB">
        <w:t>supplied by</w:t>
      </w:r>
      <w:r>
        <w:t xml:space="preserve"> Becton Dickinson Pty Ltd [BD]). </w:t>
      </w:r>
      <w:r w:rsidR="00583406" w:rsidRPr="006D0526">
        <w:t xml:space="preserve">All products supplied in Australia by </w:t>
      </w:r>
      <w:r>
        <w:t>BD</w:t>
      </w:r>
      <w:r w:rsidR="006D6657">
        <w:t xml:space="preserve"> are done so</w:t>
      </w:r>
      <w:r w:rsidR="00583406" w:rsidRPr="006D0526">
        <w:t xml:space="preserve"> in accordance with the requirements of the Therapeutic Goods Act (1989) and the Therapeutic Goods (Medical</w:t>
      </w:r>
      <w:r w:rsidR="006D6657">
        <w:t xml:space="preserve"> Devices) Regulations 2002. In vitro diagnostic (IVD) medical d</w:t>
      </w:r>
      <w:r w:rsidR="00583406" w:rsidRPr="006D0526">
        <w:t>evices</w:t>
      </w:r>
      <w:r w:rsidR="006D6657">
        <w:t>,</w:t>
      </w:r>
      <w:r w:rsidR="00583406" w:rsidRPr="006D0526">
        <w:t xml:space="preserve"> such as </w:t>
      </w:r>
      <w:r w:rsidR="0088469A">
        <w:t>the cell enrichment</w:t>
      </w:r>
      <w:r w:rsidR="0083297B">
        <w:t xml:space="preserve"> LBC</w:t>
      </w:r>
      <w:r w:rsidR="00583406" w:rsidRPr="006D0526">
        <w:t xml:space="preserve"> test</w:t>
      </w:r>
      <w:r w:rsidR="006D6657">
        <w:t>,</w:t>
      </w:r>
      <w:r w:rsidR="00583406" w:rsidRPr="006D0526">
        <w:t xml:space="preserve"> were exempt IVDs prior </w:t>
      </w:r>
      <w:r w:rsidR="00583406" w:rsidRPr="00673EC8">
        <w:t xml:space="preserve">to 1 July 2010. </w:t>
      </w:r>
      <w:r w:rsidR="00673EC8" w:rsidRPr="00673EC8">
        <w:t>The introduction of a revised regulatory framework for IVDs from 1</w:t>
      </w:r>
      <w:r w:rsidR="00CE376C">
        <w:t xml:space="preserve"> July 2010 means that all device</w:t>
      </w:r>
      <w:r w:rsidR="00673EC8" w:rsidRPr="00673EC8">
        <w:t>s supplied before that date are covered by a four year transition period (to 30 June 2014) to be integrated into the new regulatory framework.</w:t>
      </w:r>
    </w:p>
    <w:p w:rsidR="0037031D" w:rsidRPr="00583406" w:rsidRDefault="0037031D" w:rsidP="0037031D">
      <w:pPr>
        <w:pStyle w:val="Heading30"/>
      </w:pPr>
      <w:bookmarkStart w:id="67" w:name="_Toc337546871"/>
      <w:r>
        <w:t>A.2.</w:t>
      </w:r>
      <w:r w:rsidR="008434A3">
        <w:t>3</w:t>
      </w:r>
      <w:r>
        <w:tab/>
        <w:t xml:space="preserve">Reimbursement status of </w:t>
      </w:r>
      <w:r w:rsidR="00F25250">
        <w:t>liquid-based cytology (LBC)</w:t>
      </w:r>
      <w:bookmarkEnd w:id="67"/>
    </w:p>
    <w:p w:rsidR="00337C2F" w:rsidRDefault="00210DF9" w:rsidP="00583406">
      <w:r>
        <w:t>Liquid-based cytology (</w:t>
      </w:r>
      <w:r w:rsidR="00583406" w:rsidRPr="00583406">
        <w:t>LBC</w:t>
      </w:r>
      <w:r>
        <w:t>)</w:t>
      </w:r>
      <w:r w:rsidR="00583406" w:rsidRPr="00583406">
        <w:t xml:space="preserve"> by any method is not </w:t>
      </w:r>
      <w:r w:rsidR="0037031D">
        <w:t xml:space="preserve">reimbursed </w:t>
      </w:r>
      <w:r w:rsidR="00F25250">
        <w:t>on the MBS, and</w:t>
      </w:r>
      <w:r w:rsidR="00AF352A">
        <w:t xml:space="preserve"> is </w:t>
      </w:r>
      <w:r w:rsidR="00583406" w:rsidRPr="00583406">
        <w:t>explicitl</w:t>
      </w:r>
      <w:r w:rsidR="00F25250">
        <w:t xml:space="preserve">y excluded from the MBS. </w:t>
      </w:r>
      <w:r w:rsidR="00583406" w:rsidRPr="00583406">
        <w:t xml:space="preserve">LBC is </w:t>
      </w:r>
      <w:r w:rsidR="00F25250">
        <w:t xml:space="preserve">however </w:t>
      </w:r>
      <w:r w:rsidR="00583406" w:rsidRPr="00583406">
        <w:t xml:space="preserve">currently provided by </w:t>
      </w:r>
      <w:r w:rsidR="003D4360">
        <w:t>most</w:t>
      </w:r>
      <w:r w:rsidR="00583406" w:rsidRPr="00583406">
        <w:t xml:space="preserve"> private pathology laboratories for a fee additional to the MBS</w:t>
      </w:r>
      <w:r w:rsidR="0083297B">
        <w:t xml:space="preserve"> fee for conventional Pap smear tests</w:t>
      </w:r>
      <w:r w:rsidR="00583406" w:rsidRPr="00583406">
        <w:t>, and is collected using the split-sample technique in conjunct</w:t>
      </w:r>
      <w:r w:rsidR="0083297B">
        <w:t>ion with conventional Pap smear tests</w:t>
      </w:r>
      <w:r w:rsidR="00583406" w:rsidRPr="00583406">
        <w:t>. The additio</w:t>
      </w:r>
      <w:r w:rsidR="00CE376C">
        <w:t xml:space="preserve">nal fee is paid by the patient </w:t>
      </w:r>
      <w:r w:rsidR="004A192F">
        <w:t xml:space="preserve">and </w:t>
      </w:r>
      <w:r w:rsidR="00583406" w:rsidRPr="00583406">
        <w:t>a</w:t>
      </w:r>
      <w:r w:rsidR="0083297B">
        <w:t>verage</w:t>
      </w:r>
      <w:r w:rsidR="00CE376C">
        <w:t>s</w:t>
      </w:r>
      <w:r w:rsidR="0083297B">
        <w:t xml:space="preserve"> $45</w:t>
      </w:r>
      <w:r w:rsidR="004A192F">
        <w:t>.</w:t>
      </w:r>
    </w:p>
    <w:p w:rsidR="004A192F" w:rsidRDefault="00F25250" w:rsidP="004A192F">
      <w:r>
        <w:t>LBC was first introduced to</w:t>
      </w:r>
      <w:r w:rsidR="00DC78F6">
        <w:t xml:space="preserve"> Australia by private laboratories in 1997 in response to demand by referring practitioners (Farnsworth 2003). </w:t>
      </w:r>
      <w:r w:rsidR="004A192F">
        <w:t>Farnsworth notes that “the total number of smears read in the laboratory in the calendar year (January 2000–December 2000) was 147 181 of which 21 100 were accompanied by a ThinPrep test” (Farnsworth 2003. p49). This is a prevalence of split sampling of 14% (21,100/147,181).</w:t>
      </w:r>
    </w:p>
    <w:p w:rsidR="00583406" w:rsidRDefault="004A192F" w:rsidP="004A192F">
      <w:r>
        <w:lastRenderedPageBreak/>
        <w:t xml:space="preserve">The practice of split-sampling continues in 2012, </w:t>
      </w:r>
      <w:r w:rsidR="0083297B">
        <w:t>it is estimated that 18</w:t>
      </w:r>
      <w:r w:rsidR="00337C2F" w:rsidRPr="00337C2F">
        <w:t>% of women receive conventional cytology, funded by the MBS, in combination with LBC, funded by the patient. This is a significant proportion of the population paying for additional cervical screening service</w:t>
      </w:r>
      <w:r w:rsidR="00416A1A">
        <w:t>. This</w:t>
      </w:r>
      <w:r w:rsidR="00337C2F" w:rsidRPr="00337C2F">
        <w:t xml:space="preserve"> has equity implications as it is reasonable to conclude that women with the means and access are receiving better health care than the general population.</w:t>
      </w:r>
      <w:r w:rsidR="003D4360">
        <w:t xml:space="preserve"> </w:t>
      </w:r>
      <w:r w:rsidR="00416A1A">
        <w:t>It is of note that in the case of discordant results from split sample testing the LBC result is likely to inform the treatment algorithm. Hence a proportion of the population already receives follow-up under the National Cervical Screening Program based on a technology only available to those women with access to LBC.</w:t>
      </w:r>
    </w:p>
    <w:p w:rsidR="00583406" w:rsidRDefault="00583406" w:rsidP="00583406">
      <w:r w:rsidRPr="00583406">
        <w:t xml:space="preserve">LBC can also be used for adjunctive testing for a range of pathogens including </w:t>
      </w:r>
      <w:r w:rsidR="00BA01A7">
        <w:t>HPV</w:t>
      </w:r>
      <w:r w:rsidRPr="00583406">
        <w:t xml:space="preserve">, </w:t>
      </w:r>
      <w:r w:rsidRPr="00AF352A">
        <w:rPr>
          <w:i/>
        </w:rPr>
        <w:t xml:space="preserve">Chlamydia trachomatis </w:t>
      </w:r>
      <w:r w:rsidRPr="00583406">
        <w:t xml:space="preserve">and </w:t>
      </w:r>
      <w:r w:rsidRPr="00AF352A">
        <w:rPr>
          <w:i/>
        </w:rPr>
        <w:t xml:space="preserve">Neisseria </w:t>
      </w:r>
      <w:r w:rsidR="001A3CFB" w:rsidRPr="00AF352A">
        <w:rPr>
          <w:i/>
        </w:rPr>
        <w:t>gonorrhoea</w:t>
      </w:r>
      <w:r w:rsidRPr="00AF352A">
        <w:rPr>
          <w:i/>
        </w:rPr>
        <w:t>.</w:t>
      </w:r>
      <w:r w:rsidR="00F25250">
        <w:t xml:space="preserve"> This</w:t>
      </w:r>
      <w:r w:rsidRPr="00583406">
        <w:t xml:space="preserve"> is not routinely </w:t>
      </w:r>
      <w:r w:rsidR="00CD52C0">
        <w:t>performed</w:t>
      </w:r>
      <w:r w:rsidRPr="00583406">
        <w:t xml:space="preserve"> in Australia.</w:t>
      </w:r>
    </w:p>
    <w:p w:rsidR="0037031D" w:rsidRPr="00F25250" w:rsidRDefault="0037031D" w:rsidP="0037031D">
      <w:pPr>
        <w:pStyle w:val="Heading30"/>
      </w:pPr>
      <w:bookmarkStart w:id="68" w:name="_Toc337546872"/>
      <w:r>
        <w:t>A.2.</w:t>
      </w:r>
      <w:r w:rsidR="008434A3">
        <w:t>4</w:t>
      </w:r>
      <w:r w:rsidR="00CF76B3">
        <w:tab/>
      </w:r>
      <w:r>
        <w:t xml:space="preserve">Proposed listing of </w:t>
      </w:r>
      <w:r w:rsidR="00F25250">
        <w:t>liquid-based cytology</w:t>
      </w:r>
      <w:bookmarkEnd w:id="68"/>
    </w:p>
    <w:p w:rsidR="0037031D" w:rsidRDefault="0037031D" w:rsidP="0037031D">
      <w:pPr>
        <w:pStyle w:val="Heading40"/>
      </w:pPr>
      <w:r w:rsidRPr="004A31B4">
        <w:t>Rationale for the proposed listing</w:t>
      </w:r>
    </w:p>
    <w:p w:rsidR="0037031D" w:rsidRPr="006D0526" w:rsidRDefault="0037031D" w:rsidP="0037031D">
      <w:r w:rsidRPr="006D0526">
        <w:t>In the laboratory, the BD SurePath™ proprietary cell enrichment process separates an</w:t>
      </w:r>
      <w:r w:rsidR="00AF352A">
        <w:t>d reduces obscuring debris (such as blood and</w:t>
      </w:r>
      <w:r w:rsidRPr="006D0526">
        <w:t xml:space="preserve"> mucus) and inflammatory cells, preserving background interpretation</w:t>
      </w:r>
      <w:r w:rsidR="00D378F2">
        <w:t>,</w:t>
      </w:r>
      <w:r w:rsidR="005D79E8">
        <w:t xml:space="preserve"> and</w:t>
      </w:r>
      <w:r w:rsidR="00BA0E41">
        <w:t xml:space="preserve"> thereby</w:t>
      </w:r>
      <w:r>
        <w:t xml:space="preserve"> </w:t>
      </w:r>
      <w:r w:rsidR="005D79E8">
        <w:t>reducing</w:t>
      </w:r>
      <w:r w:rsidRPr="006D0526">
        <w:t xml:space="preserve"> unsatisfactory rate</w:t>
      </w:r>
      <w:r>
        <w:t>s</w:t>
      </w:r>
      <w:r w:rsidR="005D79E8">
        <w:t>. This method</w:t>
      </w:r>
      <w:r>
        <w:t xml:space="preserve"> therefore</w:t>
      </w:r>
      <w:r w:rsidRPr="006D0526">
        <w:t xml:space="preserve"> provid</w:t>
      </w:r>
      <w:r w:rsidR="005D79E8">
        <w:t>es</w:t>
      </w:r>
      <w:r w:rsidR="00AF352A">
        <w:t xml:space="preserve"> better and quicker visualis</w:t>
      </w:r>
      <w:r w:rsidRPr="006D0526">
        <w:t>ation of clinicall</w:t>
      </w:r>
      <w:r w:rsidR="005D79E8">
        <w:t>y relevant cells</w:t>
      </w:r>
      <w:r w:rsidR="00416A1A">
        <w:t xml:space="preserve"> </w:t>
      </w:r>
      <w:r w:rsidR="00BA0E41">
        <w:t xml:space="preserve">versus CC </w:t>
      </w:r>
      <w:r w:rsidR="005D79E8">
        <w:t>(Sweeney</w:t>
      </w:r>
      <w:r w:rsidRPr="006D0526">
        <w:t xml:space="preserve"> 2006). There is no need for additional processing steps dedicated to handling bloody or mucoid samples,</w:t>
      </w:r>
      <w:r w:rsidR="00AF352A">
        <w:t xml:space="preserve"> resulting in greater standardis</w:t>
      </w:r>
      <w:r w:rsidRPr="006D0526">
        <w:t>ation of sample processing and c</w:t>
      </w:r>
      <w:r w:rsidR="005D79E8">
        <w:t>larity of results (Sweeney 2006</w:t>
      </w:r>
      <w:r w:rsidRPr="006D0526">
        <w:t xml:space="preserve">). </w:t>
      </w:r>
    </w:p>
    <w:p w:rsidR="0037031D" w:rsidRDefault="0037031D" w:rsidP="0037031D">
      <w:r>
        <w:t>Although cell enrichment LBC offer</w:t>
      </w:r>
      <w:r w:rsidR="00BA0E41">
        <w:t>s</w:t>
      </w:r>
      <w:r>
        <w:t xml:space="preserve"> benefits over conventional </w:t>
      </w:r>
      <w:r w:rsidR="00743935">
        <w:t>Pap</w:t>
      </w:r>
      <w:r w:rsidR="001E35F4">
        <w:t xml:space="preserve"> </w:t>
      </w:r>
      <w:r>
        <w:t>smears in terms of lower unsatisfactory rates</w:t>
      </w:r>
      <w:r w:rsidR="00D378F2">
        <w:t>,</w:t>
      </w:r>
      <w:r w:rsidRPr="00773E09">
        <w:t xml:space="preserve"> </w:t>
      </w:r>
      <w:r>
        <w:t xml:space="preserve">a conservative position has been taken in this application with </w:t>
      </w:r>
      <w:r w:rsidRPr="00773E09">
        <w:t xml:space="preserve">the </w:t>
      </w:r>
      <w:r>
        <w:t>requested</w:t>
      </w:r>
      <w:r w:rsidRPr="00773E09">
        <w:t xml:space="preserve"> MBS item </w:t>
      </w:r>
      <w:r>
        <w:t>fee being</w:t>
      </w:r>
      <w:r w:rsidRPr="00773E09">
        <w:t xml:space="preserve"> the same</w:t>
      </w:r>
      <w:r w:rsidRPr="00283546">
        <w:t xml:space="preserve"> </w:t>
      </w:r>
      <w:r w:rsidRPr="00773E09">
        <w:t xml:space="preserve">as </w:t>
      </w:r>
      <w:r>
        <w:t>that for</w:t>
      </w:r>
      <w:r w:rsidRPr="00773E09">
        <w:t xml:space="preserve"> </w:t>
      </w:r>
      <w:r w:rsidR="00EB5387">
        <w:t>conventional cytology</w:t>
      </w:r>
      <w:r>
        <w:t>.</w:t>
      </w:r>
    </w:p>
    <w:p w:rsidR="001E35F4" w:rsidRDefault="001E35F4" w:rsidP="001E35F4">
      <w:pPr>
        <w:pStyle w:val="Heading40"/>
      </w:pPr>
      <w:r>
        <w:t>Proposed MBS listing(s)</w:t>
      </w:r>
    </w:p>
    <w:p w:rsidR="00BD3DAC" w:rsidRDefault="00BD3DAC" w:rsidP="00BD3DAC">
      <w:r>
        <w:t xml:space="preserve">The </w:t>
      </w:r>
      <w:r w:rsidR="00AB0472">
        <w:t>f</w:t>
      </w:r>
      <w:r w:rsidR="001E35F4">
        <w:t xml:space="preserve">inal Decision </w:t>
      </w:r>
      <w:r>
        <w:t>Analytic Protocol (DAP, Ma</w:t>
      </w:r>
      <w:r w:rsidR="005D79E8">
        <w:t>y 2012) stated</w:t>
      </w:r>
      <w:r w:rsidR="001E35F4">
        <w:t xml:space="preserve"> that</w:t>
      </w:r>
      <w:r w:rsidRPr="00BD3DAC">
        <w:t xml:space="preserve"> </w:t>
      </w:r>
      <w:r w:rsidR="002C1FBC" w:rsidRPr="002C1FBC">
        <w:t>SurePath™ LBC Pap test</w:t>
      </w:r>
      <w:r w:rsidR="00CE376C">
        <w:t xml:space="preserve"> would</w:t>
      </w:r>
      <w:r>
        <w:t xml:space="preserve"> be an alternative method of preparing a</w:t>
      </w:r>
      <w:r w:rsidR="00FC7A74">
        <w:t xml:space="preserve"> conventional Pap smear and would</w:t>
      </w:r>
      <w:r>
        <w:t xml:space="preserve"> therefore be listed in category 6 Pathology Services, Group P6 Cytology of the MBS as is the </w:t>
      </w:r>
      <w:r w:rsidR="00AB0472">
        <w:t>conventional</w:t>
      </w:r>
      <w:r>
        <w:t xml:space="preserve"> Pap smear (MBS item number 73053, 73055 and 73057).</w:t>
      </w:r>
    </w:p>
    <w:p w:rsidR="00EB5387" w:rsidRDefault="00EB5387" w:rsidP="00BD3DAC">
      <w:r>
        <w:t xml:space="preserve">Table 2 of the DAP proposes a change to the MBS items 73053, 73055 and 73057 whereby cell enrichment </w:t>
      </w:r>
      <w:r w:rsidR="00AB0472">
        <w:t xml:space="preserve">LBC </w:t>
      </w:r>
      <w:r>
        <w:t>techniques can b</w:t>
      </w:r>
      <w:r w:rsidR="00AB0472">
        <w:t xml:space="preserve">e </w:t>
      </w:r>
      <w:r w:rsidR="001A3CFB">
        <w:t>used.</w:t>
      </w:r>
      <w:r w:rsidR="001A3CFB" w:rsidRPr="00C62016">
        <w:t xml:space="preserve"> AS</w:t>
      </w:r>
      <w:r w:rsidR="00902BC8" w:rsidRPr="00C62016">
        <w:t xml:space="preserve"> per the DAP the proposed change to the MBS items 73053, 73055 and 73057 allows cell enrichment LBC techniques to be used. </w:t>
      </w:r>
      <w:r w:rsidR="00902BC8">
        <w:t xml:space="preserve">Alternatively a new item number may be listed for each circumstance. </w:t>
      </w:r>
      <w:r w:rsidR="00BA0E41">
        <w:t xml:space="preserve"> </w:t>
      </w:r>
      <w:r w:rsidR="00902BC8" w:rsidRPr="00C62016">
        <w:t>As advised in the DAP, the following statement is proposed in the restriction to ensure that other methods cannot be claimed using the below item, “</w:t>
      </w:r>
      <w:r w:rsidR="00902BC8" w:rsidRPr="0072211B">
        <w:t>cell enrichment liquid based techniques</w:t>
      </w:r>
      <w:r w:rsidR="00902BC8">
        <w:t xml:space="preserve"> utilising centrifugal sedimentation through density </w:t>
      </w:r>
      <w:r w:rsidR="001A3CFB">
        <w:t>reagent</w:t>
      </w:r>
      <w:r w:rsidR="001A3CFB" w:rsidRPr="00C62016">
        <w:t>”.</w:t>
      </w:r>
      <w:r w:rsidR="001A3CFB">
        <w:t xml:space="preserve"> This</w:t>
      </w:r>
      <w:r w:rsidR="00FC7A74">
        <w:t xml:space="preserve"> application </w:t>
      </w:r>
      <w:r>
        <w:t>present</w:t>
      </w:r>
      <w:r w:rsidR="00FC7A74">
        <w:t>s</w:t>
      </w:r>
      <w:r>
        <w:t xml:space="preserve"> evidence to support the differentiation of cell enrichment from </w:t>
      </w:r>
      <w:r>
        <w:lastRenderedPageBreak/>
        <w:t>other methods of LBC (</w:t>
      </w:r>
      <w:r w:rsidR="00EF6859">
        <w:t>e.g.</w:t>
      </w:r>
      <w:r>
        <w:t xml:space="preserve"> cell filtration) thereby justifying the explicit inclusion</w:t>
      </w:r>
      <w:r w:rsidR="00BF5BEF">
        <w:t xml:space="preserve"> of cell enrichment on the MBS.</w:t>
      </w:r>
    </w:p>
    <w:p w:rsidR="00BF5BEF" w:rsidRDefault="00BF5BEF" w:rsidP="00BD3DAC">
      <w:r>
        <w:t>Similarly, evidence presented in this submission will be used to show that the term “using manual or automated methods” in the proposed MBS item descriptor of the DAP can be justified. Th</w:t>
      </w:r>
      <w:r w:rsidR="00AB0472">
        <w:t>at is</w:t>
      </w:r>
      <w:r>
        <w:t xml:space="preserve"> to say, there is no evidence to suggest that the alternative methods of reading cell enrich</w:t>
      </w:r>
      <w:r w:rsidR="00AB0472">
        <w:t>ment</w:t>
      </w:r>
      <w:r>
        <w:t xml:space="preserve"> LBC are different. </w:t>
      </w:r>
    </w:p>
    <w:p w:rsidR="00BD3DAC" w:rsidRDefault="005D79E8" w:rsidP="00BD3DAC">
      <w:r>
        <w:t>The e</w:t>
      </w:r>
      <w:r w:rsidR="00BD3DAC">
        <w:t xml:space="preserve">xplanatory notes reflect that on any one </w:t>
      </w:r>
      <w:r w:rsidR="00EB5387">
        <w:t xml:space="preserve">screening </w:t>
      </w:r>
      <w:r w:rsidR="00BD3DAC">
        <w:t>occasion only one of the techniques available should be used.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BD3DAC" w:rsidRPr="00FC7A74" w:rsidTr="00AD51F5">
        <w:tc>
          <w:tcPr>
            <w:tcW w:w="9243" w:type="dxa"/>
          </w:tcPr>
          <w:p w:rsidR="00BD3DAC" w:rsidRPr="00FC7A74" w:rsidRDefault="00FC7A74" w:rsidP="00FC7A74">
            <w:pPr>
              <w:pStyle w:val="Tabletext"/>
              <w:rPr>
                <w:b/>
              </w:rPr>
            </w:pPr>
            <w:r>
              <w:rPr>
                <w:b/>
              </w:rPr>
              <w:t>Category 6—</w:t>
            </w:r>
            <w:r w:rsidR="00BD3DAC" w:rsidRPr="00FC7A74">
              <w:rPr>
                <w:b/>
              </w:rPr>
              <w:t>Pathology services (cytology)</w:t>
            </w:r>
          </w:p>
        </w:tc>
      </w:tr>
      <w:tr w:rsidR="00BD3DAC" w:rsidTr="00AD51F5">
        <w:tc>
          <w:tcPr>
            <w:tcW w:w="9243" w:type="dxa"/>
          </w:tcPr>
          <w:p w:rsidR="00902BC8" w:rsidRPr="0072211B" w:rsidRDefault="00902BC8" w:rsidP="00902BC8">
            <w:pPr>
              <w:pStyle w:val="Tabletext"/>
              <w:keepLines/>
            </w:pPr>
            <w:r w:rsidRPr="0072211B">
              <w:t xml:space="preserve">MBS </w:t>
            </w:r>
            <w:r w:rsidRPr="00C62016">
              <w:t>73053, 73055</w:t>
            </w:r>
            <w:r>
              <w:t>,</w:t>
            </w:r>
            <w:r w:rsidRPr="00C62016">
              <w:t xml:space="preserve"> 73057</w:t>
            </w:r>
            <w:r>
              <w:t xml:space="preserve"> (or alternatively a new item number for each circumstance)</w:t>
            </w:r>
          </w:p>
          <w:p w:rsidR="00902BC8" w:rsidRPr="0072211B" w:rsidRDefault="00902BC8" w:rsidP="00902BC8">
            <w:pPr>
              <w:pStyle w:val="Tabletext"/>
              <w:keepLines/>
            </w:pPr>
            <w:r w:rsidRPr="0072211B">
              <w:t>Cytology of a smear from cervix or vagina where the smear is prepared by direct application of the specimen to a slide</w:t>
            </w:r>
            <w:r>
              <w:t xml:space="preserve"> or</w:t>
            </w:r>
            <w:r w:rsidRPr="0072211B">
              <w:t xml:space="preserve"> using cell enrichment liquid based techniques</w:t>
            </w:r>
            <w:r>
              <w:t xml:space="preserve"> utilising centrifugal sedimentation through density reagent</w:t>
            </w:r>
            <w:r w:rsidRPr="0072211B">
              <w:t xml:space="preserve"> and the smear is microscopically examined by or on behalf of a pathologist </w:t>
            </w:r>
            <w:r>
              <w:t>using manual or automated methods.</w:t>
            </w:r>
          </w:p>
          <w:p w:rsidR="00BD3DAC" w:rsidRDefault="00BD3DAC" w:rsidP="00FC7A74">
            <w:pPr>
              <w:pStyle w:val="Tabletext"/>
            </w:pPr>
            <w:r>
              <w:t>Fee: $19.60 Benefit: 75%</w:t>
            </w:r>
            <w:r w:rsidR="005E0D57">
              <w:t>=</w:t>
            </w:r>
            <w:r>
              <w:t>$14.70 85%</w:t>
            </w:r>
            <w:r w:rsidR="005E0D57">
              <w:t>=</w:t>
            </w:r>
            <w:r>
              <w:t>$16.70</w:t>
            </w:r>
          </w:p>
          <w:p w:rsidR="00BD3DAC" w:rsidRDefault="00BD3DAC" w:rsidP="00FC7A74">
            <w:pPr>
              <w:pStyle w:val="Tabletext"/>
            </w:pPr>
            <w:r>
              <w:t>Explanatory notes for above items:</w:t>
            </w:r>
          </w:p>
          <w:p w:rsidR="00BD3DAC" w:rsidRDefault="00BD3DAC" w:rsidP="00FC7A74">
            <w:pPr>
              <w:pStyle w:val="Tabletext"/>
            </w:pPr>
            <w:r>
              <w:t>P16.11: Item 73053 applies to the cytological examination of cervical smears collected from women with no symptoms, signs or recent history suggestive of cervical neoplasia as part of routine, biennial examination for the detection of pre-cancerous or cancerous changes. This item also applies to smears repeated due to an unsatisfactory routine smear, or if there is inadequate information provided to use item 73055.</w:t>
            </w:r>
          </w:p>
          <w:p w:rsidR="00BD3DAC" w:rsidRDefault="00BD3DAC" w:rsidP="00FC7A74">
            <w:pPr>
              <w:pStyle w:val="Tabletext"/>
            </w:pPr>
            <w:r>
              <w:t>Cytological examinations carried out under item 73053 should be in accordance with the agreed National Policy on Screening for the Prevention of Cervical Cancer. This policy provides for:</w:t>
            </w:r>
          </w:p>
          <w:p w:rsidR="00BD3DAC" w:rsidRDefault="00BD3DAC" w:rsidP="00FC7A74">
            <w:pPr>
              <w:pStyle w:val="Tabletext"/>
            </w:pPr>
            <w:r>
              <w:t>(i) an examination interval of two years for women who have no symptoms or history suggestive of abnormal cervical cytology, commencing between the ages of 18 to 20 years, or one to two years after first sexual intercourse, whichever is later; and</w:t>
            </w:r>
          </w:p>
          <w:p w:rsidR="00BD3DAC" w:rsidRDefault="00BD3DAC" w:rsidP="00FC7A74">
            <w:pPr>
              <w:pStyle w:val="Tabletext"/>
            </w:pPr>
            <w:r>
              <w:t xml:space="preserve">(ii) </w:t>
            </w:r>
            <w:proofErr w:type="gramStart"/>
            <w:r>
              <w:t>cessation</w:t>
            </w:r>
            <w:proofErr w:type="gramEnd"/>
            <w:r>
              <w:t xml:space="preserve"> of cervical smears at 70 years for women who have had two normal results within the last five years. Women over 70 who have never been examined, or who request a cervical smear, should be examined.</w:t>
            </w:r>
          </w:p>
          <w:p w:rsidR="00BD3DAC" w:rsidRDefault="00BD3DAC" w:rsidP="00FC7A74">
            <w:pPr>
              <w:pStyle w:val="Tabletext"/>
            </w:pPr>
            <w:r>
              <w:t xml:space="preserve">(iii) that on any one occasion only a direct application of the specimen to a slide or a cell enrichment </w:t>
            </w:r>
            <w:r w:rsidR="005E0D57">
              <w:t>liquid-based</w:t>
            </w:r>
            <w:r>
              <w:t xml:space="preserve"> technique should be used</w:t>
            </w:r>
          </w:p>
          <w:p w:rsidR="00BD3DAC" w:rsidRDefault="00BD3DAC" w:rsidP="00FC7A74">
            <w:pPr>
              <w:pStyle w:val="Tabletext"/>
            </w:pPr>
            <w:r>
              <w:t>The Health Insurance Act 1973 excludes payment of Medicare benefits for health screening services except where Ministerial directions have been issued to enable benefits to be paid, such as the Papanicolaou test. As there is now an established policy which has the support of the relevant professional bodies, routine screening in accordance with the policy will be regarded as good medical practice.</w:t>
            </w:r>
          </w:p>
          <w:p w:rsidR="00BD3DAC" w:rsidRDefault="00BD3DAC" w:rsidP="00FC7A74">
            <w:pPr>
              <w:pStyle w:val="Tabletext"/>
            </w:pPr>
            <w:r>
              <w:t>The screening policy will not be used as a basis for determining eligibility for benefits. However, the policy will be used as a guide for reviewing practitioner profiles.</w:t>
            </w:r>
          </w:p>
          <w:p w:rsidR="00BD3DAC" w:rsidRDefault="00BD3DAC" w:rsidP="00FC7A74">
            <w:pPr>
              <w:pStyle w:val="Tabletext"/>
            </w:pPr>
            <w:r>
              <w:t>Item 73055 applies to cervical cytological examinations where the smear has been collected for the purpose of management, follow up or investigation of a previous abnormal cytology report, or collected from women with symptoms, signs or recent history suggestive of abnormal cervical cytology.</w:t>
            </w:r>
          </w:p>
          <w:p w:rsidR="00BD3DAC" w:rsidRDefault="00BD3DAC" w:rsidP="00FC7A74">
            <w:pPr>
              <w:pStyle w:val="Tabletext"/>
            </w:pPr>
            <w:r>
              <w:t>Items 73057 applies to all vaginal cytological examinations, whether for a routine examination or for the follow up or management of a previously detected abnormal smear.</w:t>
            </w:r>
          </w:p>
          <w:p w:rsidR="00BD3DAC" w:rsidRDefault="00BD3DAC" w:rsidP="00FC7A74">
            <w:pPr>
              <w:pStyle w:val="Tabletext"/>
            </w:pPr>
            <w:r>
              <w:t>For cervical smears, treating practitioners are asked to clearly identify on the request form to the pathologist, by item number, if the smear has been taken as a routine examination or for the management of a previously detected abnormality.</w:t>
            </w:r>
          </w:p>
          <w:p w:rsidR="00BD3DAC" w:rsidRDefault="00BD3DAC" w:rsidP="00FC7A74">
            <w:pPr>
              <w:pStyle w:val="Tabletext"/>
            </w:pPr>
            <w:r>
              <w:t>Related Items: 73053, 73055, 73057</w:t>
            </w:r>
          </w:p>
        </w:tc>
      </w:tr>
    </w:tbl>
    <w:p w:rsidR="00BD3DAC" w:rsidRDefault="00BD3DAC" w:rsidP="00BD3DAC"/>
    <w:p w:rsidR="00B60787" w:rsidRDefault="00B60787" w:rsidP="00136D50">
      <w:pPr>
        <w:pStyle w:val="Heading20"/>
      </w:pPr>
      <w:bookmarkStart w:id="69" w:name="_Toc337546873"/>
      <w:r>
        <w:lastRenderedPageBreak/>
        <w:t>A.3</w:t>
      </w:r>
      <w:r>
        <w:tab/>
        <w:t>Intervention details</w:t>
      </w:r>
      <w:bookmarkEnd w:id="69"/>
    </w:p>
    <w:p w:rsidR="00583406" w:rsidRPr="00136D50" w:rsidRDefault="006B2F62" w:rsidP="006B2F62">
      <w:pPr>
        <w:pStyle w:val="Heading30"/>
      </w:pPr>
      <w:bookmarkStart w:id="70" w:name="_Toc337546874"/>
      <w:r>
        <w:t>A.3.1</w:t>
      </w:r>
      <w:r>
        <w:tab/>
      </w:r>
      <w:r w:rsidR="00583406">
        <w:t xml:space="preserve">Slide </w:t>
      </w:r>
      <w:r w:rsidR="00583406" w:rsidRPr="006B2F62">
        <w:t>collection</w:t>
      </w:r>
      <w:r w:rsidR="00583406">
        <w:t xml:space="preserve"> and preparation</w:t>
      </w:r>
      <w:bookmarkEnd w:id="70"/>
    </w:p>
    <w:p w:rsidR="00583406" w:rsidRDefault="00CF5C1A" w:rsidP="00583406">
      <w:r>
        <w:t xml:space="preserve">A </w:t>
      </w:r>
      <w:r w:rsidR="00FC7A74">
        <w:t>c</w:t>
      </w:r>
      <w:r w:rsidR="00583406">
        <w:t>onventional Pap smear involves the collection of cells from the uterine cervix. Cells are collected from the cervix using a small cytobrush/broom or spatula and smeared onto a glass slide</w:t>
      </w:r>
      <w:r w:rsidR="009961B5">
        <w:t>. There are proposed differences between the different collectio</w:t>
      </w:r>
      <w:r w:rsidR="00E60090">
        <w:t xml:space="preserve">n devices. Cotton swabs and Ayre spatula are quoted as being insufficient to harvest </w:t>
      </w:r>
      <w:r w:rsidR="00CE376C">
        <w:t>adequate</w:t>
      </w:r>
      <w:r w:rsidR="00E60090">
        <w:t xml:space="preserve"> endocervical cells for full investigation of squamous and glandular abnormalities</w:t>
      </w:r>
      <w:r w:rsidR="00FC7A74">
        <w:t>,</w:t>
      </w:r>
      <w:r w:rsidR="00E60090">
        <w:t xml:space="preserve"> unlike the </w:t>
      </w:r>
      <w:r w:rsidR="005D79E8">
        <w:t xml:space="preserve">Szalay spatula (Obwegeser </w:t>
      </w:r>
      <w:r w:rsidR="00E60090">
        <w:t xml:space="preserve">2001). </w:t>
      </w:r>
      <w:r w:rsidR="00DA5F68" w:rsidRPr="00DA5F68">
        <w:t>Rovers Cervex Brush, is the most common collection device in use in Aus</w:t>
      </w:r>
      <w:r w:rsidR="00DA5F68">
        <w:t>tralia (BD personal communication).</w:t>
      </w:r>
      <w:r w:rsidR="00E60090">
        <w:t>Sampling of the endocervix can be performed under the guidance of a colposcopy or, as occurs generally, the cervix is well visualised with an adequate light source. In any case</w:t>
      </w:r>
      <w:r w:rsidR="00FC7A74">
        <w:t>,</w:t>
      </w:r>
      <w:r w:rsidR="00E60090">
        <w:t xml:space="preserve"> the intention is to collect cells from the </w:t>
      </w:r>
      <w:r w:rsidR="005E1293">
        <w:t>transformation zone of the cervix (the area of the cervix where the squamous cells from the outer opening of the cervix and glandular cells of the endocervical canal meet)</w:t>
      </w:r>
      <w:r w:rsidR="00E60090">
        <w:t xml:space="preserve">. </w:t>
      </w:r>
      <w:r w:rsidR="005E1293">
        <w:t>The entire transformation zone should be sampled since most high-grade lesions develop in this region</w:t>
      </w:r>
      <w:r w:rsidR="009073D9">
        <w:t xml:space="preserve">. </w:t>
      </w:r>
      <w:r w:rsidR="00E60090">
        <w:t xml:space="preserve">The cells </w:t>
      </w:r>
      <w:r w:rsidR="00847E19">
        <w:t xml:space="preserve">are spread onto </w:t>
      </w:r>
      <w:r w:rsidR="00BA0E41">
        <w:t xml:space="preserve">a glass </w:t>
      </w:r>
      <w:r w:rsidR="00847E19">
        <w:t>slide and the</w:t>
      </w:r>
      <w:r w:rsidR="00E60090">
        <w:t xml:space="preserve"> slide </w:t>
      </w:r>
      <w:r w:rsidR="00BA0E41">
        <w:t>is</w:t>
      </w:r>
      <w:r w:rsidR="00E60090">
        <w:t xml:space="preserve"> </w:t>
      </w:r>
      <w:r w:rsidR="00583406" w:rsidRPr="00136D50">
        <w:t xml:space="preserve">sprayed with fixative and then sent to the laboratory for </w:t>
      </w:r>
      <w:r w:rsidR="00847E19">
        <w:t>staining</w:t>
      </w:r>
      <w:r w:rsidR="00583406" w:rsidRPr="00136D50">
        <w:t xml:space="preserve"> and </w:t>
      </w:r>
      <w:r w:rsidR="00583406">
        <w:t>examination under the microscope by a cytologist.</w:t>
      </w:r>
      <w:r w:rsidR="002C1FBC">
        <w:t xml:space="preserve"> </w:t>
      </w:r>
    </w:p>
    <w:p w:rsidR="009961B5" w:rsidRDefault="00235AC3" w:rsidP="00583406">
      <w:r>
        <w:t>LBC</w:t>
      </w:r>
      <w:r w:rsidR="00583406">
        <w:t xml:space="preserve"> uses a different method for </w:t>
      </w:r>
      <w:r w:rsidR="00847E19">
        <w:t xml:space="preserve">collecting and </w:t>
      </w:r>
      <w:r w:rsidR="00583406">
        <w:t xml:space="preserve">preparing cervical cells for cytological examination than the conventional Pap smear. </w:t>
      </w:r>
      <w:r w:rsidR="00583406" w:rsidRPr="000B2CBF">
        <w:t xml:space="preserve">There are currently two marketed LBC preparation </w:t>
      </w:r>
      <w:r w:rsidR="00583406">
        <w:t>systems available in Australia, t</w:t>
      </w:r>
      <w:r w:rsidR="00583406" w:rsidRPr="000B2CBF">
        <w:t>he SurePath™ LBC system (</w:t>
      </w:r>
      <w:r w:rsidR="00EF6859">
        <w:t>Bec</w:t>
      </w:r>
      <w:r w:rsidR="00EF6859" w:rsidRPr="000B2CBF">
        <w:t>ton</w:t>
      </w:r>
      <w:r w:rsidR="00583406" w:rsidRPr="000B2CBF">
        <w:t xml:space="preserve"> Dickinson </w:t>
      </w:r>
      <w:r w:rsidR="00FC7A74">
        <w:t xml:space="preserve">[BD] </w:t>
      </w:r>
      <w:r w:rsidR="00583406" w:rsidRPr="000B2CBF">
        <w:t xml:space="preserve">Pty Ltd) </w:t>
      </w:r>
      <w:r w:rsidR="00583406">
        <w:t xml:space="preserve">and </w:t>
      </w:r>
      <w:r w:rsidR="00583406" w:rsidRPr="000B2CBF">
        <w:t>ThinPrep® Pap syste</w:t>
      </w:r>
      <w:r w:rsidR="00583406">
        <w:t xml:space="preserve">m (Hologic [Australia] Pty Ltd). </w:t>
      </w:r>
      <w:r w:rsidR="00583406" w:rsidRPr="000B2CBF">
        <w:t xml:space="preserve">These systems use different technical methods for storing and preparing the cervical cytology sample, some of which are patented. </w:t>
      </w:r>
    </w:p>
    <w:p w:rsidR="00583406" w:rsidRDefault="00583406" w:rsidP="00583406">
      <w:r w:rsidRPr="00136D50">
        <w:t xml:space="preserve">The BD SurePath™ </w:t>
      </w:r>
      <w:r w:rsidR="00235AC3">
        <w:t>cell enrichment</w:t>
      </w:r>
      <w:r w:rsidRPr="00136D50">
        <w:t xml:space="preserve"> </w:t>
      </w:r>
      <w:r w:rsidR="002C1FBC" w:rsidRPr="00136D50">
        <w:t xml:space="preserve">LBC </w:t>
      </w:r>
      <w:r w:rsidR="00FC7A74">
        <w:t>is a proprietary,</w:t>
      </w:r>
      <w:r w:rsidRPr="00136D50">
        <w:t xml:space="preserve"> sample collection, preservation and transport system that consists of the BD SurePath™ sample collection vial containing proprietary preservative </w:t>
      </w:r>
      <w:r w:rsidR="00DA5F68">
        <w:t>fluid</w:t>
      </w:r>
      <w:r w:rsidR="00DA5F68" w:rsidRPr="00136D50">
        <w:t xml:space="preserve"> </w:t>
      </w:r>
      <w:r w:rsidRPr="00136D50">
        <w:t>and sample collection devices</w:t>
      </w:r>
      <w:r>
        <w:t xml:space="preserve"> (all of which are provided by the pathology companies)</w:t>
      </w:r>
      <w:r w:rsidRPr="00136D50">
        <w:t>.</w:t>
      </w:r>
      <w:r>
        <w:t xml:space="preserve"> Cells are collected using a brush, broom or spatula in the same way as they are collected for a conventional Pap smear, but the head of the brush or spatula is detached into a vial of preservative fluid to produce a cell suspension which is sent to the laboratory. In the direct-to-vial collection method, instead of smearing the cells directly onto a glass slide, cells collected from the cervical scraping are transferred directly to the LBC preservative fluid.</w:t>
      </w:r>
      <w:r w:rsidR="00785E35">
        <w:t xml:space="preserve"> </w:t>
      </w:r>
      <w:r w:rsidR="00785E35" w:rsidRPr="00785E35">
        <w:t xml:space="preserve"> </w:t>
      </w:r>
      <w:r w:rsidR="00785E35">
        <w:t xml:space="preserve">The </w:t>
      </w:r>
      <w:r w:rsidR="00BA0E41">
        <w:t xml:space="preserve">collection method </w:t>
      </w:r>
      <w:r w:rsidR="00785E35">
        <w:t xml:space="preserve">benefit of </w:t>
      </w:r>
      <w:r w:rsidR="002C1FBC">
        <w:t xml:space="preserve">cell enrichment </w:t>
      </w:r>
      <w:r w:rsidR="00785E35">
        <w:t xml:space="preserve">LBC is </w:t>
      </w:r>
      <w:r w:rsidR="0083297B">
        <w:t>that</w:t>
      </w:r>
      <w:r w:rsidR="00785E35">
        <w:t xml:space="preserve"> 100% of the</w:t>
      </w:r>
      <w:r w:rsidR="0083297B">
        <w:t xml:space="preserve"> sampled</w:t>
      </w:r>
      <w:r w:rsidR="00785E35">
        <w:t xml:space="preserve"> material </w:t>
      </w:r>
      <w:r w:rsidR="0083297B">
        <w:t xml:space="preserve">is </w:t>
      </w:r>
      <w:r w:rsidR="00785E35">
        <w:t>captured</w:t>
      </w:r>
      <w:r w:rsidR="00DA5F68">
        <w:t xml:space="preserve"> </w:t>
      </w:r>
      <w:r w:rsidR="00DA5F68" w:rsidRPr="00DA5F68">
        <w:t>providing a more representative sample of the cervix and increasing the chance of finding abnormal material</w:t>
      </w:r>
      <w:r w:rsidR="00785E35">
        <w:t xml:space="preserve">. The more material collected the greater the chance of finding any abnormal cells. Part of the material includes mucus and endocervical cells </w:t>
      </w:r>
      <w:r w:rsidR="00140CA4">
        <w:t>which are</w:t>
      </w:r>
      <w:r w:rsidR="00785E35">
        <w:t xml:space="preserve"> often trapped in the </w:t>
      </w:r>
      <w:proofErr w:type="gramStart"/>
      <w:r w:rsidR="00785E35">
        <w:t>mucus,</w:t>
      </w:r>
      <w:proofErr w:type="gramEnd"/>
      <w:r w:rsidR="00785E35">
        <w:t xml:space="preserve"> </w:t>
      </w:r>
      <w:r w:rsidR="00DA5F68">
        <w:t xml:space="preserve">this </w:t>
      </w:r>
      <w:r w:rsidR="00785E35">
        <w:t xml:space="preserve">will often stick to the collection device of conventional </w:t>
      </w:r>
      <w:r w:rsidR="002C1FBC">
        <w:t xml:space="preserve">Pap </w:t>
      </w:r>
      <w:r w:rsidR="00785E35">
        <w:t xml:space="preserve">smears and be discarded. </w:t>
      </w:r>
      <w:r w:rsidR="002C1FBC">
        <w:t>Furthermore</w:t>
      </w:r>
      <w:r w:rsidR="00D40832">
        <w:t>,</w:t>
      </w:r>
      <w:r w:rsidR="002C1FBC">
        <w:t xml:space="preserve"> the immediate fixation preserves morphology and removes </w:t>
      </w:r>
      <w:r w:rsidR="00EF6859">
        <w:t>air drying</w:t>
      </w:r>
      <w:r w:rsidR="005D79E8">
        <w:t xml:space="preserve"> artefact (Hoda </w:t>
      </w:r>
      <w:r w:rsidR="002C1FBC">
        <w:t>2012).</w:t>
      </w:r>
    </w:p>
    <w:p w:rsidR="00DA5F68" w:rsidRDefault="005E1293" w:rsidP="00583406">
      <w:r>
        <w:lastRenderedPageBreak/>
        <w:t xml:space="preserve">In the </w:t>
      </w:r>
      <w:r w:rsidRPr="00136D50">
        <w:t>SurePath™</w:t>
      </w:r>
      <w:r>
        <w:t xml:space="preserve"> vial t</w:t>
      </w:r>
      <w:r w:rsidR="00785E35">
        <w:t>he mucus slowly softens</w:t>
      </w:r>
      <w:r w:rsidR="00FC7A74">
        <w:t xml:space="preserve"> and breaks down in the ethanol-</w:t>
      </w:r>
      <w:r w:rsidR="00785E35">
        <w:t xml:space="preserve">based preservative fluid, releasing the cells. The sample is vortexed in the laboratory and the cells are released from the collection device. </w:t>
      </w:r>
      <w:r>
        <w:t>The cell enrichment LBC process consists of cen</w:t>
      </w:r>
      <w:r w:rsidR="00FC7A74">
        <w:t xml:space="preserve">trifugal sedimentation through </w:t>
      </w:r>
      <w:r w:rsidR="00DA5F68">
        <w:t>D</w:t>
      </w:r>
      <w:r w:rsidR="00FC7A74">
        <w:t xml:space="preserve">ensity </w:t>
      </w:r>
      <w:r w:rsidR="00DA5F68">
        <w:t>R</w:t>
      </w:r>
      <w:r w:rsidR="00FC7A74">
        <w:t>eagent, removing non-</w:t>
      </w:r>
      <w:r>
        <w:t>diagnostic debris such as blood, mucus and inflammatory cells.</w:t>
      </w:r>
      <w:r w:rsidR="00583406">
        <w:t xml:space="preserve"> </w:t>
      </w:r>
      <w:r w:rsidR="004E3B16">
        <w:t xml:space="preserve">The vial is then </w:t>
      </w:r>
      <w:r w:rsidR="001A3CFB">
        <w:t>centrifuged;</w:t>
      </w:r>
      <w:r w:rsidR="00DA5F68">
        <w:t xml:space="preserve"> </w:t>
      </w:r>
      <w:r w:rsidR="00DA5F68" w:rsidRPr="00416A1A">
        <w:t>the enriched cell pellet is then placed on the BD PrepStain</w:t>
      </w:r>
      <w:proofErr w:type="gramStart"/>
      <w:r w:rsidR="00DA5F68" w:rsidRPr="00416A1A">
        <w:t>™  re</w:t>
      </w:r>
      <w:proofErr w:type="gramEnd"/>
      <w:r w:rsidR="00DA5F68" w:rsidRPr="00416A1A">
        <w:t>-suspended in de-ionised water. The specimen is then homogenised and a randomised aliquot is transferred to a settling chamber. The suspension of cervical cells is then allowed to settle via Gravity Sedimentation, producing a thin layer slid</w:t>
      </w:r>
      <w:r w:rsidR="00416A1A">
        <w:t>e for cytologic interpretation.</w:t>
      </w:r>
    </w:p>
    <w:p w:rsidR="00583406" w:rsidRDefault="004E3B16" w:rsidP="00583406">
      <w:r>
        <w:t xml:space="preserve">Glandular abnormalities are often in large groups, which can be quite heavy. The </w:t>
      </w:r>
      <w:r w:rsidR="002E19A8">
        <w:t>Cell enrichment</w:t>
      </w:r>
      <w:r>
        <w:t xml:space="preserve"> cell enrichment and gravity sedimentation processes both actively select for heavier elements, meaning that large groups </w:t>
      </w:r>
      <w:r w:rsidR="002C1FBC">
        <w:t>of cells</w:t>
      </w:r>
      <w:r w:rsidR="00DA5F68">
        <w:t xml:space="preserve"> and tissue fragments</w:t>
      </w:r>
      <w:r w:rsidR="002C1FBC">
        <w:t xml:space="preserve"> </w:t>
      </w:r>
      <w:r>
        <w:t xml:space="preserve">are more likely to be present </w:t>
      </w:r>
      <w:r w:rsidR="002C1FBC">
        <w:t>with cell enrichment LBC</w:t>
      </w:r>
      <w:r>
        <w:t>.</w:t>
      </w:r>
    </w:p>
    <w:p w:rsidR="00583406" w:rsidRDefault="00843D82" w:rsidP="00583406">
      <w:r>
        <w:t xml:space="preserve">Instructions are provided for cell enrichment LBC specimen collection with the collection devices. </w:t>
      </w:r>
      <w:r w:rsidR="00583406" w:rsidRPr="00136D50">
        <w:t>Training is required for LBC processing and specimen review. Specimen review training is intensive, involving training over four days.</w:t>
      </w:r>
    </w:p>
    <w:p w:rsidR="00583406" w:rsidRDefault="00583406" w:rsidP="00843D82">
      <w:r w:rsidRPr="000B2CBF">
        <w:t xml:space="preserve">The ThinPrep® </w:t>
      </w:r>
      <w:r w:rsidR="00843D82">
        <w:t>cell filtration LBC</w:t>
      </w:r>
      <w:r w:rsidRPr="000B2CBF">
        <w:t xml:space="preserve"> system (Hologic [Australia] Pty Ltd) requires that the head of the brush or spatula be rinsed into a vial of liquid to produce a cell suspension</w:t>
      </w:r>
      <w:r w:rsidR="00843D82">
        <w:t xml:space="preserve">. </w:t>
      </w:r>
      <w:r w:rsidR="00843D82" w:rsidRPr="000B2CBF">
        <w:t xml:space="preserve">ThinPrep® </w:t>
      </w:r>
      <w:r w:rsidR="00843D82">
        <w:t>is a filter-based processing technique</w:t>
      </w:r>
      <w:r w:rsidR="00BA0E41">
        <w:t xml:space="preserve"> in which</w:t>
      </w:r>
      <w:r w:rsidR="00DA5F68" w:rsidRPr="00DA5F68">
        <w:t xml:space="preserve"> a filter is inserted into the vial and </w:t>
      </w:r>
      <w:r w:rsidR="00BA0E41">
        <w:t xml:space="preserve">which is then </w:t>
      </w:r>
      <w:r w:rsidR="00BA0E41" w:rsidRPr="00DA5F68">
        <w:t>s</w:t>
      </w:r>
      <w:r w:rsidR="00BA0E41">
        <w:t>pun</w:t>
      </w:r>
      <w:r w:rsidR="00BA0E41" w:rsidRPr="00DA5F68">
        <w:t xml:space="preserve"> </w:t>
      </w:r>
      <w:r w:rsidR="00DA5F68" w:rsidRPr="00DA5F68">
        <w:t xml:space="preserve">at high speed, with the resulting centrifugal forces helping to break up mucus and </w:t>
      </w:r>
      <w:r w:rsidR="00BA0E41">
        <w:t xml:space="preserve">to </w:t>
      </w:r>
      <w:r w:rsidR="00DA5F68" w:rsidRPr="00DA5F68">
        <w:t>homogenise the specimen. The specimen is then aspirated through the filter until the computer registers that the filter is occluded. The filter is then applied to a slide and the cells are pressed onto the surface using mechanical and positive air pressure, creating a thin layer slide.</w:t>
      </w:r>
      <w:r w:rsidR="001A3CFB">
        <w:t xml:space="preserve"> </w:t>
      </w:r>
      <w:r w:rsidR="0032677D">
        <w:t>N</w:t>
      </w:r>
      <w:r w:rsidR="00843D82">
        <w:t>on</w:t>
      </w:r>
      <w:r w:rsidR="00D40832">
        <w:t>-</w:t>
      </w:r>
      <w:r w:rsidR="00843D82">
        <w:t xml:space="preserve">squamous cell particles, such as white and red blood cells and mucin compete with </w:t>
      </w:r>
      <w:r w:rsidR="0032677D">
        <w:t>diagnostic material for space on the membrane filter</w:t>
      </w:r>
      <w:r w:rsidR="00843D82">
        <w:t xml:space="preserve">, </w:t>
      </w:r>
      <w:r w:rsidRPr="000B2CBF">
        <w:t xml:space="preserve">and the </w:t>
      </w:r>
      <w:r w:rsidR="00843D82">
        <w:t xml:space="preserve">cervical </w:t>
      </w:r>
      <w:r w:rsidRPr="000B2CBF">
        <w:t xml:space="preserve">cell residue </w:t>
      </w:r>
      <w:r w:rsidR="0032677D">
        <w:t xml:space="preserve">which adheres to the filter </w:t>
      </w:r>
      <w:r w:rsidRPr="000B2CBF">
        <w:t>s transferred to the slide</w:t>
      </w:r>
      <w:r w:rsidR="005D79E8">
        <w:t xml:space="preserve"> (Hoda </w:t>
      </w:r>
      <w:r w:rsidR="00843D82">
        <w:t>2012)</w:t>
      </w:r>
      <w:r w:rsidRPr="000B2CBF">
        <w:t>.</w:t>
      </w:r>
      <w:r w:rsidR="008E43AB" w:rsidRPr="008E43AB">
        <w:t xml:space="preserve"> </w:t>
      </w:r>
      <w:r w:rsidR="008E43AB">
        <w:t xml:space="preserve">The </w:t>
      </w:r>
      <w:r w:rsidR="008E43AB" w:rsidRPr="000B2CBF">
        <w:t>ThinPrep® Pap system</w:t>
      </w:r>
      <w:r w:rsidR="008E43AB">
        <w:t xml:space="preserve"> </w:t>
      </w:r>
      <w:r w:rsidR="00843D82">
        <w:t xml:space="preserve">will be </w:t>
      </w:r>
      <w:r w:rsidR="008E43AB">
        <w:t>referred to in this document as cell filtration LBC.</w:t>
      </w:r>
    </w:p>
    <w:p w:rsidR="00583406" w:rsidRDefault="00583406" w:rsidP="00583406">
      <w:pPr>
        <w:pStyle w:val="Heading40"/>
      </w:pPr>
      <w:r>
        <w:t>Slide review</w:t>
      </w:r>
    </w:p>
    <w:p w:rsidR="00843D82" w:rsidRDefault="004B2181" w:rsidP="00843D82">
      <w:r>
        <w:t xml:space="preserve">LBC </w:t>
      </w:r>
      <w:r w:rsidR="00583406">
        <w:t>slide</w:t>
      </w:r>
      <w:r>
        <w:t>s</w:t>
      </w:r>
      <w:r w:rsidR="00583406">
        <w:t xml:space="preserve"> can be reviewed using standard manual practices on typical microscopes common in all pathology laboratories. Alternatively laboratories can choose to implement a</w:t>
      </w:r>
      <w:r w:rsidR="0083297B">
        <w:t xml:space="preserve"> guided</w:t>
      </w:r>
      <w:r w:rsidR="00583406" w:rsidRPr="00583406">
        <w:t xml:space="preserve"> slide reading</w:t>
      </w:r>
      <w:r w:rsidR="00583406">
        <w:t xml:space="preserve"> system.</w:t>
      </w:r>
      <w:r w:rsidR="00843D82">
        <w:t xml:space="preserve"> </w:t>
      </w:r>
      <w:r w:rsidR="0083297B" w:rsidRPr="0083297B">
        <w:t>Guided systems are commonly referred to as</w:t>
      </w:r>
      <w:r w:rsidR="00D40832">
        <w:t xml:space="preserve"> ‘automated’; however, automation</w:t>
      </w:r>
      <w:r w:rsidR="0083297B" w:rsidRPr="0083297B">
        <w:t xml:space="preserve"> is partial only in the sense of directing the attention of the screener to fields of view that are most likely to contain abnormalities. </w:t>
      </w:r>
      <w:r w:rsidR="00843D82">
        <w:t>The aim of automated slide reading is to reduce cytology reading time and detection error. Both the cell enrichment LBC system and the cell filtration LBC system can be reviewed using either manual or automated reading methods.</w:t>
      </w:r>
    </w:p>
    <w:p w:rsidR="009F5712" w:rsidRDefault="009F5712" w:rsidP="009F5712">
      <w:r>
        <w:t xml:space="preserve">In the 1990s two </w:t>
      </w:r>
      <w:r w:rsidR="00843D82">
        <w:t>United States (</w:t>
      </w:r>
      <w:r>
        <w:t>US</w:t>
      </w:r>
      <w:r w:rsidR="00843D82">
        <w:t>) F</w:t>
      </w:r>
      <w:r>
        <w:t xml:space="preserve">ood and Drug Administration (FDA)-approved automated machines were developed to review cervical smears. They were the AutoPap® 300 QC (NeoPath, </w:t>
      </w:r>
      <w:r>
        <w:lastRenderedPageBreak/>
        <w:t>Redmond, WA, USA) and the PapNet® (Neuromedical Systems Inc</w:t>
      </w:r>
      <w:r w:rsidR="00195600">
        <w:t>.</w:t>
      </w:r>
      <w:r>
        <w:t xml:space="preserve"> Suffern, NY, USA), both systems being designed to work with conventional </w:t>
      </w:r>
      <w:r w:rsidR="00743935">
        <w:t>Pap</w:t>
      </w:r>
      <w:r>
        <w:t xml:space="preserve"> smears. AutoCyte had also developed a</w:t>
      </w:r>
      <w:r w:rsidR="00CE6519">
        <w:t xml:space="preserve"> machine known as the AutoCyte-</w:t>
      </w:r>
      <w:r>
        <w:t>Screen which was able to read AutoCyte-Prep slides (now BD SurePath LBC). Despite the initial promise of the technology none of these machines is</w:t>
      </w:r>
      <w:r w:rsidR="005D79E8">
        <w:t xml:space="preserve"> now available (Kitchener </w:t>
      </w:r>
      <w:r w:rsidR="00416A1A">
        <w:t>2011).</w:t>
      </w:r>
    </w:p>
    <w:p w:rsidR="0083297B" w:rsidRPr="0083297B" w:rsidRDefault="0083297B" w:rsidP="0083297B">
      <w:r w:rsidRPr="0083297B">
        <w:t xml:space="preserve">The </w:t>
      </w:r>
      <w:r>
        <w:t xml:space="preserve">BD FocalPoint™ Guided Screening (GS) Imaging System </w:t>
      </w:r>
      <w:r w:rsidRPr="0083297B">
        <w:t xml:space="preserve">and the </w:t>
      </w:r>
      <w:r>
        <w:t>ThinPrep Imaging System (Hologic</w:t>
      </w:r>
      <w:r w:rsidRPr="00AF2DA0">
        <w:rPr>
          <w:vertAlign w:val="superscript"/>
        </w:rPr>
        <w:t>TM</w:t>
      </w:r>
      <w:r>
        <w:t xml:space="preserve">, Bedford, MA, USA) </w:t>
      </w:r>
      <w:r w:rsidRPr="0083297B">
        <w:t xml:space="preserve">are FDA approved for primary screening of SurePath and ThinPrep samples respectively. Use of these systems in Australia is subject to the pathology </w:t>
      </w:r>
      <w:r w:rsidR="001A3CFB" w:rsidRPr="0083297B">
        <w:t>laborator</w:t>
      </w:r>
      <w:r w:rsidR="001A3CFB">
        <w:t>y</w:t>
      </w:r>
      <w:r w:rsidR="001A3CFB" w:rsidRPr="0083297B">
        <w:t xml:space="preserve"> validation</w:t>
      </w:r>
      <w:r w:rsidRPr="0083297B">
        <w:t xml:space="preserve"> processes</w:t>
      </w:r>
      <w:r w:rsidR="003B073E">
        <w:t>; both systems a</w:t>
      </w:r>
      <w:r w:rsidR="00D12DA7">
        <w:t>re currently in use in Australia</w:t>
      </w:r>
    </w:p>
    <w:p w:rsidR="009F5712" w:rsidRDefault="009F5712" w:rsidP="009F5712">
      <w:r>
        <w:t xml:space="preserve">The BD FocalPoint™ </w:t>
      </w:r>
      <w:r w:rsidR="00843D82">
        <w:t>GS</w:t>
      </w:r>
      <w:r>
        <w:t xml:space="preserve"> Imaging System is a syst</w:t>
      </w:r>
      <w:r w:rsidR="00CE6519">
        <w:t>em which directs</w:t>
      </w:r>
      <w:r>
        <w:t xml:space="preserve"> the cytot</w:t>
      </w:r>
      <w:r w:rsidR="00CE6519">
        <w:t>echnologist</w:t>
      </w:r>
      <w:r>
        <w:t xml:space="preserve"> </w:t>
      </w:r>
      <w:r w:rsidR="00416A1A">
        <w:t>(</w:t>
      </w:r>
      <w:r w:rsidR="00C67B40">
        <w:t>screening cytologist</w:t>
      </w:r>
      <w:r w:rsidR="00416A1A">
        <w:t xml:space="preserve">) </w:t>
      </w:r>
      <w:r>
        <w:t xml:space="preserve">to areas on the specimen most likely to contain abnormalities. When using this system the </w:t>
      </w:r>
      <w:r w:rsidR="00416A1A">
        <w:t xml:space="preserve">cytotechnologist </w:t>
      </w:r>
      <w:r>
        <w:t>is able to review the selected areas of the specimen and confirm whether or not abnormalities are present. With manual review</w:t>
      </w:r>
      <w:r w:rsidR="00CE6519">
        <w:t>,</w:t>
      </w:r>
      <w:r>
        <w:t xml:space="preserve"> the </w:t>
      </w:r>
      <w:r w:rsidR="00416A1A">
        <w:t xml:space="preserve">cytotechnologist </w:t>
      </w:r>
      <w:r>
        <w:t>is required to exam</w:t>
      </w:r>
      <w:r w:rsidR="005D79E8">
        <w:t>ine the entire specimen. This guided screening</w:t>
      </w:r>
      <w:r>
        <w:t xml:space="preserve"> system therefore decreases the time required to complete the assessment. </w:t>
      </w:r>
    </w:p>
    <w:p w:rsidR="009F5712" w:rsidRDefault="009F5712" w:rsidP="009F5712">
      <w:r>
        <w:t>The BD FocalPoint™ GS Imaging</w:t>
      </w:r>
      <w:r w:rsidR="00CE6519">
        <w:t xml:space="preserve"> System also ranks each slide according</w:t>
      </w:r>
      <w:r>
        <w:t xml:space="preserve"> to its likelihood of containing an abnormality, effectively directing internal quality control within the laboratory and potentially minimising false negatives.</w:t>
      </w:r>
    </w:p>
    <w:p w:rsidR="009F5712" w:rsidRDefault="008434A3" w:rsidP="009F5712">
      <w:r>
        <w:t>Australian p</w:t>
      </w:r>
      <w:r w:rsidR="009F5712">
        <w:t>athology laboratories are required to maintain quality standards in line with mandatory quality assurance program. The reporting of cervical cytology differs from most areas of pathology, where machines or test kits can be calibrated against control specimens. The reporting of cervical cytology is entirely a human experience and is s</w:t>
      </w:r>
      <w:r w:rsidR="00CE376C">
        <w:t>ubject to error. Consequently</w:t>
      </w:r>
      <w:r w:rsidR="009F5712">
        <w:t xml:space="preserve">, both the purchasers and providers of cervical cytology services are accountable for the quality of the service and responsible for minimising error levels. The same quality assurance procedures apply irrespective of whether laboratories choose to review </w:t>
      </w:r>
      <w:r>
        <w:t>cervical</w:t>
      </w:r>
      <w:r w:rsidR="009F5712">
        <w:t xml:space="preserve"> smears using manual or automated methods.</w:t>
      </w:r>
    </w:p>
    <w:p w:rsidR="009F5712" w:rsidRPr="00B60787" w:rsidRDefault="009F5712" w:rsidP="009F5712">
      <w:r>
        <w:t xml:space="preserve">The National Association of Testing Authorities (NATA) has the responsibility for performing a triennial inspection of each laboratory </w:t>
      </w:r>
      <w:r w:rsidR="008434A3">
        <w:t xml:space="preserve">in Australia </w:t>
      </w:r>
      <w:r>
        <w:t>and for assessing annual reports of laboratories in relation to the performance standards (</w:t>
      </w:r>
      <w:r w:rsidR="00A100EE">
        <w:t>Do</w:t>
      </w:r>
      <w:r w:rsidR="009B1F1B">
        <w:t xml:space="preserve">HA </w:t>
      </w:r>
      <w:r>
        <w:t>Performance measures for Australian laborator</w:t>
      </w:r>
      <w:r w:rsidR="009B1F1B">
        <w:t>ies reporting cervical cytology</w:t>
      </w:r>
      <w:r>
        <w:t xml:space="preserve"> 2006). There are six mandatory performance measures for Australian laboratories r</w:t>
      </w:r>
      <w:r w:rsidR="009B1F1B">
        <w:t>eporting cervical cytology (</w:t>
      </w:r>
      <w:proofErr w:type="gramStart"/>
      <w:r w:rsidR="009B1F1B">
        <w:t>DoHA</w:t>
      </w:r>
      <w:proofErr w:type="gramEnd"/>
      <w:r>
        <w:t xml:space="preserve"> 2006). The Royal College of Pathologists of Australasia (RCPA) maintains the Cytopathology Quality Assurance Program across Australia and laboratories are required to submit data against the mandated perfor</w:t>
      </w:r>
      <w:r w:rsidR="009B1F1B">
        <w:t>mance measure twice a year (</w:t>
      </w:r>
      <w:proofErr w:type="gramStart"/>
      <w:r w:rsidR="009B1F1B">
        <w:t>DoHA</w:t>
      </w:r>
      <w:proofErr w:type="gramEnd"/>
      <w:r>
        <w:t xml:space="preserve"> 2006). </w:t>
      </w:r>
    </w:p>
    <w:p w:rsidR="00583406" w:rsidRDefault="009F5712" w:rsidP="00583406">
      <w:r>
        <w:lastRenderedPageBreak/>
        <w:t>The current MBS listings</w:t>
      </w:r>
      <w:r w:rsidRPr="00445BCE">
        <w:t xml:space="preserve"> </w:t>
      </w:r>
      <w:r w:rsidRPr="00B60787">
        <w:t xml:space="preserve">of </w:t>
      </w:r>
      <w:r w:rsidR="008434A3">
        <w:t>conventional Pap</w:t>
      </w:r>
      <w:r w:rsidRPr="00B60787">
        <w:t xml:space="preserve"> smear preparation</w:t>
      </w:r>
      <w:r>
        <w:t xml:space="preserve"> and proposed future listings specific to LBC</w:t>
      </w:r>
      <w:r w:rsidRPr="00B60787">
        <w:t xml:space="preserve"> </w:t>
      </w:r>
      <w:r>
        <w:t xml:space="preserve">do not stipulate </w:t>
      </w:r>
      <w:r w:rsidRPr="00B60787">
        <w:t xml:space="preserve">the type of smear review </w:t>
      </w:r>
      <w:r>
        <w:t xml:space="preserve">to be used </w:t>
      </w:r>
      <w:r w:rsidRPr="00B60787">
        <w:t>by lab</w:t>
      </w:r>
      <w:r>
        <w:t>oratories. Importantly</w:t>
      </w:r>
      <w:r w:rsidR="00CE6519">
        <w:t>,</w:t>
      </w:r>
      <w:r>
        <w:t xml:space="preserve"> the same fee is proposed as is currently reimbursed irrespective of the type of smear review performed at the laboratory. The DAP proposed listing stat</w:t>
      </w:r>
      <w:r w:rsidR="008434A3">
        <w:t>e</w:t>
      </w:r>
      <w:r>
        <w:t>s, “</w:t>
      </w:r>
      <w:r w:rsidRPr="00BA4EBB">
        <w:t>microscopically examined by or on behalf of a pathologist using manual or automated methods</w:t>
      </w:r>
      <w:r>
        <w:t>”. I</w:t>
      </w:r>
      <w:r w:rsidRPr="00BA4EBB">
        <w:t>ndividual laboratories currently make the decision whether to review slides using manual or automated methods</w:t>
      </w:r>
      <w:r w:rsidR="0083297B">
        <w:t xml:space="preserve">, </w:t>
      </w:r>
      <w:r w:rsidR="0083297B" w:rsidRPr="0083297B">
        <w:t>with LBC primary slide reading automation in place in several large laboratory sites</w:t>
      </w:r>
      <w:r w:rsidRPr="00BA4EBB">
        <w:t>. The aim of automated slide reading is to reduce cytology reading time and detection error.</w:t>
      </w:r>
      <w:r>
        <w:t xml:space="preserve"> There is an increasing shortage of trained cytotechnologists in Australia therefore automated technologies, which increase productivity, may aid in addressing workforce shortages by decreasing staff requirement. Whichever method of review is implemented by laboratories they are still required to meet quality standards,</w:t>
      </w:r>
      <w:r w:rsidR="0083297B">
        <w:t xml:space="preserve"> with</w:t>
      </w:r>
      <w:r>
        <w:t xml:space="preserve"> the method</w:t>
      </w:r>
      <w:r w:rsidR="0083297B">
        <w:t xml:space="preserve"> of slide review</w:t>
      </w:r>
      <w:r w:rsidRPr="00B60787">
        <w:t xml:space="preserve"> at the discretion of the laboratory.</w:t>
      </w:r>
      <w:r w:rsidR="00416A1A">
        <w:t xml:space="preserve"> </w:t>
      </w:r>
      <w:r w:rsidR="00583406" w:rsidRPr="00583406">
        <w:t xml:space="preserve">Generally it is the larger laboratories with highest throughput which are able to generate the efficiencies from automated guided screening to offset the additional </w:t>
      </w:r>
      <w:r w:rsidR="001A3CFB">
        <w:t>investment required</w:t>
      </w:r>
      <w:r w:rsidR="00416A1A">
        <w:t xml:space="preserve"> </w:t>
      </w:r>
      <w:r w:rsidR="00090833">
        <w:t>for automation</w:t>
      </w:r>
      <w:r w:rsidR="00583406" w:rsidRPr="00583406">
        <w:t>.</w:t>
      </w:r>
      <w:r w:rsidR="001165AC">
        <w:t xml:space="preserve"> </w:t>
      </w:r>
    </w:p>
    <w:p w:rsidR="007572E0" w:rsidRPr="00247BCE" w:rsidRDefault="006B2F62" w:rsidP="007572E0">
      <w:pPr>
        <w:pStyle w:val="Heading30"/>
      </w:pPr>
      <w:bookmarkStart w:id="71" w:name="_Toc337546875"/>
      <w:r>
        <w:t>A.3.2</w:t>
      </w:r>
      <w:r>
        <w:tab/>
      </w:r>
      <w:r w:rsidR="007572E0">
        <w:t xml:space="preserve">Other </w:t>
      </w:r>
      <w:r w:rsidR="00247BCE">
        <w:t>healthcare resources</w:t>
      </w:r>
      <w:bookmarkEnd w:id="71"/>
    </w:p>
    <w:p w:rsidR="00247BCE" w:rsidRDefault="00247BCE" w:rsidP="00247BCE">
      <w:r>
        <w:t xml:space="preserve">Other healthcare resources implemented in association with cervical screening are </w:t>
      </w:r>
      <w:r w:rsidR="00146B66">
        <w:t xml:space="preserve">medical consultation, colposcopy, biopsy, </w:t>
      </w:r>
      <w:r w:rsidR="009B1F1B">
        <w:t>surgical</w:t>
      </w:r>
      <w:r w:rsidR="00210DF9">
        <w:t>,</w:t>
      </w:r>
      <w:r w:rsidR="009B1F1B">
        <w:t xml:space="preserve"> and nonsurgical </w:t>
      </w:r>
      <w:r w:rsidR="00146B66">
        <w:t>treatment</w:t>
      </w:r>
      <w:r w:rsidR="009B1F1B">
        <w:t>s</w:t>
      </w:r>
      <w:r w:rsidR="00146B66">
        <w:t>.</w:t>
      </w:r>
      <w:r>
        <w:t xml:space="preserve"> </w:t>
      </w:r>
    </w:p>
    <w:p w:rsidR="008434A3" w:rsidRDefault="009B1F1B" w:rsidP="00CE6519">
      <w:pPr>
        <w:pStyle w:val="Heading40"/>
      </w:pPr>
      <w:r>
        <w:t xml:space="preserve">Medical </w:t>
      </w:r>
      <w:r w:rsidR="00210DF9">
        <w:t>consultation</w:t>
      </w:r>
    </w:p>
    <w:p w:rsidR="008434A3" w:rsidRPr="008434A3" w:rsidRDefault="00EF6859" w:rsidP="006028F4">
      <w:r>
        <w:t>Conventional P</w:t>
      </w:r>
      <w:r w:rsidRPr="00583406">
        <w:t xml:space="preserve">ap smears </w:t>
      </w:r>
      <w:r>
        <w:t>are</w:t>
      </w:r>
      <w:r w:rsidRPr="00583406">
        <w:t xml:space="preserve"> a stand-alon</w:t>
      </w:r>
      <w:r w:rsidR="00CE6519">
        <w:t xml:space="preserve">e primary screening test </w:t>
      </w:r>
      <w:r w:rsidR="008434A3" w:rsidRPr="00583406">
        <w:t>commonly administered within the context of a medical consultation (MBS Item 3, 23, 36, 44).</w:t>
      </w:r>
      <w:r w:rsidR="009B1F1B">
        <w:t xml:space="preserve"> The te</w:t>
      </w:r>
      <w:r w:rsidR="0032677D">
        <w:t>s</w:t>
      </w:r>
      <w:r w:rsidR="009B1F1B">
        <w:t>t</w:t>
      </w:r>
      <w:r w:rsidR="008434A3">
        <w:t xml:space="preserve"> can also be administered by </w:t>
      </w:r>
      <w:r w:rsidR="008434A3" w:rsidRPr="00583406">
        <w:t>qualified health professionals (MBS Item 52, 53, 54, 57) or in the context of a specialist appointment (MBS Item 104,</w:t>
      </w:r>
      <w:r w:rsidR="00CE6519">
        <w:t xml:space="preserve"> </w:t>
      </w:r>
      <w:r w:rsidR="008434A3" w:rsidRPr="00583406">
        <w:t>105).</w:t>
      </w:r>
    </w:p>
    <w:p w:rsidR="006028F4" w:rsidRPr="008434A3" w:rsidRDefault="006028F4" w:rsidP="00CE6519">
      <w:pPr>
        <w:pStyle w:val="Heading40"/>
      </w:pPr>
      <w:r w:rsidRPr="008434A3">
        <w:t>Colposcopy</w:t>
      </w:r>
    </w:p>
    <w:p w:rsidR="006028F4" w:rsidRDefault="006028F4" w:rsidP="006028F4">
      <w:r>
        <w:t xml:space="preserve">Colposcopic examination is performed after the insertion </w:t>
      </w:r>
      <w:r w:rsidR="00CE6519">
        <w:t>of a vaginal speculum. It enables</w:t>
      </w:r>
      <w:r>
        <w:t xml:space="preserve"> magnified inspection of the cervix and vagina to guide biopsy </w:t>
      </w:r>
      <w:r w:rsidR="008434A3">
        <w:t xml:space="preserve">(when required) </w:t>
      </w:r>
      <w:r>
        <w:t>of the most abnormal areas for histological diagnosis. The procedure is usually perf</w:t>
      </w:r>
      <w:r w:rsidR="00CE6519">
        <w:t>ormed by a gynaecologist, and</w:t>
      </w:r>
      <w:r>
        <w:t xml:space="preserve"> can be undertaken in about 10 minutes. Colposcopic examination is more accurate than cervical cytology although false negatives may still occur due to failure to visualise abnormal lesions (Schiffman &amp; Solomon 2003). The main disadvantage of colposcopy is that it is an expensive test and thus not suitable for population screening. It also causes minimal to moderate</w:t>
      </w:r>
      <w:r w:rsidR="00C07F95">
        <w:t xml:space="preserve"> discomfort (MSAC 2009 p.10)</w:t>
      </w:r>
      <w:r w:rsidR="00D40832">
        <w:t>.</w:t>
      </w:r>
    </w:p>
    <w:p w:rsidR="00247BCE" w:rsidRPr="00247BCE" w:rsidRDefault="00247BCE" w:rsidP="00247BCE">
      <w:r>
        <w:t xml:space="preserve">Should the </w:t>
      </w:r>
      <w:r w:rsidR="00F47DB3">
        <w:t xml:space="preserve">cell enrichment LBC </w:t>
      </w:r>
      <w:r>
        <w:t>receive approval for listing on the MBS</w:t>
      </w:r>
      <w:r w:rsidR="00CE6519">
        <w:t>, there are</w:t>
      </w:r>
      <w:r>
        <w:t xml:space="preserve"> expected to be differences in resource usage</w:t>
      </w:r>
      <w:r w:rsidR="00CE6519">
        <w:t>,</w:t>
      </w:r>
      <w:r>
        <w:t xml:space="preserve"> such as a reduction in repeat testing due to unsatisfactory results. Differences in test performance, such as classifying more slides as positive for low-grade lesions, may also change follow-up investigations (</w:t>
      </w:r>
      <w:r w:rsidR="00F47DB3">
        <w:t xml:space="preserve">primarily </w:t>
      </w:r>
      <w:r>
        <w:t xml:space="preserve">cytological surveillance). In addition, the listing of </w:t>
      </w:r>
      <w:r>
        <w:lastRenderedPageBreak/>
        <w:t xml:space="preserve">the technology </w:t>
      </w:r>
      <w:r w:rsidR="0083297B">
        <w:t>will</w:t>
      </w:r>
      <w:r>
        <w:t xml:space="preserve"> reduce the </w:t>
      </w:r>
      <w:r w:rsidR="0083297B">
        <w:t xml:space="preserve">use of healthcare resources and </w:t>
      </w:r>
      <w:r>
        <w:t xml:space="preserve">costs borne outside the MBS associated with any duplication of </w:t>
      </w:r>
      <w:r w:rsidR="008434A3">
        <w:t xml:space="preserve">both </w:t>
      </w:r>
      <w:r>
        <w:t xml:space="preserve">LBC and conventional Pap smear </w:t>
      </w:r>
      <w:r w:rsidR="008434A3">
        <w:t>being performed</w:t>
      </w:r>
      <w:r>
        <w:t>.</w:t>
      </w:r>
    </w:p>
    <w:p w:rsidR="00B60787" w:rsidRDefault="00B60787" w:rsidP="00136D50">
      <w:pPr>
        <w:pStyle w:val="Heading20"/>
      </w:pPr>
      <w:bookmarkStart w:id="72" w:name="_Toc337546876"/>
      <w:r>
        <w:t>A.4</w:t>
      </w:r>
      <w:r>
        <w:tab/>
        <w:t>Main comparator</w:t>
      </w:r>
      <w:bookmarkEnd w:id="72"/>
    </w:p>
    <w:p w:rsidR="004C7E0E" w:rsidRDefault="009B1F1B" w:rsidP="004C7E0E">
      <w:r>
        <w:t>The most appropriate test</w:t>
      </w:r>
      <w:r w:rsidR="004C7E0E">
        <w:t xml:space="preserve"> to inform the comparative effectiveness and cost-effectiveness of cell enrichment LBC is manual screening of conventional Pap smear cytology. </w:t>
      </w:r>
      <w:r>
        <w:t>The c</w:t>
      </w:r>
      <w:r w:rsidR="0049266B">
        <w:t>onventional Pap smear</w:t>
      </w:r>
      <w:r>
        <w:t xml:space="preserve"> test</w:t>
      </w:r>
      <w:r w:rsidR="0049266B">
        <w:t xml:space="preserve"> is the primary </w:t>
      </w:r>
      <w:r w:rsidR="004C7E0E">
        <w:t xml:space="preserve">comparator </w:t>
      </w:r>
      <w:r w:rsidR="0049266B">
        <w:t>required by</w:t>
      </w:r>
      <w:r w:rsidR="004C7E0E">
        <w:t xml:space="preserve"> the final DAP</w:t>
      </w:r>
      <w:r w:rsidR="0049266B">
        <w:t xml:space="preserve"> </w:t>
      </w:r>
      <w:r>
        <w:t xml:space="preserve">recommendations </w:t>
      </w:r>
      <w:r w:rsidR="0049266B">
        <w:t>(May 2012)</w:t>
      </w:r>
      <w:r w:rsidR="004C7E0E">
        <w:t>.</w:t>
      </w:r>
    </w:p>
    <w:p w:rsidR="009F5712" w:rsidRDefault="009F5712" w:rsidP="009F5712">
      <w:r>
        <w:t>I</w:t>
      </w:r>
      <w:r w:rsidRPr="00583406">
        <w:t>ndividual laboratories currently make the decision</w:t>
      </w:r>
      <w:r w:rsidR="0040598F">
        <w:t xml:space="preserve"> about</w:t>
      </w:r>
      <w:r w:rsidRPr="00583406">
        <w:t xml:space="preserve"> whether to review slides using manual or automated methods. </w:t>
      </w:r>
      <w:r>
        <w:t>Whichever method of review is</w:t>
      </w:r>
      <w:r w:rsidR="0040598F">
        <w:t xml:space="preserve"> implemented, laboratories </w:t>
      </w:r>
      <w:r>
        <w:t>are still required to meet quality standards</w:t>
      </w:r>
      <w:r w:rsidRPr="00B60787">
        <w:t>.</w:t>
      </w:r>
      <w:r w:rsidR="004C7E0E">
        <w:t xml:space="preserve"> </w:t>
      </w:r>
      <w:r>
        <w:t>Nevertheless</w:t>
      </w:r>
      <w:r w:rsidR="0040598F">
        <w:t>,</w:t>
      </w:r>
      <w:r>
        <w:t xml:space="preserve"> the final DAP </w:t>
      </w:r>
      <w:r w:rsidR="0049266B">
        <w:t>(</w:t>
      </w:r>
      <w:r w:rsidR="0040598F">
        <w:t>May 2012) requires that a s</w:t>
      </w:r>
      <w:r>
        <w:t>econdary comparison</w:t>
      </w:r>
      <w:r w:rsidR="0040598F">
        <w:t xml:space="preserve"> be</w:t>
      </w:r>
      <w:r>
        <w:t xml:space="preserve"> “undertaken to examine the issue of automated versus manual reading of slides”</w:t>
      </w:r>
      <w:r w:rsidR="004C7E0E">
        <w:t xml:space="preserve"> as in the 2009 MSAC review of LBC</w:t>
      </w:r>
      <w:r>
        <w:t xml:space="preserve">. </w:t>
      </w:r>
    </w:p>
    <w:p w:rsidR="009F5712" w:rsidRDefault="00BF5BEF" w:rsidP="009F5712">
      <w:r>
        <w:t>As recommended in the DAP, c</w:t>
      </w:r>
      <w:r w:rsidR="004C7E0E">
        <w:t xml:space="preserve">ell enrichment </w:t>
      </w:r>
      <w:r>
        <w:t xml:space="preserve">LBC </w:t>
      </w:r>
      <w:r w:rsidR="004C7E0E">
        <w:t>will also be compared with cell filtration LBC</w:t>
      </w:r>
      <w:r>
        <w:t xml:space="preserve"> in order to justify </w:t>
      </w:r>
      <w:r w:rsidR="0049266B">
        <w:t xml:space="preserve">the </w:t>
      </w:r>
      <w:r>
        <w:t xml:space="preserve">explicit inclusion </w:t>
      </w:r>
      <w:r w:rsidR="0049266B">
        <w:t xml:space="preserve">of cell enrichment </w:t>
      </w:r>
      <w:r w:rsidR="00EF6859">
        <w:t>LBC in</w:t>
      </w:r>
      <w:r>
        <w:t xml:space="preserve"> the MBS item descriptor</w:t>
      </w:r>
      <w:r w:rsidR="004C7E0E">
        <w:t>.</w:t>
      </w:r>
    </w:p>
    <w:p w:rsidR="00DD1D4B" w:rsidRDefault="00BF5BEF" w:rsidP="009F5712">
      <w:pPr>
        <w:sectPr w:rsidR="00DD1D4B" w:rsidSect="008846BA">
          <w:headerReference w:type="default" r:id="rId18"/>
          <w:pgSz w:w="11907" w:h="16840" w:code="9"/>
          <w:pgMar w:top="1440" w:right="1440" w:bottom="1440" w:left="1440" w:header="720" w:footer="720" w:gutter="0"/>
          <w:paperSrc w:first="7" w:other="7"/>
          <w:pgNumType w:start="1"/>
          <w:cols w:space="720"/>
          <w:noEndnote/>
          <w:docGrid w:linePitch="299"/>
        </w:sectPr>
      </w:pPr>
      <w:r>
        <w:t xml:space="preserve">The comparisons made in this submission are summarised in </w:t>
      </w:r>
      <w:r w:rsidR="00086C77">
        <w:fldChar w:fldCharType="begin"/>
      </w:r>
      <w:r w:rsidR="00DD1D4B">
        <w:instrText xml:space="preserve"> REF _Ref332790182 \h </w:instrText>
      </w:r>
      <w:r w:rsidR="00086C77">
        <w:fldChar w:fldCharType="separate"/>
      </w:r>
      <w:r w:rsidR="003361A8">
        <w:t xml:space="preserve">Table </w:t>
      </w:r>
      <w:r w:rsidR="003361A8">
        <w:rPr>
          <w:noProof/>
        </w:rPr>
        <w:t>6</w:t>
      </w:r>
      <w:r w:rsidR="00086C77">
        <w:fldChar w:fldCharType="end"/>
      </w:r>
      <w:r>
        <w:t>:</w:t>
      </w:r>
    </w:p>
    <w:p w:rsidR="00DD1D4B" w:rsidRDefault="00DD1D4B" w:rsidP="00DD1D4B">
      <w:pPr>
        <w:pStyle w:val="Caption"/>
      </w:pPr>
      <w:bookmarkStart w:id="73" w:name="_Ref332790182"/>
      <w:bookmarkStart w:id="74" w:name="_Toc335665972"/>
      <w:bookmarkStart w:id="75" w:name="_Toc337546943"/>
      <w:r>
        <w:lastRenderedPageBreak/>
        <w:t xml:space="preserve">Table </w:t>
      </w:r>
      <w:fldSimple w:instr=" SEQ Table \* ARABIC ">
        <w:r w:rsidR="003361A8">
          <w:rPr>
            <w:noProof/>
          </w:rPr>
          <w:t>6</w:t>
        </w:r>
      </w:fldSimple>
      <w:bookmarkEnd w:id="73"/>
      <w:r>
        <w:tab/>
        <w:t>Summary of research questions that the assessment will investigate</w:t>
      </w:r>
      <w:bookmarkEnd w:id="74"/>
      <w:bookmarkEnd w:id="7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7"/>
        <w:gridCol w:w="1294"/>
        <w:gridCol w:w="1333"/>
        <w:gridCol w:w="6662"/>
      </w:tblGrid>
      <w:tr w:rsidR="002004B1" w:rsidTr="0040598F">
        <w:tc>
          <w:tcPr>
            <w:tcW w:w="0" w:type="auto"/>
          </w:tcPr>
          <w:p w:rsidR="002004B1" w:rsidRPr="00DD1D4B" w:rsidRDefault="002004B1" w:rsidP="00DD1D4B">
            <w:pPr>
              <w:pStyle w:val="Tabletext"/>
              <w:rPr>
                <w:b/>
              </w:rPr>
            </w:pPr>
            <w:r w:rsidRPr="00DD1D4B">
              <w:rPr>
                <w:b/>
              </w:rPr>
              <w:t>Research questions proposed in the DAP</w:t>
            </w:r>
          </w:p>
        </w:tc>
        <w:tc>
          <w:tcPr>
            <w:tcW w:w="0" w:type="auto"/>
          </w:tcPr>
          <w:p w:rsidR="002004B1" w:rsidRPr="00DD1D4B" w:rsidRDefault="002004B1" w:rsidP="00DD1D4B">
            <w:pPr>
              <w:pStyle w:val="Tabletext"/>
              <w:rPr>
                <w:b/>
              </w:rPr>
            </w:pPr>
            <w:r w:rsidRPr="00DD1D4B">
              <w:rPr>
                <w:b/>
              </w:rPr>
              <w:t>Intervention</w:t>
            </w:r>
          </w:p>
        </w:tc>
        <w:tc>
          <w:tcPr>
            <w:tcW w:w="0" w:type="auto"/>
          </w:tcPr>
          <w:p w:rsidR="002004B1" w:rsidRPr="00DD1D4B" w:rsidRDefault="002004B1" w:rsidP="00DD1D4B">
            <w:pPr>
              <w:pStyle w:val="Tabletext"/>
              <w:rPr>
                <w:b/>
              </w:rPr>
            </w:pPr>
            <w:r w:rsidRPr="00DD1D4B">
              <w:rPr>
                <w:b/>
              </w:rPr>
              <w:t>Comparator</w:t>
            </w:r>
          </w:p>
        </w:tc>
        <w:tc>
          <w:tcPr>
            <w:tcW w:w="0" w:type="auto"/>
          </w:tcPr>
          <w:p w:rsidR="002004B1" w:rsidRPr="00DD1D4B" w:rsidRDefault="0040598F" w:rsidP="00DD1D4B">
            <w:pPr>
              <w:pStyle w:val="Tabletext"/>
              <w:rPr>
                <w:b/>
              </w:rPr>
            </w:pPr>
            <w:r>
              <w:rPr>
                <w:b/>
              </w:rPr>
              <w:t>Rationale/j</w:t>
            </w:r>
            <w:r w:rsidR="002004B1" w:rsidRPr="00DD1D4B">
              <w:rPr>
                <w:b/>
              </w:rPr>
              <w:t>ustification</w:t>
            </w:r>
          </w:p>
        </w:tc>
      </w:tr>
      <w:tr w:rsidR="002004B1" w:rsidTr="0040598F">
        <w:tc>
          <w:tcPr>
            <w:tcW w:w="0" w:type="auto"/>
          </w:tcPr>
          <w:p w:rsidR="002004B1" w:rsidRDefault="00DD1D4B" w:rsidP="00DD1D4B">
            <w:pPr>
              <w:pStyle w:val="Tabletext"/>
            </w:pPr>
            <w:r w:rsidRPr="00DD1D4B">
              <w:t xml:space="preserve">What </w:t>
            </w:r>
            <w:proofErr w:type="gramStart"/>
            <w:r w:rsidRPr="00DD1D4B">
              <w:t>is</w:t>
            </w:r>
            <w:proofErr w:type="gramEnd"/>
            <w:r w:rsidRPr="00DD1D4B">
              <w:t xml:space="preserve"> the safety, effectiveness and cost effectiveness of cell enrichment liquid-based cytology using manual reading of slides compared with manual reading of conventionally prepared Pap smear cytology?</w:t>
            </w:r>
            <w:r>
              <w:br/>
            </w:r>
            <w:r w:rsidRPr="00DD1D4B">
              <w:t xml:space="preserve">What </w:t>
            </w:r>
            <w:proofErr w:type="gramStart"/>
            <w:r w:rsidRPr="00DD1D4B">
              <w:t>is</w:t>
            </w:r>
            <w:proofErr w:type="gramEnd"/>
            <w:r w:rsidRPr="00DD1D4B">
              <w:t xml:space="preserve"> the safety, effectiveness and cost effectiveness of cell enrichment </w:t>
            </w:r>
            <w:r w:rsidR="005E0D57">
              <w:t>liquid-based</w:t>
            </w:r>
            <w:r w:rsidRPr="00DD1D4B">
              <w:t xml:space="preserve"> cytology using automated image analysis systems compared with manual reading of conventionally prepared Pap smear cytology?</w:t>
            </w:r>
          </w:p>
        </w:tc>
        <w:tc>
          <w:tcPr>
            <w:tcW w:w="0" w:type="auto"/>
          </w:tcPr>
          <w:p w:rsidR="002004B1" w:rsidRDefault="002004B1" w:rsidP="00DD1D4B">
            <w:pPr>
              <w:pStyle w:val="Tabletext"/>
            </w:pPr>
            <w:r>
              <w:t>Cell enrichment LBC</w:t>
            </w:r>
          </w:p>
        </w:tc>
        <w:tc>
          <w:tcPr>
            <w:tcW w:w="0" w:type="auto"/>
          </w:tcPr>
          <w:p w:rsidR="002004B1" w:rsidRDefault="002004B1" w:rsidP="00DD1D4B">
            <w:pPr>
              <w:pStyle w:val="Tabletext"/>
            </w:pPr>
            <w:r>
              <w:t>Conventional cytology</w:t>
            </w:r>
          </w:p>
        </w:tc>
        <w:tc>
          <w:tcPr>
            <w:tcW w:w="0" w:type="auto"/>
          </w:tcPr>
          <w:p w:rsidR="002004B1" w:rsidRDefault="002004B1" w:rsidP="00E35C9F">
            <w:pPr>
              <w:pStyle w:val="Tabletext"/>
            </w:pPr>
            <w:r>
              <w:t xml:space="preserve">This is the primary comparison of the proposed intervention with the agreed main comparator. In this comparison </w:t>
            </w:r>
            <w:r w:rsidR="001D7743">
              <w:t xml:space="preserve">if it is not possible to locate trials that compare LBC read using automated review and CC read manually </w:t>
            </w:r>
            <w:r w:rsidR="00E35C9F">
              <w:t>than manual versus automation is proposed as a separate comparison.</w:t>
            </w:r>
          </w:p>
        </w:tc>
      </w:tr>
      <w:tr w:rsidR="002004B1" w:rsidTr="0040598F">
        <w:tc>
          <w:tcPr>
            <w:tcW w:w="0" w:type="auto"/>
          </w:tcPr>
          <w:p w:rsidR="002004B1" w:rsidRDefault="00DD1D4B" w:rsidP="00DD1D4B">
            <w:pPr>
              <w:pStyle w:val="Tabletext"/>
            </w:pPr>
            <w:r w:rsidRPr="00DD1D4B">
              <w:t xml:space="preserve">What is the safety, effectiveness and cost effectiveness of cell enrichment </w:t>
            </w:r>
            <w:r w:rsidR="005E0D57">
              <w:t>liquid-based</w:t>
            </w:r>
            <w:r w:rsidRPr="00DD1D4B">
              <w:t xml:space="preserve"> cytology compared with cell filtration </w:t>
            </w:r>
            <w:r w:rsidR="005E0D57">
              <w:t>liquid-based</w:t>
            </w:r>
            <w:r w:rsidRPr="00DD1D4B">
              <w:t xml:space="preserve"> cell cytology?</w:t>
            </w:r>
          </w:p>
        </w:tc>
        <w:tc>
          <w:tcPr>
            <w:tcW w:w="0" w:type="auto"/>
          </w:tcPr>
          <w:p w:rsidR="002004B1" w:rsidRDefault="002004B1" w:rsidP="00DD1D4B">
            <w:pPr>
              <w:pStyle w:val="Tabletext"/>
            </w:pPr>
            <w:r>
              <w:t>Cell enrichment LBC</w:t>
            </w:r>
          </w:p>
        </w:tc>
        <w:tc>
          <w:tcPr>
            <w:tcW w:w="0" w:type="auto"/>
          </w:tcPr>
          <w:p w:rsidR="002004B1" w:rsidRDefault="002004B1" w:rsidP="00DD1D4B">
            <w:pPr>
              <w:pStyle w:val="Tabletext"/>
            </w:pPr>
            <w:r>
              <w:t>Cell filtration LBC</w:t>
            </w:r>
          </w:p>
        </w:tc>
        <w:tc>
          <w:tcPr>
            <w:tcW w:w="0" w:type="auto"/>
          </w:tcPr>
          <w:p w:rsidR="002004B1" w:rsidRDefault="002004B1" w:rsidP="00DD1D4B">
            <w:pPr>
              <w:pStyle w:val="Tabletext"/>
            </w:pPr>
            <w:r>
              <w:t>This is to justify the explicit inclusion of cell enrichment ov</w:t>
            </w:r>
            <w:r w:rsidR="009B1F1B">
              <w:t>er other forms of LBC in the MBS</w:t>
            </w:r>
            <w:r>
              <w:t xml:space="preserve"> item descriptor</w:t>
            </w:r>
          </w:p>
        </w:tc>
      </w:tr>
      <w:tr w:rsidR="002004B1" w:rsidTr="0040598F">
        <w:tc>
          <w:tcPr>
            <w:tcW w:w="0" w:type="auto"/>
          </w:tcPr>
          <w:p w:rsidR="002004B1" w:rsidRDefault="00DD1D4B" w:rsidP="00DD1D4B">
            <w:pPr>
              <w:pStyle w:val="Tabletext"/>
            </w:pPr>
            <w:r w:rsidRPr="00DD1D4B">
              <w:t>To what extent, if at all, do these comparisons vary according to whether either method of cytology is assessed using manual reading or automated image analysis systems?</w:t>
            </w:r>
          </w:p>
        </w:tc>
        <w:tc>
          <w:tcPr>
            <w:tcW w:w="0" w:type="auto"/>
          </w:tcPr>
          <w:p w:rsidR="002004B1" w:rsidRDefault="00DD1D4B" w:rsidP="00DD1D4B">
            <w:pPr>
              <w:pStyle w:val="Tabletext"/>
            </w:pPr>
            <w:r>
              <w:t xml:space="preserve">Manual reading </w:t>
            </w:r>
          </w:p>
        </w:tc>
        <w:tc>
          <w:tcPr>
            <w:tcW w:w="0" w:type="auto"/>
          </w:tcPr>
          <w:p w:rsidR="002004B1" w:rsidRDefault="00DD1D4B" w:rsidP="00DD1D4B">
            <w:pPr>
              <w:pStyle w:val="Tabletext"/>
            </w:pPr>
            <w:r>
              <w:t>Automated reading</w:t>
            </w:r>
          </w:p>
        </w:tc>
        <w:tc>
          <w:tcPr>
            <w:tcW w:w="0" w:type="auto"/>
          </w:tcPr>
          <w:p w:rsidR="002004B1" w:rsidRDefault="00DD1D4B" w:rsidP="00DD1D4B">
            <w:pPr>
              <w:pStyle w:val="Tabletext"/>
            </w:pPr>
            <w:r>
              <w:t>This is to understan</w:t>
            </w:r>
            <w:r w:rsidR="0040598F">
              <w:t xml:space="preserve">d whether comparative outcomes </w:t>
            </w:r>
            <w:r>
              <w:t>are influenced by manual reading or automated image analysis</w:t>
            </w:r>
          </w:p>
        </w:tc>
      </w:tr>
    </w:tbl>
    <w:p w:rsidR="00DD1D4B" w:rsidRDefault="009B1F1B" w:rsidP="009B1F1B">
      <w:pPr>
        <w:pStyle w:val="Tabletext"/>
      </w:pPr>
      <w:r>
        <w:t>Abbreviations: LBC, liquid-based cytology; MBS, Medicare Benefits Schedule</w:t>
      </w:r>
    </w:p>
    <w:p w:rsidR="009B1F1B" w:rsidRDefault="009B1F1B" w:rsidP="009F5712"/>
    <w:p w:rsidR="009B1F1B" w:rsidRDefault="009B1F1B" w:rsidP="009F5712">
      <w:pPr>
        <w:sectPr w:rsidR="009B1F1B" w:rsidSect="008846BA">
          <w:pgSz w:w="16840" w:h="11907" w:orient="landscape" w:code="9"/>
          <w:pgMar w:top="1440" w:right="1440" w:bottom="1440" w:left="1440" w:header="720" w:footer="720" w:gutter="0"/>
          <w:paperSrc w:first="7" w:other="7"/>
          <w:cols w:space="720"/>
          <w:noEndnote/>
          <w:docGrid w:linePitch="299"/>
        </w:sectPr>
      </w:pPr>
    </w:p>
    <w:p w:rsidR="00B60787" w:rsidRDefault="00B60787" w:rsidP="00136D50">
      <w:pPr>
        <w:pStyle w:val="Heading20"/>
      </w:pPr>
      <w:bookmarkStart w:id="76" w:name="_Toc337546877"/>
      <w:r>
        <w:lastRenderedPageBreak/>
        <w:t>A.5</w:t>
      </w:r>
      <w:r>
        <w:tab/>
        <w:t>Clinical management algorithms</w:t>
      </w:r>
      <w:bookmarkEnd w:id="76"/>
      <w:r>
        <w:t xml:space="preserve"> </w:t>
      </w:r>
    </w:p>
    <w:p w:rsidR="009F5712" w:rsidRDefault="009F5712" w:rsidP="009F5712">
      <w:r w:rsidRPr="009F5712">
        <w:t xml:space="preserve">Cell enrichment LBC is proposed to be a direct substitute for </w:t>
      </w:r>
      <w:r w:rsidR="0049266B">
        <w:t xml:space="preserve">the </w:t>
      </w:r>
      <w:r w:rsidRPr="009F5712">
        <w:t xml:space="preserve">current conventional Pap smear (see </w:t>
      </w:r>
      <w:r w:rsidR="00086C77">
        <w:fldChar w:fldCharType="begin"/>
      </w:r>
      <w:r>
        <w:instrText xml:space="preserve"> REF _Ref331405020 \h </w:instrText>
      </w:r>
      <w:r w:rsidR="00086C77">
        <w:fldChar w:fldCharType="separate"/>
      </w:r>
      <w:r w:rsidR="003361A8">
        <w:t xml:space="preserve">Figure </w:t>
      </w:r>
      <w:r w:rsidR="003361A8">
        <w:rPr>
          <w:noProof/>
        </w:rPr>
        <w:t>2</w:t>
      </w:r>
      <w:r w:rsidR="00086C77">
        <w:fldChar w:fldCharType="end"/>
      </w:r>
      <w:r w:rsidRPr="009F5712">
        <w:t>). It is not proposed that cell enrichment LBC be used in conjunction with conventional cytology. Conventional Pap smear would still</w:t>
      </w:r>
      <w:r w:rsidR="00AC5B9B">
        <w:t xml:space="preserve"> be available on the MBS but its use</w:t>
      </w:r>
      <w:r w:rsidRPr="009F5712">
        <w:t xml:space="preserve"> would be expected to decrease with the introduction of </w:t>
      </w:r>
      <w:r w:rsidR="0049266B">
        <w:t xml:space="preserve">cell enrichment </w:t>
      </w:r>
      <w:r w:rsidRPr="009F5712">
        <w:t>LBC.</w:t>
      </w:r>
    </w:p>
    <w:p w:rsidR="00941EC6" w:rsidRDefault="00941EC6" w:rsidP="002004B1">
      <w:pPr>
        <w:keepNext/>
        <w:keepLines/>
      </w:pPr>
    </w:p>
    <w:p w:rsidR="009F5712" w:rsidRDefault="00CB6A66" w:rsidP="002004B1">
      <w:pPr>
        <w:keepNext/>
        <w:keepLines/>
      </w:pPr>
      <w:r>
        <w:rPr>
          <w:noProof/>
          <w:lang w:eastAsia="en-AU"/>
        </w:rPr>
        <w:drawing>
          <wp:inline distT="0" distB="0" distL="0" distR="0">
            <wp:extent cx="5729605" cy="75406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9605" cy="7540625"/>
                    </a:xfrm>
                    <a:prstGeom prst="rect">
                      <a:avLst/>
                    </a:prstGeom>
                    <a:noFill/>
                    <a:ln>
                      <a:noFill/>
                    </a:ln>
                  </pic:spPr>
                </pic:pic>
              </a:graphicData>
            </a:graphic>
          </wp:inline>
        </w:drawing>
      </w:r>
    </w:p>
    <w:p w:rsidR="009F5712" w:rsidRDefault="009F5712" w:rsidP="002004B1">
      <w:pPr>
        <w:pStyle w:val="Caption"/>
        <w:keepLines/>
      </w:pPr>
      <w:bookmarkStart w:id="77" w:name="_Ref331405020"/>
      <w:bookmarkStart w:id="78" w:name="_Toc337547052"/>
      <w:r>
        <w:t xml:space="preserve">Figure </w:t>
      </w:r>
      <w:fldSimple w:instr=" SEQ Figure \* ARABIC ">
        <w:r w:rsidR="003361A8">
          <w:rPr>
            <w:noProof/>
          </w:rPr>
          <w:t>2</w:t>
        </w:r>
      </w:fldSimple>
      <w:bookmarkEnd w:id="77"/>
      <w:r>
        <w:tab/>
        <w:t>Current practice on the MBS compared with the proposed practice</w:t>
      </w:r>
      <w:r w:rsidR="0049266B">
        <w:t xml:space="preserve"> for cervical </w:t>
      </w:r>
      <w:r w:rsidR="00B96C6B">
        <w:t xml:space="preserve">cancer </w:t>
      </w:r>
      <w:r w:rsidR="0049266B">
        <w:t>screening</w:t>
      </w:r>
      <w:bookmarkEnd w:id="78"/>
    </w:p>
    <w:p w:rsidR="00B60787" w:rsidRDefault="00B60787" w:rsidP="00136D50">
      <w:pPr>
        <w:pStyle w:val="Heading20"/>
      </w:pPr>
      <w:bookmarkStart w:id="79" w:name="_Toc337546878"/>
      <w:r>
        <w:lastRenderedPageBreak/>
        <w:t>A.6</w:t>
      </w:r>
      <w:r>
        <w:tab/>
        <w:t>Differences between the proposed intervention and main comparator</w:t>
      </w:r>
      <w:bookmarkEnd w:id="79"/>
    </w:p>
    <w:p w:rsidR="00146B66" w:rsidRDefault="00847E19" w:rsidP="005372CE">
      <w:r w:rsidRPr="00847E19">
        <w:t xml:space="preserve">Technical and general cytological features of cell enrichment LBC </w:t>
      </w:r>
      <w:r w:rsidR="00140CA4" w:rsidRPr="00847E19">
        <w:t>vs.</w:t>
      </w:r>
      <w:r w:rsidRPr="00847E19">
        <w:t xml:space="preserve"> conventional cytology and cell filtration LBC, and are summarised in </w:t>
      </w:r>
      <w:r w:rsidR="00086C77">
        <w:fldChar w:fldCharType="begin"/>
      </w:r>
      <w:r w:rsidR="005372CE">
        <w:instrText xml:space="preserve"> REF _Ref332790442 \h </w:instrText>
      </w:r>
      <w:r w:rsidR="00086C77">
        <w:fldChar w:fldCharType="separate"/>
      </w:r>
      <w:r w:rsidR="003361A8">
        <w:t xml:space="preserve">Table </w:t>
      </w:r>
      <w:r w:rsidR="003361A8">
        <w:rPr>
          <w:noProof/>
        </w:rPr>
        <w:t>7</w:t>
      </w:r>
      <w:r w:rsidR="00086C77">
        <w:fldChar w:fldCharType="end"/>
      </w:r>
      <w:r w:rsidR="00146B66" w:rsidRPr="00146B66">
        <w:t xml:space="preserve">. </w:t>
      </w:r>
      <w:r w:rsidR="00146B66">
        <w:t xml:space="preserve">Technical details are provided in </w:t>
      </w:r>
      <w:r w:rsidR="00146B66" w:rsidRPr="00146B66">
        <w:t xml:space="preserve">Attachment </w:t>
      </w:r>
      <w:r w:rsidR="005F6015">
        <w:t>1</w:t>
      </w:r>
      <w:r w:rsidR="00146B66">
        <w:t>.</w:t>
      </w:r>
    </w:p>
    <w:p w:rsidR="00146B66" w:rsidRDefault="00146B66" w:rsidP="00146B66">
      <w:pPr>
        <w:pStyle w:val="Caption"/>
      </w:pPr>
      <w:bookmarkStart w:id="80" w:name="_Ref332790442"/>
      <w:bookmarkStart w:id="81" w:name="_Toc331766447"/>
      <w:bookmarkStart w:id="82" w:name="_Toc335665973"/>
      <w:bookmarkStart w:id="83" w:name="_Toc337546944"/>
      <w:r>
        <w:t xml:space="preserve">Table </w:t>
      </w:r>
      <w:fldSimple w:instr=" SEQ Table \* ARABIC ">
        <w:r w:rsidR="003361A8">
          <w:rPr>
            <w:noProof/>
          </w:rPr>
          <w:t>7</w:t>
        </w:r>
      </w:fldSimple>
      <w:bookmarkEnd w:id="80"/>
      <w:r>
        <w:tab/>
      </w:r>
      <w:r w:rsidR="001C4016">
        <w:t xml:space="preserve">Technical and general </w:t>
      </w:r>
      <w:r w:rsidR="005D1995">
        <w:t>cytologic</w:t>
      </w:r>
      <w:r w:rsidR="001C4016">
        <w:t>al</w:t>
      </w:r>
      <w:r w:rsidR="0040598F">
        <w:t xml:space="preserve"> differences between</w:t>
      </w:r>
      <w:r>
        <w:t xml:space="preserve"> LBC</w:t>
      </w:r>
      <w:r w:rsidR="005D1995">
        <w:t xml:space="preserve"> (cell enrichment and filtration)</w:t>
      </w:r>
      <w:r>
        <w:t xml:space="preserve"> and conventional cytology</w:t>
      </w:r>
      <w:bookmarkEnd w:id="81"/>
      <w:bookmarkEnd w:id="82"/>
      <w:bookmarkEnd w:id="8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6"/>
        <w:gridCol w:w="2093"/>
        <w:gridCol w:w="2126"/>
        <w:gridCol w:w="2268"/>
      </w:tblGrid>
      <w:tr w:rsidR="00847E19" w:rsidRPr="0040598F" w:rsidTr="00847E19">
        <w:tc>
          <w:tcPr>
            <w:tcW w:w="0" w:type="auto"/>
          </w:tcPr>
          <w:p w:rsidR="00847E19" w:rsidRPr="0040598F" w:rsidRDefault="00847E19" w:rsidP="004D0A45">
            <w:pPr>
              <w:pStyle w:val="Tabletext"/>
              <w:rPr>
                <w:b/>
              </w:rPr>
            </w:pPr>
          </w:p>
        </w:tc>
        <w:tc>
          <w:tcPr>
            <w:tcW w:w="2093" w:type="dxa"/>
          </w:tcPr>
          <w:p w:rsidR="00847E19" w:rsidRPr="0040598F" w:rsidRDefault="00847E19" w:rsidP="00847E19">
            <w:pPr>
              <w:pStyle w:val="Tabletext"/>
              <w:rPr>
                <w:b/>
              </w:rPr>
            </w:pPr>
            <w:r>
              <w:rPr>
                <w:b/>
              </w:rPr>
              <w:t>Conventional c</w:t>
            </w:r>
            <w:r w:rsidRPr="0040598F">
              <w:rPr>
                <w:b/>
              </w:rPr>
              <w:t>ytology</w:t>
            </w:r>
          </w:p>
        </w:tc>
        <w:tc>
          <w:tcPr>
            <w:tcW w:w="2126" w:type="dxa"/>
          </w:tcPr>
          <w:p w:rsidR="00847E19" w:rsidRPr="0040598F" w:rsidRDefault="00847E19" w:rsidP="00847E19">
            <w:pPr>
              <w:pStyle w:val="Tabletext"/>
              <w:rPr>
                <w:b/>
              </w:rPr>
            </w:pPr>
            <w:r w:rsidRPr="0040598F">
              <w:rPr>
                <w:b/>
              </w:rPr>
              <w:t>Cell enrichment LBC (SurePath</w:t>
            </w:r>
            <w:r>
              <w:rPr>
                <w:b/>
              </w:rPr>
              <w:t>™</w:t>
            </w:r>
            <w:r w:rsidRPr="0040598F">
              <w:rPr>
                <w:b/>
              </w:rPr>
              <w:t>)</w:t>
            </w:r>
          </w:p>
        </w:tc>
        <w:tc>
          <w:tcPr>
            <w:tcW w:w="2268" w:type="dxa"/>
          </w:tcPr>
          <w:p w:rsidR="00847E19" w:rsidRPr="0040598F" w:rsidRDefault="00847E19" w:rsidP="00847E19">
            <w:pPr>
              <w:pStyle w:val="Tabletext"/>
              <w:rPr>
                <w:b/>
              </w:rPr>
            </w:pPr>
            <w:r w:rsidRPr="0040598F">
              <w:rPr>
                <w:b/>
              </w:rPr>
              <w:t>Cell filtration LBC (ThinPrep</w:t>
            </w:r>
            <w:r>
              <w:rPr>
                <w:b/>
              </w:rPr>
              <w:t>®)</w:t>
            </w:r>
          </w:p>
        </w:tc>
      </w:tr>
      <w:tr w:rsidR="00847E19" w:rsidTr="00847E19">
        <w:tc>
          <w:tcPr>
            <w:tcW w:w="0" w:type="auto"/>
          </w:tcPr>
          <w:p w:rsidR="00847E19" w:rsidRDefault="00847E19" w:rsidP="004D0A45">
            <w:pPr>
              <w:pStyle w:val="Tabletext"/>
            </w:pPr>
            <w:r>
              <w:t>Sample collection</w:t>
            </w:r>
          </w:p>
        </w:tc>
        <w:tc>
          <w:tcPr>
            <w:tcW w:w="2093" w:type="dxa"/>
          </w:tcPr>
          <w:p w:rsidR="00847E19" w:rsidRDefault="00847E19" w:rsidP="00847E19">
            <w:pPr>
              <w:pStyle w:val="Tabletext"/>
            </w:pPr>
            <w:r>
              <w:t>Head of sampling device is discarded</w:t>
            </w:r>
          </w:p>
        </w:tc>
        <w:tc>
          <w:tcPr>
            <w:tcW w:w="2126" w:type="dxa"/>
          </w:tcPr>
          <w:p w:rsidR="00847E19" w:rsidRDefault="00847E19" w:rsidP="00847E19">
            <w:pPr>
              <w:pStyle w:val="Tabletext"/>
            </w:pPr>
            <w:r>
              <w:t>Head of sampling device is submitted</w:t>
            </w:r>
          </w:p>
        </w:tc>
        <w:tc>
          <w:tcPr>
            <w:tcW w:w="2268" w:type="dxa"/>
          </w:tcPr>
          <w:p w:rsidR="00847E19" w:rsidRDefault="00847E19" w:rsidP="00847E19">
            <w:pPr>
              <w:pStyle w:val="Tabletext"/>
            </w:pPr>
            <w:r>
              <w:t>Head of sampling device is discarded</w:t>
            </w:r>
          </w:p>
        </w:tc>
      </w:tr>
      <w:tr w:rsidR="00847E19" w:rsidTr="00847E19">
        <w:tc>
          <w:tcPr>
            <w:tcW w:w="0" w:type="auto"/>
          </w:tcPr>
          <w:p w:rsidR="00847E19" w:rsidRDefault="00847E19" w:rsidP="004D0A45">
            <w:pPr>
              <w:pStyle w:val="Tabletext"/>
            </w:pPr>
            <w:r>
              <w:t>Sample transfer</w:t>
            </w:r>
          </w:p>
        </w:tc>
        <w:tc>
          <w:tcPr>
            <w:tcW w:w="2093" w:type="dxa"/>
          </w:tcPr>
          <w:p w:rsidR="00847E19" w:rsidRDefault="00847E19" w:rsidP="00847E19">
            <w:pPr>
              <w:pStyle w:val="Tabletext"/>
            </w:pPr>
            <w:r>
              <w:t>&lt; 80%</w:t>
            </w:r>
          </w:p>
        </w:tc>
        <w:tc>
          <w:tcPr>
            <w:tcW w:w="2126" w:type="dxa"/>
          </w:tcPr>
          <w:p w:rsidR="00847E19" w:rsidRDefault="00847E19" w:rsidP="00847E19">
            <w:pPr>
              <w:pStyle w:val="Tabletext"/>
            </w:pPr>
            <w:r>
              <w:t>Entire</w:t>
            </w:r>
          </w:p>
        </w:tc>
        <w:tc>
          <w:tcPr>
            <w:tcW w:w="2268" w:type="dxa"/>
          </w:tcPr>
          <w:p w:rsidR="00847E19" w:rsidRDefault="00847E19" w:rsidP="00847E19">
            <w:pPr>
              <w:pStyle w:val="Tabletext"/>
            </w:pPr>
            <w:r>
              <w:t>Almost entire</w:t>
            </w:r>
          </w:p>
        </w:tc>
      </w:tr>
      <w:tr w:rsidR="00847E19" w:rsidTr="00847E19">
        <w:tc>
          <w:tcPr>
            <w:tcW w:w="0" w:type="auto"/>
          </w:tcPr>
          <w:p w:rsidR="00847E19" w:rsidRDefault="00847E19" w:rsidP="004D0A45">
            <w:pPr>
              <w:pStyle w:val="Tabletext"/>
            </w:pPr>
            <w:r>
              <w:t>Fixation</w:t>
            </w:r>
          </w:p>
        </w:tc>
        <w:tc>
          <w:tcPr>
            <w:tcW w:w="2093" w:type="dxa"/>
          </w:tcPr>
          <w:p w:rsidR="00847E19" w:rsidRDefault="00847E19" w:rsidP="00847E19">
            <w:pPr>
              <w:pStyle w:val="Tabletext"/>
            </w:pPr>
            <w:r>
              <w:t>Varies</w:t>
            </w:r>
          </w:p>
        </w:tc>
        <w:tc>
          <w:tcPr>
            <w:tcW w:w="2126" w:type="dxa"/>
          </w:tcPr>
          <w:p w:rsidR="00847E19" w:rsidRDefault="00847E19" w:rsidP="00847E19">
            <w:pPr>
              <w:pStyle w:val="Tabletext"/>
            </w:pPr>
            <w:r>
              <w:t>Immediate</w:t>
            </w:r>
          </w:p>
        </w:tc>
        <w:tc>
          <w:tcPr>
            <w:tcW w:w="2268" w:type="dxa"/>
          </w:tcPr>
          <w:p w:rsidR="00847E19" w:rsidRDefault="00847E19" w:rsidP="00847E19">
            <w:pPr>
              <w:pStyle w:val="Tabletext"/>
            </w:pPr>
            <w:r>
              <w:t>Immediate</w:t>
            </w:r>
          </w:p>
        </w:tc>
      </w:tr>
      <w:tr w:rsidR="00847E19" w:rsidTr="00847E19">
        <w:tc>
          <w:tcPr>
            <w:tcW w:w="0" w:type="auto"/>
          </w:tcPr>
          <w:p w:rsidR="00847E19" w:rsidRDefault="00847E19" w:rsidP="004D0A45">
            <w:pPr>
              <w:pStyle w:val="Tabletext"/>
            </w:pPr>
            <w:r>
              <w:t>Transport</w:t>
            </w:r>
          </w:p>
        </w:tc>
        <w:tc>
          <w:tcPr>
            <w:tcW w:w="2093" w:type="dxa"/>
          </w:tcPr>
          <w:p w:rsidR="00847E19" w:rsidRDefault="00847E19" w:rsidP="00847E19">
            <w:pPr>
              <w:pStyle w:val="Tabletext"/>
            </w:pPr>
            <w:r>
              <w:t>Easy-difficult</w:t>
            </w:r>
          </w:p>
        </w:tc>
        <w:tc>
          <w:tcPr>
            <w:tcW w:w="2126" w:type="dxa"/>
          </w:tcPr>
          <w:p w:rsidR="00847E19" w:rsidRDefault="00847E19" w:rsidP="00847E19">
            <w:pPr>
              <w:pStyle w:val="Tabletext"/>
            </w:pPr>
            <w:r>
              <w:t>Easy</w:t>
            </w:r>
          </w:p>
        </w:tc>
        <w:tc>
          <w:tcPr>
            <w:tcW w:w="2268" w:type="dxa"/>
          </w:tcPr>
          <w:p w:rsidR="00847E19" w:rsidRDefault="00847E19" w:rsidP="00847E19">
            <w:pPr>
              <w:pStyle w:val="Tabletext"/>
            </w:pPr>
            <w:r>
              <w:t>Easy</w:t>
            </w:r>
          </w:p>
        </w:tc>
      </w:tr>
      <w:tr w:rsidR="00847E19" w:rsidTr="00847E19">
        <w:tc>
          <w:tcPr>
            <w:tcW w:w="0" w:type="auto"/>
          </w:tcPr>
          <w:p w:rsidR="00847E19" w:rsidRDefault="00847E19" w:rsidP="004D0A45">
            <w:pPr>
              <w:pStyle w:val="Tabletext"/>
            </w:pPr>
            <w:r>
              <w:t>Slide preparation</w:t>
            </w:r>
          </w:p>
        </w:tc>
        <w:tc>
          <w:tcPr>
            <w:tcW w:w="2093" w:type="dxa"/>
          </w:tcPr>
          <w:p w:rsidR="00847E19" w:rsidRDefault="00847E19" w:rsidP="00847E19">
            <w:pPr>
              <w:pStyle w:val="Tabletext"/>
            </w:pPr>
            <w:r>
              <w:t>Manual</w:t>
            </w:r>
          </w:p>
        </w:tc>
        <w:tc>
          <w:tcPr>
            <w:tcW w:w="2126" w:type="dxa"/>
          </w:tcPr>
          <w:p w:rsidR="00847E19" w:rsidRDefault="00294C0A" w:rsidP="00847E19">
            <w:pPr>
              <w:pStyle w:val="Tabletext"/>
            </w:pPr>
            <w:r>
              <w:t>Fully automated</w:t>
            </w:r>
            <w:r w:rsidR="00F012A5" w:rsidRPr="00F012A5">
              <w:rPr>
                <w:vertAlign w:val="superscript"/>
              </w:rPr>
              <w:t>a</w:t>
            </w:r>
          </w:p>
        </w:tc>
        <w:tc>
          <w:tcPr>
            <w:tcW w:w="2268" w:type="dxa"/>
          </w:tcPr>
          <w:p w:rsidR="00847E19" w:rsidRDefault="00847E19" w:rsidP="00847E19">
            <w:pPr>
              <w:pStyle w:val="Tabletext"/>
            </w:pPr>
            <w:r>
              <w:t>Fully automated</w:t>
            </w:r>
          </w:p>
        </w:tc>
      </w:tr>
      <w:tr w:rsidR="00847E19" w:rsidTr="00847E19">
        <w:tc>
          <w:tcPr>
            <w:tcW w:w="0" w:type="auto"/>
          </w:tcPr>
          <w:p w:rsidR="00847E19" w:rsidRDefault="00847E19" w:rsidP="004D0A45">
            <w:pPr>
              <w:pStyle w:val="Tabletext"/>
            </w:pPr>
            <w:r>
              <w:t>Number of cells</w:t>
            </w:r>
          </w:p>
        </w:tc>
        <w:tc>
          <w:tcPr>
            <w:tcW w:w="2093" w:type="dxa"/>
          </w:tcPr>
          <w:p w:rsidR="00847E19" w:rsidRDefault="00847E19" w:rsidP="00847E19">
            <w:pPr>
              <w:pStyle w:val="Tabletext"/>
            </w:pPr>
            <w:r>
              <w:t>&gt; 300,000</w:t>
            </w:r>
          </w:p>
        </w:tc>
        <w:tc>
          <w:tcPr>
            <w:tcW w:w="2126" w:type="dxa"/>
          </w:tcPr>
          <w:p w:rsidR="00847E19" w:rsidRDefault="00847E19" w:rsidP="00847E19">
            <w:pPr>
              <w:pStyle w:val="Tabletext"/>
            </w:pPr>
            <w:r>
              <w:t>~50,000</w:t>
            </w:r>
          </w:p>
        </w:tc>
        <w:tc>
          <w:tcPr>
            <w:tcW w:w="2268" w:type="dxa"/>
          </w:tcPr>
          <w:p w:rsidR="00847E19" w:rsidRDefault="00847E19" w:rsidP="00847E19">
            <w:pPr>
              <w:pStyle w:val="Tabletext"/>
            </w:pPr>
            <w:r>
              <w:t>~50,000</w:t>
            </w:r>
          </w:p>
        </w:tc>
      </w:tr>
      <w:tr w:rsidR="00847E19" w:rsidTr="00847E19">
        <w:tc>
          <w:tcPr>
            <w:tcW w:w="0" w:type="auto"/>
          </w:tcPr>
          <w:p w:rsidR="00847E19" w:rsidRDefault="00847E19" w:rsidP="004D0A45">
            <w:pPr>
              <w:pStyle w:val="Tabletext"/>
            </w:pPr>
            <w:r>
              <w:t>Slide evaluation</w:t>
            </w:r>
          </w:p>
        </w:tc>
        <w:tc>
          <w:tcPr>
            <w:tcW w:w="2093" w:type="dxa"/>
          </w:tcPr>
          <w:p w:rsidR="00847E19" w:rsidRDefault="00847E19" w:rsidP="00847E19">
            <w:pPr>
              <w:pStyle w:val="Tabletext"/>
            </w:pPr>
            <w:r>
              <w:t>Cells diffusely smeared in a 25 x 75 mm area</w:t>
            </w:r>
          </w:p>
        </w:tc>
        <w:tc>
          <w:tcPr>
            <w:tcW w:w="2126" w:type="dxa"/>
          </w:tcPr>
          <w:p w:rsidR="00847E19" w:rsidRDefault="00847E19" w:rsidP="00847E19">
            <w:pPr>
              <w:pStyle w:val="Tabletext"/>
            </w:pPr>
            <w:r>
              <w:t>Cells in a defined 13 mm diameter area</w:t>
            </w:r>
          </w:p>
        </w:tc>
        <w:tc>
          <w:tcPr>
            <w:tcW w:w="2268" w:type="dxa"/>
          </w:tcPr>
          <w:p w:rsidR="00847E19" w:rsidRDefault="00847E19" w:rsidP="00847E19">
            <w:pPr>
              <w:pStyle w:val="Tabletext"/>
            </w:pPr>
            <w:r>
              <w:t>Cells in a well-defined 20 mm diameter area</w:t>
            </w:r>
          </w:p>
        </w:tc>
      </w:tr>
      <w:tr w:rsidR="00847E19" w:rsidTr="00847E19">
        <w:tc>
          <w:tcPr>
            <w:tcW w:w="0" w:type="auto"/>
          </w:tcPr>
          <w:p w:rsidR="00847E19" w:rsidRDefault="00847E19" w:rsidP="004D0A45">
            <w:pPr>
              <w:pStyle w:val="Tabletext"/>
            </w:pPr>
            <w:r>
              <w:t>Image guided screening</w:t>
            </w:r>
          </w:p>
        </w:tc>
        <w:tc>
          <w:tcPr>
            <w:tcW w:w="2093" w:type="dxa"/>
          </w:tcPr>
          <w:p w:rsidR="00847E19" w:rsidRDefault="00847E19" w:rsidP="00847E19">
            <w:pPr>
              <w:pStyle w:val="Tabletext"/>
            </w:pPr>
            <w:r>
              <w:t>Yes, FPSP and FPGS</w:t>
            </w:r>
          </w:p>
        </w:tc>
        <w:tc>
          <w:tcPr>
            <w:tcW w:w="2126" w:type="dxa"/>
          </w:tcPr>
          <w:p w:rsidR="00847E19" w:rsidRDefault="00847E19" w:rsidP="00847E19">
            <w:pPr>
              <w:pStyle w:val="Tabletext"/>
            </w:pPr>
            <w:r>
              <w:t>Yes, FPSP and FPGS</w:t>
            </w:r>
          </w:p>
        </w:tc>
        <w:tc>
          <w:tcPr>
            <w:tcW w:w="2268" w:type="dxa"/>
          </w:tcPr>
          <w:p w:rsidR="00847E19" w:rsidRDefault="00847E19" w:rsidP="00847E19">
            <w:pPr>
              <w:pStyle w:val="Tabletext"/>
            </w:pPr>
            <w:r>
              <w:t>Yes, TIS</w:t>
            </w:r>
          </w:p>
        </w:tc>
      </w:tr>
      <w:tr w:rsidR="00847E19" w:rsidTr="00847E19">
        <w:tc>
          <w:tcPr>
            <w:tcW w:w="0" w:type="auto"/>
          </w:tcPr>
          <w:p w:rsidR="00847E19" w:rsidRDefault="00847E19" w:rsidP="004D0A45">
            <w:pPr>
              <w:pStyle w:val="Tabletext"/>
            </w:pPr>
            <w:r>
              <w:t>Cell preservation</w:t>
            </w:r>
          </w:p>
        </w:tc>
        <w:tc>
          <w:tcPr>
            <w:tcW w:w="2093" w:type="dxa"/>
          </w:tcPr>
          <w:p w:rsidR="00847E19" w:rsidRDefault="00847E19" w:rsidP="00847E19">
            <w:pPr>
              <w:pStyle w:val="Tabletext"/>
            </w:pPr>
            <w:r>
              <w:t>Variable</w:t>
            </w:r>
          </w:p>
        </w:tc>
        <w:tc>
          <w:tcPr>
            <w:tcW w:w="2126" w:type="dxa"/>
          </w:tcPr>
          <w:p w:rsidR="00847E19" w:rsidRDefault="00847E19" w:rsidP="00847E19">
            <w:pPr>
              <w:pStyle w:val="Tabletext"/>
            </w:pPr>
            <w:r>
              <w:t>Good</w:t>
            </w:r>
          </w:p>
        </w:tc>
        <w:tc>
          <w:tcPr>
            <w:tcW w:w="2268" w:type="dxa"/>
          </w:tcPr>
          <w:p w:rsidR="00847E19" w:rsidRDefault="00847E19" w:rsidP="00847E19">
            <w:pPr>
              <w:pStyle w:val="Tabletext"/>
            </w:pPr>
            <w:r>
              <w:t>Good</w:t>
            </w:r>
          </w:p>
        </w:tc>
      </w:tr>
      <w:tr w:rsidR="00847E19" w:rsidTr="00847E19">
        <w:tc>
          <w:tcPr>
            <w:tcW w:w="0" w:type="auto"/>
          </w:tcPr>
          <w:p w:rsidR="00847E19" w:rsidRDefault="00847E19" w:rsidP="00847E19">
            <w:pPr>
              <w:pStyle w:val="Tabletext"/>
            </w:pPr>
            <w:r>
              <w:t>Obscuring factors (obscuring red blood cells, acute inflammatory cells, and mucin)</w:t>
            </w:r>
          </w:p>
        </w:tc>
        <w:tc>
          <w:tcPr>
            <w:tcW w:w="2093" w:type="dxa"/>
          </w:tcPr>
          <w:p w:rsidR="00847E19" w:rsidRDefault="00847E19" w:rsidP="00847E19">
            <w:pPr>
              <w:pStyle w:val="Tabletext"/>
            </w:pPr>
            <w:r>
              <w:t>Usually present</w:t>
            </w:r>
          </w:p>
        </w:tc>
        <w:tc>
          <w:tcPr>
            <w:tcW w:w="2126" w:type="dxa"/>
          </w:tcPr>
          <w:p w:rsidR="00847E19" w:rsidRDefault="00847E19" w:rsidP="00847E19">
            <w:pPr>
              <w:pStyle w:val="Tabletext"/>
            </w:pPr>
            <w:r>
              <w:t>None</w:t>
            </w:r>
          </w:p>
        </w:tc>
        <w:tc>
          <w:tcPr>
            <w:tcW w:w="2268" w:type="dxa"/>
          </w:tcPr>
          <w:p w:rsidR="00847E19" w:rsidRDefault="00F012A5" w:rsidP="00847E19">
            <w:pPr>
              <w:pStyle w:val="Tabletext"/>
            </w:pPr>
            <w:r>
              <w:t>Some</w:t>
            </w:r>
            <w:r w:rsidR="001165AC" w:rsidRPr="001165AC">
              <w:rPr>
                <w:vertAlign w:val="superscript"/>
              </w:rPr>
              <w:t>b</w:t>
            </w:r>
          </w:p>
        </w:tc>
      </w:tr>
      <w:tr w:rsidR="00847E19" w:rsidTr="00847E19">
        <w:tc>
          <w:tcPr>
            <w:tcW w:w="0" w:type="auto"/>
          </w:tcPr>
          <w:p w:rsidR="00847E19" w:rsidRDefault="00847E19" w:rsidP="004D0A45">
            <w:pPr>
              <w:pStyle w:val="Tabletext"/>
            </w:pPr>
            <w:r>
              <w:t>Air drying artefact</w:t>
            </w:r>
          </w:p>
        </w:tc>
        <w:tc>
          <w:tcPr>
            <w:tcW w:w="2093" w:type="dxa"/>
          </w:tcPr>
          <w:p w:rsidR="00847E19" w:rsidRDefault="00847E19" w:rsidP="00847E19">
            <w:pPr>
              <w:pStyle w:val="Tabletext"/>
            </w:pPr>
            <w:r>
              <w:t>Usually present</w:t>
            </w:r>
          </w:p>
        </w:tc>
        <w:tc>
          <w:tcPr>
            <w:tcW w:w="2126" w:type="dxa"/>
          </w:tcPr>
          <w:p w:rsidR="00847E19" w:rsidRDefault="00847E19" w:rsidP="00847E19">
            <w:pPr>
              <w:pStyle w:val="Tabletext"/>
            </w:pPr>
            <w:r>
              <w:t>None</w:t>
            </w:r>
          </w:p>
        </w:tc>
        <w:tc>
          <w:tcPr>
            <w:tcW w:w="2268" w:type="dxa"/>
          </w:tcPr>
          <w:p w:rsidR="00847E19" w:rsidRDefault="00847E19" w:rsidP="00847E19">
            <w:pPr>
              <w:pStyle w:val="Tabletext"/>
            </w:pPr>
            <w:r>
              <w:t>None</w:t>
            </w:r>
          </w:p>
        </w:tc>
      </w:tr>
      <w:tr w:rsidR="00847E19" w:rsidTr="00847E19">
        <w:tc>
          <w:tcPr>
            <w:tcW w:w="0" w:type="auto"/>
          </w:tcPr>
          <w:p w:rsidR="00847E19" w:rsidRDefault="00847E19" w:rsidP="004D0A45">
            <w:pPr>
              <w:pStyle w:val="Tabletext"/>
            </w:pPr>
            <w:r>
              <w:t>Screening time</w:t>
            </w:r>
          </w:p>
        </w:tc>
        <w:tc>
          <w:tcPr>
            <w:tcW w:w="2093" w:type="dxa"/>
          </w:tcPr>
          <w:p w:rsidR="00847E19" w:rsidRDefault="00847E19" w:rsidP="00847E19">
            <w:pPr>
              <w:pStyle w:val="Tabletext"/>
            </w:pPr>
            <w:r>
              <w:t>Always long</w:t>
            </w:r>
          </w:p>
        </w:tc>
        <w:tc>
          <w:tcPr>
            <w:tcW w:w="2126" w:type="dxa"/>
          </w:tcPr>
          <w:p w:rsidR="00847E19" w:rsidRDefault="00847E19" w:rsidP="00847E19">
            <w:pPr>
              <w:pStyle w:val="Tabletext"/>
            </w:pPr>
            <w:r>
              <w:t>Reduced</w:t>
            </w:r>
          </w:p>
        </w:tc>
        <w:tc>
          <w:tcPr>
            <w:tcW w:w="2268" w:type="dxa"/>
          </w:tcPr>
          <w:p w:rsidR="00847E19" w:rsidRDefault="00847E19" w:rsidP="00847E19">
            <w:pPr>
              <w:pStyle w:val="Tabletext"/>
            </w:pPr>
            <w:r>
              <w:t>Reduced</w:t>
            </w:r>
          </w:p>
        </w:tc>
      </w:tr>
      <w:tr w:rsidR="00847E19" w:rsidTr="00847E19">
        <w:tc>
          <w:tcPr>
            <w:tcW w:w="0" w:type="auto"/>
          </w:tcPr>
          <w:p w:rsidR="00847E19" w:rsidRDefault="00345355" w:rsidP="004D0A45">
            <w:pPr>
              <w:pStyle w:val="Tabletext"/>
            </w:pPr>
            <w:r>
              <w:t xml:space="preserve">Interobserver </w:t>
            </w:r>
            <w:r w:rsidR="00847E19">
              <w:t>Reproducibility</w:t>
            </w:r>
          </w:p>
        </w:tc>
        <w:tc>
          <w:tcPr>
            <w:tcW w:w="2093" w:type="dxa"/>
          </w:tcPr>
          <w:p w:rsidR="00847E19" w:rsidRDefault="00847E19" w:rsidP="00847E19">
            <w:pPr>
              <w:pStyle w:val="Tabletext"/>
            </w:pPr>
            <w:r>
              <w:t>No</w:t>
            </w:r>
          </w:p>
        </w:tc>
        <w:tc>
          <w:tcPr>
            <w:tcW w:w="2126" w:type="dxa"/>
          </w:tcPr>
          <w:p w:rsidR="00847E19" w:rsidRDefault="00847E19" w:rsidP="00847E19">
            <w:pPr>
              <w:pStyle w:val="Tabletext"/>
            </w:pPr>
            <w:r>
              <w:t>Yes</w:t>
            </w:r>
          </w:p>
        </w:tc>
        <w:tc>
          <w:tcPr>
            <w:tcW w:w="2268" w:type="dxa"/>
          </w:tcPr>
          <w:p w:rsidR="00847E19" w:rsidRDefault="00847E19" w:rsidP="00847E19">
            <w:pPr>
              <w:pStyle w:val="Tabletext"/>
            </w:pPr>
            <w:r>
              <w:t>Yes</w:t>
            </w:r>
          </w:p>
        </w:tc>
      </w:tr>
      <w:tr w:rsidR="00847E19" w:rsidTr="00847E19">
        <w:tc>
          <w:tcPr>
            <w:tcW w:w="0" w:type="auto"/>
          </w:tcPr>
          <w:p w:rsidR="00847E19" w:rsidRDefault="00847E19" w:rsidP="004D0A45">
            <w:pPr>
              <w:pStyle w:val="Tabletext"/>
            </w:pPr>
            <w:r>
              <w:t>Ancillary studies</w:t>
            </w:r>
            <w:r w:rsidR="00345355">
              <w:t xml:space="preserve"> (e.g. HPV test)</w:t>
            </w:r>
          </w:p>
        </w:tc>
        <w:tc>
          <w:tcPr>
            <w:tcW w:w="2093" w:type="dxa"/>
          </w:tcPr>
          <w:p w:rsidR="00847E19" w:rsidRDefault="00847E19" w:rsidP="00847E19">
            <w:pPr>
              <w:pStyle w:val="Tabletext"/>
            </w:pPr>
            <w:r>
              <w:t>+/-</w:t>
            </w:r>
          </w:p>
        </w:tc>
        <w:tc>
          <w:tcPr>
            <w:tcW w:w="2126" w:type="dxa"/>
          </w:tcPr>
          <w:p w:rsidR="00847E19" w:rsidRDefault="00847E19" w:rsidP="00847E19">
            <w:pPr>
              <w:pStyle w:val="Tabletext"/>
            </w:pPr>
            <w:r>
              <w:t>Possible</w:t>
            </w:r>
          </w:p>
        </w:tc>
        <w:tc>
          <w:tcPr>
            <w:tcW w:w="2268" w:type="dxa"/>
          </w:tcPr>
          <w:p w:rsidR="00847E19" w:rsidRDefault="00847E19" w:rsidP="00847E19">
            <w:pPr>
              <w:pStyle w:val="Tabletext"/>
            </w:pPr>
            <w:r>
              <w:t>Possible</w:t>
            </w:r>
          </w:p>
        </w:tc>
      </w:tr>
      <w:tr w:rsidR="00847E19" w:rsidTr="00847E19">
        <w:tc>
          <w:tcPr>
            <w:tcW w:w="8755" w:type="dxa"/>
            <w:gridSpan w:val="4"/>
          </w:tcPr>
          <w:p w:rsidR="00847E19" w:rsidRDefault="00847E19" w:rsidP="004D0A45">
            <w:pPr>
              <w:pStyle w:val="Tabletext"/>
            </w:pPr>
            <w:r>
              <w:t>Source: Hoda 2012. Table 1</w:t>
            </w:r>
            <w:r w:rsidR="00294C0A">
              <w:t xml:space="preserve">. </w:t>
            </w:r>
          </w:p>
        </w:tc>
      </w:tr>
    </w:tbl>
    <w:p w:rsidR="009E545F" w:rsidRDefault="0040598F">
      <w:pPr>
        <w:pStyle w:val="Tabletext"/>
      </w:pPr>
      <w:r w:rsidRPr="005F6015">
        <w:t>Abbreviations:</w:t>
      </w:r>
      <w:r w:rsidR="003C6559" w:rsidRPr="005F6015">
        <w:t xml:space="preserve"> CPS, </w:t>
      </w:r>
      <w:r w:rsidR="00AC5B9B" w:rsidRPr="005F6015">
        <w:t xml:space="preserve">conventional </w:t>
      </w:r>
      <w:r w:rsidR="005F6015" w:rsidRPr="005F6015">
        <w:t>Pap smear</w:t>
      </w:r>
      <w:r w:rsidR="00AC5B9B" w:rsidRPr="005F6015">
        <w:t>;</w:t>
      </w:r>
      <w:r w:rsidRPr="005F6015">
        <w:t xml:space="preserve"> LBC, </w:t>
      </w:r>
      <w:r w:rsidR="003C6559" w:rsidRPr="005F6015">
        <w:t xml:space="preserve">liquid-based cytology; TIS, </w:t>
      </w:r>
      <w:r w:rsidR="007E0A1C" w:rsidRPr="005F6015">
        <w:t xml:space="preserve">ThinPrep Imaging System; </w:t>
      </w:r>
      <w:r w:rsidR="003C6559" w:rsidRPr="005F6015">
        <w:t>FPSP</w:t>
      </w:r>
      <w:r w:rsidR="005F6015" w:rsidRPr="005F6015">
        <w:t>, FocalPoint SurePath</w:t>
      </w:r>
      <w:r w:rsidR="00AC5B9B" w:rsidRPr="005F6015">
        <w:t xml:space="preserve">; </w:t>
      </w:r>
      <w:r w:rsidR="003C6559" w:rsidRPr="005F6015">
        <w:t>FPGS,</w:t>
      </w:r>
      <w:r w:rsidR="00AC5B9B" w:rsidRPr="005F6015">
        <w:t xml:space="preserve"> FocalPoint Guided Screening</w:t>
      </w:r>
      <w:r w:rsidR="00294C0A">
        <w:t>.</w:t>
      </w:r>
    </w:p>
    <w:p w:rsidR="009E545F" w:rsidRDefault="00F012A5" w:rsidP="00F012A5">
      <w:pPr>
        <w:pStyle w:val="Tabletext"/>
        <w:ind w:left="360"/>
      </w:pPr>
      <w:r>
        <w:t>a.</w:t>
      </w:r>
      <w:r w:rsidR="00294C0A">
        <w:t>Hoda describes SurePath™ LBC automation as ‘partial’ however subsequently Becton Dickinson internationally has released enhanced front end automation for slide preparation enhancing the BD automation offering such that ‘full automation’ becomes an appropriate descriptor based on the Hoda comparisons.</w:t>
      </w:r>
    </w:p>
    <w:p w:rsidR="00083898" w:rsidRDefault="00F012A5" w:rsidP="008949BF">
      <w:pPr>
        <w:pStyle w:val="Tabletext"/>
        <w:ind w:left="360"/>
      </w:pPr>
      <w:proofErr w:type="gramStart"/>
      <w:r>
        <w:t>b.</w:t>
      </w:r>
      <w:r w:rsidR="00083898">
        <w:t>Hoda</w:t>
      </w:r>
      <w:proofErr w:type="gramEnd"/>
      <w:r w:rsidR="00083898">
        <w:t xml:space="preserve"> </w:t>
      </w:r>
      <w:r w:rsidR="001A3CFB">
        <w:t>describes</w:t>
      </w:r>
      <w:r w:rsidR="00083898">
        <w:t xml:space="preserve"> that the most frequent cause of unsatisfactory slide with ThinPrep is due to too few squamous </w:t>
      </w:r>
      <w:r w:rsidR="001A3CFB">
        <w:t>cells,</w:t>
      </w:r>
      <w:r w:rsidR="00083898">
        <w:t xml:space="preserve"> followed by obscuring factors (Hoda 2012 p. 3)</w:t>
      </w:r>
    </w:p>
    <w:p w:rsidR="009E545F" w:rsidRDefault="009E545F" w:rsidP="009E545F"/>
    <w:p w:rsidR="009E545F" w:rsidRDefault="009E545F" w:rsidP="009E545F"/>
    <w:p w:rsidR="00294C0A" w:rsidRDefault="00294C0A" w:rsidP="009E545F">
      <w:pPr>
        <w:sectPr w:rsidR="00294C0A" w:rsidSect="008846BA">
          <w:pgSz w:w="11907" w:h="16840" w:code="9"/>
          <w:pgMar w:top="1440" w:right="1440" w:bottom="1440" w:left="1440" w:header="720" w:footer="720" w:gutter="0"/>
          <w:paperSrc w:first="7" w:other="7"/>
          <w:cols w:space="720"/>
          <w:noEndnote/>
          <w:docGrid w:linePitch="299"/>
        </w:sectPr>
      </w:pPr>
    </w:p>
    <w:p w:rsidR="004347D3" w:rsidRPr="00881BD2" w:rsidRDefault="000D59CC" w:rsidP="00881BD2">
      <w:pPr>
        <w:pStyle w:val="Heading1"/>
      </w:pPr>
      <w:bookmarkStart w:id="84" w:name="_Toc191822151"/>
      <w:bookmarkStart w:id="85" w:name="_Toc191822201"/>
      <w:bookmarkStart w:id="86" w:name="_Toc191822251"/>
      <w:bookmarkStart w:id="87" w:name="_Toc258501772"/>
      <w:bookmarkStart w:id="88" w:name="_Toc273301454"/>
      <w:bookmarkStart w:id="89" w:name="_Toc337546879"/>
      <w:r>
        <w:lastRenderedPageBreak/>
        <w:t>B.</w:t>
      </w:r>
      <w:r>
        <w:tab/>
      </w:r>
      <w:r w:rsidRPr="00881BD2">
        <w:t>Clinical evaluation for the main indication</w:t>
      </w:r>
      <w:bookmarkEnd w:id="84"/>
      <w:bookmarkEnd w:id="85"/>
      <w:bookmarkEnd w:id="86"/>
      <w:bookmarkEnd w:id="87"/>
      <w:bookmarkEnd w:id="88"/>
      <w:bookmarkEnd w:id="8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tblGrid>
      <w:tr w:rsidR="00F333F8" w:rsidTr="00791EC7">
        <w:tc>
          <w:tcPr>
            <w:tcW w:w="9004" w:type="dxa"/>
          </w:tcPr>
          <w:p w:rsidR="00F333F8" w:rsidRDefault="0040598F" w:rsidP="00A83AB3">
            <w:bookmarkStart w:id="90" w:name="_Toc191822152"/>
            <w:bookmarkStart w:id="91" w:name="_Toc191822202"/>
            <w:bookmarkStart w:id="92" w:name="_Toc191822252"/>
            <w:bookmarkStart w:id="93" w:name="_Toc258501773"/>
            <w:bookmarkStart w:id="94" w:name="_Toc312340152"/>
            <w:r>
              <w:br/>
              <w:t>T</w:t>
            </w:r>
            <w:r w:rsidR="00F333F8">
              <w:t xml:space="preserve">he evidence base for this submission </w:t>
            </w:r>
            <w:r>
              <w:t xml:space="preserve">was drawn from 10 randomised controlled trials (RCTs) </w:t>
            </w:r>
            <w:r w:rsidR="00F333F8">
              <w:t>to evaluate the comparison of:</w:t>
            </w:r>
          </w:p>
          <w:p w:rsidR="00116E5D" w:rsidRDefault="00F333F8" w:rsidP="00AA509D">
            <w:pPr>
              <w:numPr>
                <w:ilvl w:val="0"/>
                <w:numId w:val="18"/>
              </w:numPr>
            </w:pPr>
            <w:r>
              <w:t xml:space="preserve">Cell enrichment </w:t>
            </w:r>
            <w:r w:rsidR="00483303">
              <w:t>liquid-based cytology (</w:t>
            </w:r>
            <w:r>
              <w:t>LBC</w:t>
            </w:r>
            <w:r w:rsidR="00483303">
              <w:t>)</w:t>
            </w:r>
            <w:r>
              <w:t xml:space="preserve"> versus conventional cytology</w:t>
            </w:r>
            <w:r w:rsidR="00345355">
              <w:t xml:space="preserve"> (Beerman 2009 and the RODEO study)</w:t>
            </w:r>
          </w:p>
          <w:p w:rsidR="00116E5D" w:rsidRDefault="00F333F8" w:rsidP="0040598F">
            <w:pPr>
              <w:pStyle w:val="Bulletedbodytext"/>
            </w:pPr>
            <w:r>
              <w:t>Cell enrichment LBC versus cell filtration LBC</w:t>
            </w:r>
            <w:r w:rsidR="00345355">
              <w:t xml:space="preserve"> (NTCC; NETHCON; Strander 2007; Maccallini 2008; Obwegeser 2001; RHINE-SAAR trial)</w:t>
            </w:r>
          </w:p>
          <w:p w:rsidR="00116E5D" w:rsidRDefault="00116E5D" w:rsidP="00345355">
            <w:r>
              <w:t>The</w:t>
            </w:r>
            <w:r w:rsidR="00483303">
              <w:t>se</w:t>
            </w:r>
            <w:r>
              <w:t xml:space="preserve"> trials use</w:t>
            </w:r>
            <w:r w:rsidR="00483303">
              <w:t>d</w:t>
            </w:r>
            <w:r>
              <w:t xml:space="preserve"> the same slide reading method in both the LBC arm and conventional cytology</w:t>
            </w:r>
            <w:r w:rsidR="00483303">
              <w:t>. T</w:t>
            </w:r>
            <w:r>
              <w:t>wo trials</w:t>
            </w:r>
            <w:r w:rsidR="00483303">
              <w:t>—</w:t>
            </w:r>
            <w:r w:rsidR="00210DF9">
              <w:t>MAVARIC and P</w:t>
            </w:r>
            <w:r w:rsidR="003C6559">
              <w:t>a</w:t>
            </w:r>
            <w:r w:rsidR="00210DF9">
              <w:t>l</w:t>
            </w:r>
            <w:r w:rsidR="003C6559">
              <w:t xml:space="preserve">mer </w:t>
            </w:r>
            <w:r w:rsidR="00483303">
              <w:t>2012—</w:t>
            </w:r>
            <w:r>
              <w:t>provide comparative evidence for manual versus au</w:t>
            </w:r>
            <w:r w:rsidR="00AC5B9B">
              <w:t xml:space="preserve">tomated reading. </w:t>
            </w:r>
            <w:r w:rsidR="00483303">
              <w:t xml:space="preserve">There are no head-to-head </w:t>
            </w:r>
            <w:r>
              <w:t>comparisons of the two different LBC systems.</w:t>
            </w:r>
          </w:p>
        </w:tc>
      </w:tr>
    </w:tbl>
    <w:p w:rsidR="00F333F8" w:rsidRDefault="00F333F8" w:rsidP="00A83AB3"/>
    <w:p w:rsidR="00D83BBF" w:rsidRDefault="002004B1" w:rsidP="00A83AB3">
      <w:r>
        <w:t>The clinical evaluation for this submissi</w:t>
      </w:r>
      <w:r w:rsidR="00483303">
        <w:t xml:space="preserve">on </w:t>
      </w:r>
      <w:r w:rsidR="00D83BBF">
        <w:t>i</w:t>
      </w:r>
      <w:r w:rsidR="00483303">
        <w:t>s</w:t>
      </w:r>
      <w:r>
        <w:t xml:space="preserve"> limited to randomised controlled trials (RCTs)</w:t>
      </w:r>
      <w:r w:rsidR="00083898">
        <w:t>, where possible,</w:t>
      </w:r>
      <w:r>
        <w:t xml:space="preserve"> in a cervical screening population. </w:t>
      </w:r>
      <w:r w:rsidR="00D83BBF">
        <w:t>The rationale for relying on RCT evidence is provided below.</w:t>
      </w:r>
    </w:p>
    <w:p w:rsidR="00C56C26" w:rsidRDefault="002004B1" w:rsidP="00A83AB3">
      <w:r>
        <w:t>The accuracy of ce</w:t>
      </w:r>
      <w:r w:rsidR="00483303">
        <w:t>rvical screening techniques has</w:t>
      </w:r>
      <w:r>
        <w:t xml:space="preserve"> been investig</w:t>
      </w:r>
      <w:r w:rsidR="005D1995">
        <w:t>a</w:t>
      </w:r>
      <w:r>
        <w:t>t</w:t>
      </w:r>
      <w:r w:rsidR="005D1995">
        <w:t>e</w:t>
      </w:r>
      <w:r>
        <w:t>d using a range of clinical t</w:t>
      </w:r>
      <w:r w:rsidR="005D1995">
        <w:t>r</w:t>
      </w:r>
      <w:r>
        <w:t xml:space="preserve">ial designs. </w:t>
      </w:r>
      <w:r w:rsidR="001C4016">
        <w:t>H</w:t>
      </w:r>
      <w:r w:rsidR="00A83AB3" w:rsidRPr="00A9243F">
        <w:t xml:space="preserve">owever, evaluations of </w:t>
      </w:r>
      <w:r w:rsidR="00EF6859">
        <w:t>the</w:t>
      </w:r>
      <w:r w:rsidR="001C4016">
        <w:t xml:space="preserve"> comparative</w:t>
      </w:r>
      <w:r w:rsidR="00A83AB3" w:rsidRPr="00A9243F">
        <w:t xml:space="preserve"> sensitivity and specific</w:t>
      </w:r>
      <w:r w:rsidR="00483303">
        <w:t>ity</w:t>
      </w:r>
      <w:r w:rsidR="00D83BBF">
        <w:t xml:space="preserve"> using alternative trial designs, such as non-randomis</w:t>
      </w:r>
      <w:r w:rsidR="00D83BBF" w:rsidRPr="00A9243F">
        <w:t>ed</w:t>
      </w:r>
      <w:r w:rsidR="00D83BBF">
        <w:t xml:space="preserve"> </w:t>
      </w:r>
      <w:r w:rsidR="00D83BBF" w:rsidRPr="00A9243F">
        <w:t>populations or</w:t>
      </w:r>
      <w:r w:rsidR="001A3CFB">
        <w:t xml:space="preserve"> a split-sample design, </w:t>
      </w:r>
      <w:r w:rsidR="00483303">
        <w:t>have severe limitations</w:t>
      </w:r>
      <w:r w:rsidR="001A3CFB" w:rsidRPr="00A9243F">
        <w:t>.</w:t>
      </w:r>
      <w:r w:rsidR="00D83BBF">
        <w:t xml:space="preserve"> One</w:t>
      </w:r>
      <w:r w:rsidR="00D95A5F">
        <w:t xml:space="preserve"> </w:t>
      </w:r>
      <w:r w:rsidR="00BD2D20">
        <w:t xml:space="preserve">limitation is that </w:t>
      </w:r>
      <w:r w:rsidR="00A83AB3" w:rsidRPr="00A9243F">
        <w:t>few studies</w:t>
      </w:r>
      <w:r w:rsidR="00A83AB3">
        <w:t xml:space="preserve"> compute </w:t>
      </w:r>
      <w:r w:rsidR="00A83AB3" w:rsidRPr="00A9243F">
        <w:t>relative sensitivity and false-positives in a primary</w:t>
      </w:r>
      <w:r w:rsidR="00A83AB3">
        <w:t xml:space="preserve"> </w:t>
      </w:r>
      <w:r w:rsidR="00A83AB3" w:rsidRPr="00A9243F">
        <w:t>screening setting using high-grade histolog</w:t>
      </w:r>
      <w:r w:rsidR="00AC5B9B">
        <w:t xml:space="preserve">y </w:t>
      </w:r>
      <w:r w:rsidR="00D83BBF">
        <w:t>(CIN2+ or CIN3+)</w:t>
      </w:r>
      <w:r w:rsidR="003E7D1C">
        <w:t xml:space="preserve"> </w:t>
      </w:r>
      <w:r w:rsidR="00AC5B9B">
        <w:t xml:space="preserve">as the endpoint. </w:t>
      </w:r>
    </w:p>
    <w:p w:rsidR="00A83AB3" w:rsidRDefault="00D83BBF" w:rsidP="00A83AB3">
      <w:r>
        <w:t xml:space="preserve">A limitation of the split sample design </w:t>
      </w:r>
      <w:r w:rsidR="00C56C26">
        <w:t>is the</w:t>
      </w:r>
      <w:r w:rsidR="00A83AB3" w:rsidRPr="00A9243F">
        <w:t xml:space="preserve"> compromise </w:t>
      </w:r>
      <w:r w:rsidR="00C56C26">
        <w:t xml:space="preserve">of </w:t>
      </w:r>
      <w:r w:rsidR="00A83AB3" w:rsidRPr="00A9243F">
        <w:t xml:space="preserve">the accuracy of </w:t>
      </w:r>
      <w:r w:rsidR="00483303">
        <w:t>liquid-based cytology (</w:t>
      </w:r>
      <w:r w:rsidR="00235AC3">
        <w:t>LBC</w:t>
      </w:r>
      <w:r w:rsidR="00483303">
        <w:t>)</w:t>
      </w:r>
      <w:r w:rsidR="00235AC3">
        <w:t xml:space="preserve"> </w:t>
      </w:r>
      <w:r w:rsidR="00A83AB3" w:rsidRPr="00A9243F">
        <w:t>performed on the second sample because the</w:t>
      </w:r>
      <w:r w:rsidR="00A83AB3">
        <w:t xml:space="preserve"> </w:t>
      </w:r>
      <w:r w:rsidR="00A83AB3" w:rsidRPr="00A9243F">
        <w:t>diagnostic cells ca</w:t>
      </w:r>
      <w:r w:rsidR="00A83AB3">
        <w:t>n be removed when taking the fi</w:t>
      </w:r>
      <w:r w:rsidR="00A83AB3" w:rsidRPr="00A9243F">
        <w:t>rst sample</w:t>
      </w:r>
      <w:r w:rsidR="00A83AB3">
        <w:t xml:space="preserve"> (</w:t>
      </w:r>
      <w:r w:rsidR="00EF6859">
        <w:t>Ro</w:t>
      </w:r>
      <w:r w:rsidR="00EE1B61">
        <w:t>nc</w:t>
      </w:r>
      <w:r w:rsidR="00EF6859">
        <w:t>o</w:t>
      </w:r>
      <w:r w:rsidR="007E0A1C">
        <w:t xml:space="preserve"> </w:t>
      </w:r>
      <w:r w:rsidR="00A83AB3">
        <w:t>2006a).</w:t>
      </w:r>
    </w:p>
    <w:p w:rsidR="00A83AB3" w:rsidRDefault="00E775A7" w:rsidP="00A83AB3">
      <w:r>
        <w:t>S</w:t>
      </w:r>
      <w:r w:rsidR="00A83AB3">
        <w:t xml:space="preserve">tudies using a two-cohort design (in which conventional tests and </w:t>
      </w:r>
      <w:r w:rsidR="00235AC3">
        <w:t>LBC</w:t>
      </w:r>
      <w:r w:rsidR="00A83AB3">
        <w:t xml:space="preserve"> samples are taken from women belonging to separate but similar populations) frequently find higher test positivity rates for </w:t>
      </w:r>
      <w:r w:rsidR="00235AC3">
        <w:t>LBC</w:t>
      </w:r>
      <w:r w:rsidR="00A83AB3">
        <w:t xml:space="preserve">. The higher detection rates reported with the </w:t>
      </w:r>
      <w:r w:rsidR="00235AC3">
        <w:t>LBC</w:t>
      </w:r>
      <w:r w:rsidR="00A83AB3">
        <w:t xml:space="preserve"> technique in other studies may be caused by the introduction of the </w:t>
      </w:r>
      <w:r w:rsidR="00235AC3">
        <w:t>LBC</w:t>
      </w:r>
      <w:r w:rsidR="00A83AB3">
        <w:t xml:space="preserve"> technique, creating a higher awareness and enthusiasm for the new tec</w:t>
      </w:r>
      <w:r w:rsidR="00AC5B9B">
        <w:t>hnique (intention bias). I</w:t>
      </w:r>
      <w:r w:rsidR="00A83AB3">
        <w:t xml:space="preserve">mproved quality control, coinciding with the introduction of the new technique, may </w:t>
      </w:r>
      <w:r w:rsidR="00AC5B9B">
        <w:t xml:space="preserve">also </w:t>
      </w:r>
      <w:r w:rsidR="00A83AB3">
        <w:t>have resulted in an increased detection of cytologic abnormalities</w:t>
      </w:r>
      <w:r w:rsidR="00C56C26">
        <w:t xml:space="preserve"> </w:t>
      </w:r>
      <w:r w:rsidR="00C56C26">
        <w:lastRenderedPageBreak/>
        <w:t>reflecting a learning curve</w:t>
      </w:r>
      <w:r w:rsidR="00A83AB3">
        <w:t>. Finally, when using historical data as a control group, differences in the study populations may have bi</w:t>
      </w:r>
      <w:r w:rsidR="003C6559">
        <w:t xml:space="preserve">ased the results (Siebers </w:t>
      </w:r>
      <w:r w:rsidR="00A83AB3">
        <w:t>2008).</w:t>
      </w:r>
    </w:p>
    <w:p w:rsidR="00D83BBF" w:rsidRDefault="00C56C26" w:rsidP="00D83BBF">
      <w:r>
        <w:t xml:space="preserve">A publication regarding </w:t>
      </w:r>
      <w:r w:rsidR="001A3CFB">
        <w:t>evaluating</w:t>
      </w:r>
      <w:r>
        <w:t xml:space="preserve"> technologies for cervical cancer screening by a leading authority in the field, </w:t>
      </w:r>
      <w:r w:rsidR="00D83BBF">
        <w:t>Arbyn 2009</w:t>
      </w:r>
      <w:r>
        <w:t>,</w:t>
      </w:r>
      <w:r w:rsidR="00D83BBF">
        <w:t xml:space="preserve"> provides a list of indicators for screening effectiveness, assessed by different study methods</w:t>
      </w:r>
      <w:r>
        <w:t xml:space="preserve">, </w:t>
      </w:r>
      <w:proofErr w:type="gramStart"/>
      <w:r>
        <w:t>The</w:t>
      </w:r>
      <w:proofErr w:type="gramEnd"/>
      <w:r>
        <w:t xml:space="preserve"> authors </w:t>
      </w:r>
      <w:r w:rsidR="00D83BBF">
        <w:t>ranked</w:t>
      </w:r>
      <w:r>
        <w:t xml:space="preserve"> studies</w:t>
      </w:r>
      <w:r w:rsidR="00D83BBF">
        <w:t xml:space="preserve"> from high to low according to the level of evidence that such studies provide.</w:t>
      </w:r>
      <w:r w:rsidR="00D83BBF" w:rsidRPr="00C073A6">
        <w:t xml:space="preserve"> </w:t>
      </w:r>
      <w:r w:rsidR="00D83BBF">
        <w:t>RCTs designed to demonstrate a reduction in invasive cervical cancer provide the highest level of evidence of efficacy of screening. However, it is acknowledged that conducting such studies requires enormous financial resources and huge study populations to be followed for many years. Therefore, it is  proposed to study intermediate or surrogate outcomes</w:t>
      </w:r>
      <w:r w:rsidR="00D83BBF" w:rsidRPr="00C073A6">
        <w:t xml:space="preserve"> </w:t>
      </w:r>
      <w:r w:rsidR="00D83BBF">
        <w:t>such as reduction of incidence of CIN 3 or worse disease (CIN 3+), increased detection rate of CIN 3+ or CIN 2+, or increased, similar or hardly reduced positive predictive value</w:t>
      </w:r>
      <w:r>
        <w:t xml:space="preserve"> be evaluated</w:t>
      </w:r>
      <w:r w:rsidR="00D83BBF">
        <w:t>.</w:t>
      </w:r>
      <w:r w:rsidR="003E7D1C">
        <w:t xml:space="preserve"> CIN 1 is the histopathologic manifestation of a carcinogenic or non-carcinogenic HPV infection that rarely progresses on a per event basis to cancer. Its detection is not clinically useful, possibly leading to over-treatment, and should not be targeted by any screening test (Arbyn 2009).</w:t>
      </w:r>
      <w:r w:rsidR="00BD2D20">
        <w:t xml:space="preserve"> </w:t>
      </w:r>
      <w:r w:rsidR="00D83BBF">
        <w:t xml:space="preserve">CIN 3 is the direct precursor of invasive cancer, and therefore, reduced incidence of CIN 3+ is considered as an acceptable a proxy outcome of trials evaluating new preventive strategies. </w:t>
      </w:r>
    </w:p>
    <w:p w:rsidR="00CD45C5" w:rsidDel="00CD45C5" w:rsidRDefault="000C4E12" w:rsidP="00CD45C5">
      <w:r>
        <w:t xml:space="preserve">The </w:t>
      </w:r>
      <w:r w:rsidR="00444C5E">
        <w:t xml:space="preserve">2009 </w:t>
      </w:r>
      <w:r>
        <w:t xml:space="preserve">MSAC assessment report was well </w:t>
      </w:r>
      <w:r w:rsidR="00FB3161">
        <w:t>conducted</w:t>
      </w:r>
      <w:r>
        <w:t xml:space="preserve"> </w:t>
      </w:r>
      <w:r w:rsidR="00BD2D20">
        <w:t xml:space="preserve">however </w:t>
      </w:r>
      <w:r w:rsidR="008519DA">
        <w:t>relied on non-RCT trial designs</w:t>
      </w:r>
      <w:r w:rsidR="00AC5B9B">
        <w:t>,</w:t>
      </w:r>
      <w:r w:rsidR="008519DA">
        <w:t xml:space="preserve"> because at the time only two RCT</w:t>
      </w:r>
      <w:r w:rsidR="00483303">
        <w:t>s were availab</w:t>
      </w:r>
      <w:r w:rsidR="00AC5B9B">
        <w:t xml:space="preserve">le—NTCC and </w:t>
      </w:r>
      <w:r w:rsidR="003C6559">
        <w:t xml:space="preserve">Obwegeser </w:t>
      </w:r>
      <w:r w:rsidR="00AC5B9B">
        <w:t>2001—</w:t>
      </w:r>
      <w:r w:rsidR="008519DA">
        <w:t>both of which were confounded</w:t>
      </w:r>
      <w:r w:rsidR="00C56C26">
        <w:t>, the NTCC trial</w:t>
      </w:r>
      <w:r w:rsidR="008519DA">
        <w:t xml:space="preserve"> by </w:t>
      </w:r>
      <w:r w:rsidR="00483303">
        <w:t>human papillomavirus (</w:t>
      </w:r>
      <w:r w:rsidR="008519DA">
        <w:t>HPV</w:t>
      </w:r>
      <w:r w:rsidR="00483303">
        <w:t>)</w:t>
      </w:r>
      <w:r w:rsidR="008519DA">
        <w:t xml:space="preserve"> </w:t>
      </w:r>
      <w:r w:rsidR="00D307F6">
        <w:t xml:space="preserve">testing in </w:t>
      </w:r>
      <w:r w:rsidR="00483303">
        <w:t xml:space="preserve">the </w:t>
      </w:r>
      <w:r w:rsidR="00D307F6">
        <w:t>LBC arm only</w:t>
      </w:r>
      <w:r w:rsidR="00483303">
        <w:t>,</w:t>
      </w:r>
      <w:r w:rsidR="00D307F6">
        <w:t xml:space="preserve"> and </w:t>
      </w:r>
      <w:r w:rsidR="00C56C26">
        <w:t xml:space="preserve">Obwegeser 2001 by </w:t>
      </w:r>
      <w:r w:rsidR="00D307F6">
        <w:t>inco</w:t>
      </w:r>
      <w:r w:rsidR="008519DA">
        <w:t xml:space="preserve">mplete follow up. </w:t>
      </w:r>
    </w:p>
    <w:p w:rsidR="00B03F70" w:rsidRDefault="00444C5E">
      <w:r>
        <w:t>The</w:t>
      </w:r>
      <w:r w:rsidR="002E4C52">
        <w:t xml:space="preserve"> MSAC </w:t>
      </w:r>
      <w:r>
        <w:t>report</w:t>
      </w:r>
      <w:r w:rsidR="000C4E12">
        <w:t xml:space="preserve"> relied on </w:t>
      </w:r>
      <w:r w:rsidR="00FB3161">
        <w:t>a comp</w:t>
      </w:r>
      <w:r w:rsidR="002E065A">
        <w:t>rehensive systematic review</w:t>
      </w:r>
      <w:r w:rsidR="00FB3161">
        <w:t xml:space="preserve"> of the comparative accuracy of LBC and conventional cytology </w:t>
      </w:r>
      <w:r w:rsidR="003C6559">
        <w:t>(Arbyn</w:t>
      </w:r>
      <w:r w:rsidR="00FB3161">
        <w:t xml:space="preserve"> 2008)</w:t>
      </w:r>
      <w:r w:rsidR="00345355">
        <w:t xml:space="preserve">, </w:t>
      </w:r>
      <w:r w:rsidR="001A111B">
        <w:t>a</w:t>
      </w:r>
      <w:r w:rsidR="00483303">
        <w:t xml:space="preserve"> health technology assessment</w:t>
      </w:r>
      <w:r w:rsidR="003C6559">
        <w:t xml:space="preserve"> </w:t>
      </w:r>
      <w:r w:rsidR="00483303">
        <w:t>(</w:t>
      </w:r>
      <w:r w:rsidR="001A111B">
        <w:t>HTA</w:t>
      </w:r>
      <w:r w:rsidR="00483303">
        <w:t>)</w:t>
      </w:r>
      <w:r w:rsidR="001A111B">
        <w:t xml:space="preserve"> of comparative un</w:t>
      </w:r>
      <w:r w:rsidR="003C6559">
        <w:t xml:space="preserve">satisfactory rates (Krahn </w:t>
      </w:r>
      <w:r w:rsidR="001A111B">
        <w:t xml:space="preserve">2008) and </w:t>
      </w:r>
      <w:r w:rsidR="00CD45C5">
        <w:t>the NTCC</w:t>
      </w:r>
      <w:r w:rsidR="00345355">
        <w:t xml:space="preserve"> </w:t>
      </w:r>
      <w:r w:rsidR="001A111B">
        <w:t>RCT reporting un</w:t>
      </w:r>
      <w:r w:rsidR="003C6559">
        <w:t xml:space="preserve">satisfactory rates (Ronco </w:t>
      </w:r>
      <w:r w:rsidR="001A111B">
        <w:t>2007)</w:t>
      </w:r>
      <w:r w:rsidR="00FB3161">
        <w:t xml:space="preserve">. </w:t>
      </w:r>
      <w:r w:rsidR="00AD5A4B">
        <w:t>The MSAC report</w:t>
      </w:r>
      <w:r>
        <w:t xml:space="preserve"> relied on evidence about the relative accuracy of manual or automated LBC to detect precancerous cervical lesions to draw conclusions about it</w:t>
      </w:r>
      <w:r w:rsidR="00483303">
        <w:t>s relative effectiveness. This linked evidence</w:t>
      </w:r>
      <w:r>
        <w:t xml:space="preserve"> approach was justified by existing evidence that early detection and treatment of precancerous cervical lesions leads to a reduction in the incidence and mortality of cervical</w:t>
      </w:r>
      <w:r w:rsidR="003C6559">
        <w:t xml:space="preserve"> cancer (AIHW 2007a; Peto </w:t>
      </w:r>
      <w:r>
        <w:t xml:space="preserve">2004). </w:t>
      </w:r>
    </w:p>
    <w:p w:rsidR="00D307F6" w:rsidRDefault="003E7D1C" w:rsidP="001A111B">
      <w:r>
        <w:t xml:space="preserve">Given the guidance provided by leading experts in the field of cervical </w:t>
      </w:r>
      <w:proofErr w:type="gramStart"/>
      <w:r>
        <w:t>screening  and</w:t>
      </w:r>
      <w:proofErr w:type="gramEnd"/>
      <w:r>
        <w:t xml:space="preserve"> the advent of RCT evidence since the 2009 MSAC evaluation the </w:t>
      </w:r>
      <w:r w:rsidR="00D307F6">
        <w:t xml:space="preserve">trial design for the </w:t>
      </w:r>
      <w:r>
        <w:t xml:space="preserve">current </w:t>
      </w:r>
      <w:r w:rsidR="00D307F6">
        <w:t>review of comparative effectiveness of LBC will be limited t</w:t>
      </w:r>
      <w:r w:rsidR="00B060CC">
        <w:t>o RCTs</w:t>
      </w:r>
      <w:r w:rsidR="00D307F6">
        <w:t xml:space="preserve"> in a cervical screening population</w:t>
      </w:r>
      <w:r w:rsidR="00C073A6">
        <w:t xml:space="preserve"> </w:t>
      </w:r>
      <w:r>
        <w:t xml:space="preserve">if </w:t>
      </w:r>
      <w:r w:rsidR="00C073A6">
        <w:t>possible</w:t>
      </w:r>
      <w:r w:rsidR="00D307F6">
        <w:t>.</w:t>
      </w:r>
    </w:p>
    <w:p w:rsidR="004347D3" w:rsidRPr="00274021" w:rsidRDefault="004347D3" w:rsidP="00136D50">
      <w:pPr>
        <w:pStyle w:val="Heading20"/>
      </w:pPr>
      <w:bookmarkStart w:id="95" w:name="_Toc337546880"/>
      <w:r w:rsidRPr="00274021">
        <w:lastRenderedPageBreak/>
        <w:t>B.1</w:t>
      </w:r>
      <w:r w:rsidRPr="00274021">
        <w:tab/>
        <w:t>Description of search strategies</w:t>
      </w:r>
      <w:bookmarkEnd w:id="90"/>
      <w:bookmarkEnd w:id="91"/>
      <w:bookmarkEnd w:id="92"/>
      <w:bookmarkEnd w:id="93"/>
      <w:bookmarkEnd w:id="94"/>
      <w:bookmarkEnd w:id="95"/>
    </w:p>
    <w:p w:rsidR="00DB05BA" w:rsidRDefault="007D5608" w:rsidP="007D5608">
      <w:bookmarkStart w:id="96" w:name="_Toc191822153"/>
      <w:bookmarkStart w:id="97" w:name="_Toc191822203"/>
      <w:bookmarkStart w:id="98" w:name="_Toc191822253"/>
      <w:bookmarkStart w:id="99" w:name="_Toc258501774"/>
      <w:bookmarkStart w:id="100" w:name="_Toc312340153"/>
      <w:r>
        <w:t>The research questions to be addressed and compariso</w:t>
      </w:r>
      <w:r w:rsidR="00B060CC">
        <w:t xml:space="preserve">ns performed in the submission </w:t>
      </w:r>
      <w:r>
        <w:t xml:space="preserve">are described in </w:t>
      </w:r>
      <w:r w:rsidR="00086C77">
        <w:fldChar w:fldCharType="begin"/>
      </w:r>
      <w:r>
        <w:instrText xml:space="preserve"> REF _Ref332790182 \h </w:instrText>
      </w:r>
      <w:r w:rsidR="00086C77">
        <w:fldChar w:fldCharType="separate"/>
      </w:r>
      <w:r w:rsidR="003361A8">
        <w:t xml:space="preserve">Table </w:t>
      </w:r>
      <w:r w:rsidR="003361A8">
        <w:rPr>
          <w:noProof/>
        </w:rPr>
        <w:t>6</w:t>
      </w:r>
      <w:r w:rsidR="00086C77">
        <w:fldChar w:fldCharType="end"/>
      </w:r>
      <w:r>
        <w:t xml:space="preserve">. </w:t>
      </w:r>
    </w:p>
    <w:p w:rsidR="00DB05BA" w:rsidRDefault="00DB05BA" w:rsidP="007D5608">
      <w:r w:rsidRPr="00DB05BA">
        <w:t xml:space="preserve">The aim of the literature search was to identify all comparative studies </w:t>
      </w:r>
      <w:r>
        <w:t xml:space="preserve">that include LBC </w:t>
      </w:r>
      <w:r w:rsidRPr="00DB05BA">
        <w:t xml:space="preserve">for the </w:t>
      </w:r>
      <w:r>
        <w:t>screening of cervical cancer</w:t>
      </w:r>
      <w:r w:rsidRPr="00DB05BA">
        <w:t>.</w:t>
      </w:r>
      <w:r w:rsidR="00B060CC">
        <w:t xml:space="preserve"> Such a broad search would enable</w:t>
      </w:r>
      <w:r>
        <w:t xml:space="preserve"> identification of RCTs comparing cell enrichment LBC with conventi</w:t>
      </w:r>
      <w:r w:rsidR="00B060CC">
        <w:t>onal cytology (CC)</w:t>
      </w:r>
      <w:r>
        <w:t xml:space="preserve"> and cell enrichment LBC versus cell fil</w:t>
      </w:r>
      <w:r w:rsidR="002E065A">
        <w:t>tration LBC. The search captured trials u</w:t>
      </w:r>
      <w:r>
        <w:t xml:space="preserve">sing automated and/or manual review of cytology.  </w:t>
      </w:r>
    </w:p>
    <w:p w:rsidR="00DB05BA" w:rsidRDefault="00DB05BA" w:rsidP="007D5608">
      <w:r>
        <w:t>T</w:t>
      </w:r>
      <w:r w:rsidR="002E065A">
        <w:t>he broad search enabled</w:t>
      </w:r>
      <w:r>
        <w:t xml:space="preserve"> identification of RC</w:t>
      </w:r>
      <w:r w:rsidR="007E0A1C">
        <w:t>T</w:t>
      </w:r>
      <w:r>
        <w:t xml:space="preserve">s </w:t>
      </w:r>
      <w:r w:rsidR="002E065A">
        <w:t>that compared</w:t>
      </w:r>
      <w:r>
        <w:t xml:space="preserve"> cell filtratio</w:t>
      </w:r>
      <w:r w:rsidR="003C6559">
        <w:t>n LBC with CC</w:t>
      </w:r>
      <w:r w:rsidR="002E065A">
        <w:t>. This permitted</w:t>
      </w:r>
      <w:r>
        <w:t xml:space="preserve"> an indirect comparison </w:t>
      </w:r>
      <w:r w:rsidR="002E065A">
        <w:t xml:space="preserve">to be made </w:t>
      </w:r>
      <w:r>
        <w:t>of cell enrichment LBC to cell filtratio</w:t>
      </w:r>
      <w:r w:rsidR="003C6559">
        <w:t>n LBC with CC</w:t>
      </w:r>
      <w:r>
        <w:t xml:space="preserve"> as the common comparator</w:t>
      </w:r>
      <w:r w:rsidR="002E065A">
        <w:t xml:space="preserve">, </w:t>
      </w:r>
      <w:r w:rsidR="00EB654D">
        <w:t xml:space="preserve">should there be </w:t>
      </w:r>
      <w:r w:rsidR="002E065A">
        <w:t>no head-to-</w:t>
      </w:r>
      <w:r>
        <w:t>head comparison</w:t>
      </w:r>
      <w:r w:rsidR="002E065A">
        <w:t>s</w:t>
      </w:r>
      <w:r>
        <w:t xml:space="preserve"> between cell enrichment LBC and cell filtration LBC</w:t>
      </w:r>
      <w:r w:rsidR="002E065A">
        <w:t xml:space="preserve"> found</w:t>
      </w:r>
      <w:r>
        <w:t>.</w:t>
      </w:r>
      <w:r w:rsidRPr="00DB05BA">
        <w:t xml:space="preserve"> </w:t>
      </w:r>
    </w:p>
    <w:p w:rsidR="000D3A74" w:rsidRDefault="008C2B84" w:rsidP="007D5608">
      <w:r w:rsidRPr="000D3A74">
        <w:t xml:space="preserve">A pragmatic approach was taken to rely on previous health technology assessments and systematic reviews for the identification of </w:t>
      </w:r>
      <w:r w:rsidR="00DC401B" w:rsidRPr="000D3A74">
        <w:t>RCTs prior to 2002.</w:t>
      </w:r>
      <w:r w:rsidR="00DC401B">
        <w:t xml:space="preserve"> </w:t>
      </w:r>
      <w:r w:rsidR="000D3A74">
        <w:t xml:space="preserve">The most recent searches undertaken by health technology assessors NICE, MSAC and CADTH covered the following periods; 1966-2002, 2000-2007 and 1997-2006 </w:t>
      </w:r>
      <w:r w:rsidR="001A3CFB">
        <w:t>respectively. The</w:t>
      </w:r>
      <w:r w:rsidR="000D3A74" w:rsidRPr="000D3A74">
        <w:t xml:space="preserve"> </w:t>
      </w:r>
      <w:r w:rsidR="00EB654D" w:rsidRPr="000D3A74">
        <w:t xml:space="preserve">two HTA’s </w:t>
      </w:r>
      <w:r w:rsidR="00EB654D">
        <w:t xml:space="preserve">(Payne 2000 and Karnon </w:t>
      </w:r>
      <w:r w:rsidR="00EB654D" w:rsidRPr="000D3A74">
        <w:t>2004)</w:t>
      </w:r>
      <w:r w:rsidR="00EB654D">
        <w:t xml:space="preserve"> that informed </w:t>
      </w:r>
      <w:proofErr w:type="gramStart"/>
      <w:r w:rsidR="00EB654D">
        <w:t>NICE</w:t>
      </w:r>
      <w:r w:rsidR="000D3A74" w:rsidRPr="000D3A74">
        <w:t xml:space="preserve"> </w:t>
      </w:r>
      <w:r w:rsidR="00EB654D">
        <w:t xml:space="preserve"> covered</w:t>
      </w:r>
      <w:proofErr w:type="gramEnd"/>
      <w:r w:rsidR="00EB654D">
        <w:t xml:space="preserve"> a wide search period (1966-2002). These </w:t>
      </w:r>
      <w:r w:rsidR="00EB654D" w:rsidRPr="00EB654D">
        <w:t>two systematic reviews provided a complete and thorough search of the relevant literature through 200</w:t>
      </w:r>
      <w:r w:rsidR="00774409">
        <w:t xml:space="preserve">2. </w:t>
      </w:r>
      <w:r w:rsidR="00774409" w:rsidRPr="00774409">
        <w:t>We used these reviews as source documents to locate relevant studies from before 200</w:t>
      </w:r>
      <w:r w:rsidR="00774409">
        <w:t>2</w:t>
      </w:r>
      <w:r w:rsidR="00774409" w:rsidRPr="00774409">
        <w:t xml:space="preserve"> and bridged the</w:t>
      </w:r>
      <w:r w:rsidR="00774409">
        <w:t xml:space="preserve"> search with one tailored for this submission</w:t>
      </w:r>
      <w:r w:rsidR="000D3A74" w:rsidRPr="000D3A74">
        <w:t xml:space="preserve">. A similar pragmatic approach was taken in a recently published systematic review of Screening for Cervical Cancer for the U.S. </w:t>
      </w:r>
      <w:r w:rsidR="00BD2D20">
        <w:t>P</w:t>
      </w:r>
      <w:r w:rsidR="000D3A74" w:rsidRPr="000D3A74">
        <w:t>reventive Services Task For</w:t>
      </w:r>
      <w:r w:rsidR="008949BF">
        <w:t>ce (Vesco et al. 2011).</w:t>
      </w:r>
    </w:p>
    <w:p w:rsidR="00987DB4" w:rsidRDefault="00774409" w:rsidP="007D5608">
      <w:r>
        <w:t>T</w:t>
      </w:r>
      <w:r w:rsidR="00A83AB3">
        <w:t xml:space="preserve">he </w:t>
      </w:r>
      <w:r w:rsidR="005A060F">
        <w:t xml:space="preserve">literature </w:t>
      </w:r>
      <w:r w:rsidR="00A83AB3">
        <w:t>search</w:t>
      </w:r>
      <w:r w:rsidR="005A060F">
        <w:t xml:space="preserve"> </w:t>
      </w:r>
      <w:r>
        <w:t xml:space="preserve">for this submission </w:t>
      </w:r>
      <w:r w:rsidR="005A060F">
        <w:t xml:space="preserve">was performed in two stages. </w:t>
      </w:r>
      <w:r w:rsidR="008D1872">
        <w:t>First, a</w:t>
      </w:r>
      <w:r w:rsidR="005A060F">
        <w:t xml:space="preserve"> retrospective review </w:t>
      </w:r>
      <w:r w:rsidR="00865F32">
        <w:t xml:space="preserve">was conducted </w:t>
      </w:r>
      <w:r w:rsidR="005A060F">
        <w:t xml:space="preserve">of </w:t>
      </w:r>
      <w:r w:rsidR="000D3A74" w:rsidRPr="000D3A74">
        <w:t xml:space="preserve">the included studies in the Payne (2000) and Karnon (2004) </w:t>
      </w:r>
      <w:r w:rsidR="00865F32">
        <w:t>systematic reviews</w:t>
      </w:r>
      <w:r w:rsidR="00987DB4">
        <w:t xml:space="preserve">. </w:t>
      </w:r>
      <w:r w:rsidR="008D1872">
        <w:t xml:space="preserve">This was then followed by </w:t>
      </w:r>
      <w:r w:rsidR="005A060F">
        <w:t xml:space="preserve">a prospective search </w:t>
      </w:r>
      <w:r w:rsidR="008D1872">
        <w:t xml:space="preserve">to identify all RCTs </w:t>
      </w:r>
      <w:r w:rsidR="005A060F">
        <w:t>from 2002 onward</w:t>
      </w:r>
      <w:r w:rsidR="008D1872">
        <w:t>s.</w:t>
      </w:r>
    </w:p>
    <w:p w:rsidR="005A060F" w:rsidRDefault="00774409" w:rsidP="00A83AB3">
      <w:r>
        <w:t>A prospective</w:t>
      </w:r>
      <w:r w:rsidR="00A83AB3">
        <w:t xml:space="preserve"> search was undertaken in 2011; the search was performed from 2</w:t>
      </w:r>
      <w:r w:rsidR="00B060CC">
        <w:t xml:space="preserve">002 to </w:t>
      </w:r>
      <w:r w:rsidR="007E0A1C">
        <w:t>6 September</w:t>
      </w:r>
      <w:r w:rsidR="00B060CC">
        <w:t xml:space="preserve"> 2011 in</w:t>
      </w:r>
      <w:r w:rsidR="00A83AB3">
        <w:t xml:space="preserve"> MEDLINE; EMBASE; and </w:t>
      </w:r>
      <w:r w:rsidR="00A83AB3" w:rsidRPr="00B060CC">
        <w:rPr>
          <w:i/>
        </w:rPr>
        <w:t>The Cochrane Library</w:t>
      </w:r>
      <w:r w:rsidR="00A83AB3">
        <w:t>.</w:t>
      </w:r>
      <w:r w:rsidR="00987DB4">
        <w:t xml:space="preserve"> </w:t>
      </w:r>
      <w:r w:rsidR="00B060CC">
        <w:t>T</w:t>
      </w:r>
      <w:r w:rsidR="00A83AB3">
        <w:t>o update the systematic review before the HTA submission, a second search</w:t>
      </w:r>
      <w:r w:rsidR="000C1751">
        <w:t xml:space="preserve"> was conducted on June 20, 2012</w:t>
      </w:r>
      <w:r w:rsidR="00A83AB3">
        <w:t xml:space="preserve">. </w:t>
      </w:r>
      <w:r w:rsidR="00A83AB3" w:rsidRPr="00AD4F3B">
        <w:t>The</w:t>
      </w:r>
      <w:r>
        <w:t xml:space="preserve"> updated</w:t>
      </w:r>
      <w:r w:rsidR="00A83AB3" w:rsidRPr="00AD4F3B">
        <w:t xml:space="preserve"> searches were limited to articles published from 2011 or to records added since 7 September 2011, the date of the previous search</w:t>
      </w:r>
      <w:r w:rsidR="00A83AB3">
        <w:t xml:space="preserve">. </w:t>
      </w:r>
    </w:p>
    <w:p w:rsidR="00A83AB3" w:rsidRDefault="00B060CC" w:rsidP="00A83AB3">
      <w:r>
        <w:t>Conference w</w:t>
      </w:r>
      <w:r w:rsidR="00A83AB3">
        <w:t>eb sites were also searched for abstracts. We limited the scope of searches of con</w:t>
      </w:r>
      <w:r>
        <w:t>ference abstracts to the authors of</w:t>
      </w:r>
      <w:r w:rsidR="00A83AB3">
        <w:t xml:space="preserve"> studies identified in the </w:t>
      </w:r>
      <w:r w:rsidR="003E7D1C">
        <w:t xml:space="preserve">prospective </w:t>
      </w:r>
      <w:r w:rsidR="00A83AB3">
        <w:t xml:space="preserve">literature search. This </w:t>
      </w:r>
      <w:r>
        <w:lastRenderedPageBreak/>
        <w:t>step was undertaken to capture</w:t>
      </w:r>
      <w:r w:rsidR="00A83AB3">
        <w:t xml:space="preserve"> eviden</w:t>
      </w:r>
      <w:r>
        <w:t>ce not yet be published in</w:t>
      </w:r>
      <w:r w:rsidR="00A83AB3">
        <w:t xml:space="preserve"> peer reviewed journal</w:t>
      </w:r>
      <w:r w:rsidR="00571E82">
        <w:t>s,</w:t>
      </w:r>
      <w:r w:rsidR="00A83AB3">
        <w:t xml:space="preserve"> and </w:t>
      </w:r>
      <w:r w:rsidR="00BD2D20">
        <w:t xml:space="preserve">for which </w:t>
      </w:r>
      <w:r w:rsidR="00A83AB3">
        <w:t xml:space="preserve">subsequent data would likely only </w:t>
      </w:r>
      <w:r w:rsidR="002004B1">
        <w:t>be available in abstract form.</w:t>
      </w:r>
    </w:p>
    <w:p w:rsidR="00DB05BA" w:rsidRDefault="00571E82" w:rsidP="00A83AB3">
      <w:r>
        <w:t>A search of</w:t>
      </w:r>
      <w:r w:rsidR="007D5608">
        <w:t xml:space="preserve"> </w:t>
      </w:r>
      <w:r>
        <w:t>registers of randomised trials—</w:t>
      </w:r>
      <w:r w:rsidR="007D5608">
        <w:t>Clin</w:t>
      </w:r>
      <w:r>
        <w:t xml:space="preserve">icalTrials.gov and ANZCTR—was also </w:t>
      </w:r>
      <w:proofErr w:type="gramStart"/>
      <w:r>
        <w:t>performed .</w:t>
      </w:r>
      <w:proofErr w:type="gramEnd"/>
      <w:r>
        <w:t xml:space="preserve"> A</w:t>
      </w:r>
      <w:r w:rsidR="00DB05BA">
        <w:t xml:space="preserve"> search of the sponsor</w:t>
      </w:r>
      <w:r>
        <w:t>’</w:t>
      </w:r>
      <w:r w:rsidR="00DB05BA">
        <w:t xml:space="preserve">s (BD) database for additional trial data was </w:t>
      </w:r>
      <w:r>
        <w:t xml:space="preserve">also </w:t>
      </w:r>
      <w:r w:rsidR="00DB05BA">
        <w:t xml:space="preserve">performed. </w:t>
      </w:r>
    </w:p>
    <w:p w:rsidR="007D5608" w:rsidRPr="00274021" w:rsidRDefault="007D5608" w:rsidP="00A83AB3">
      <w:r w:rsidRPr="007D5608">
        <w:t xml:space="preserve">A full description of the search strategies used in the submission is provided in Attachment </w:t>
      </w:r>
      <w:r w:rsidR="005F6015">
        <w:t>2</w:t>
      </w:r>
      <w:r w:rsidR="00571E82">
        <w:t>. The outputs from</w:t>
      </w:r>
      <w:r w:rsidRPr="007D5608">
        <w:t xml:space="preserve"> the original and additional searches were extracted into </w:t>
      </w:r>
      <w:r w:rsidR="00571E82">
        <w:t xml:space="preserve">two separate Reference Manager </w:t>
      </w:r>
      <w:proofErr w:type="gramStart"/>
      <w:r w:rsidR="00571E82">
        <w:t>d</w:t>
      </w:r>
      <w:r w:rsidRPr="007D5608">
        <w:t>atabases</w:t>
      </w:r>
      <w:proofErr w:type="gramEnd"/>
      <w:r w:rsidR="002E065A">
        <w:t xml:space="preserve"> and reviewed (</w:t>
      </w:r>
      <w:r w:rsidRPr="007D5608">
        <w:t xml:space="preserve">Attachment </w:t>
      </w:r>
      <w:r w:rsidR="005F6015">
        <w:t>2</w:t>
      </w:r>
      <w:r w:rsidRPr="007D5608">
        <w:t xml:space="preserve">). </w:t>
      </w:r>
      <w:r>
        <w:t xml:space="preserve"> </w:t>
      </w:r>
    </w:p>
    <w:p w:rsidR="004347D3" w:rsidRDefault="004347D3" w:rsidP="00136D50">
      <w:pPr>
        <w:pStyle w:val="Heading20"/>
      </w:pPr>
      <w:bookmarkStart w:id="101" w:name="_Toc337546881"/>
      <w:r w:rsidRPr="00274021">
        <w:t>B.2</w:t>
      </w:r>
      <w:r w:rsidRPr="00274021">
        <w:tab/>
        <w:t>Listing of all direct randomised trials</w:t>
      </w:r>
      <w:bookmarkEnd w:id="96"/>
      <w:bookmarkEnd w:id="97"/>
      <w:bookmarkEnd w:id="98"/>
      <w:bookmarkEnd w:id="99"/>
      <w:bookmarkEnd w:id="100"/>
      <w:bookmarkEnd w:id="101"/>
    </w:p>
    <w:p w:rsidR="00E023D0" w:rsidRDefault="00774409" w:rsidP="00E023D0">
      <w:r w:rsidRPr="00774409">
        <w:t xml:space="preserve">The citations identified by the literature search were evaluated using </w:t>
      </w:r>
      <w:proofErr w:type="gramStart"/>
      <w:r w:rsidRPr="00774409">
        <w:t>predefined  inclusion</w:t>
      </w:r>
      <w:proofErr w:type="gramEnd"/>
      <w:r w:rsidRPr="00774409">
        <w:t xml:space="preserve">/exclusion criteria. To be included, a reference had to report a </w:t>
      </w:r>
      <w:r>
        <w:t>study</w:t>
      </w:r>
      <w:r w:rsidRPr="00774409">
        <w:t xml:space="preserve"> that met all of the following criteria:</w:t>
      </w:r>
    </w:p>
    <w:p w:rsidR="00E023D0" w:rsidRPr="00274021" w:rsidRDefault="003C6559" w:rsidP="00AB012A">
      <w:pPr>
        <w:numPr>
          <w:ilvl w:val="0"/>
          <w:numId w:val="20"/>
        </w:numPr>
      </w:pPr>
      <w:r>
        <w:t xml:space="preserve">The </w:t>
      </w:r>
      <w:r w:rsidR="00774409" w:rsidRPr="00774409">
        <w:t xml:space="preserve"> trial included a randomisation procedure in its design</w:t>
      </w:r>
      <w:r w:rsidR="00774409" w:rsidRPr="00774409" w:rsidDel="00774409">
        <w:t xml:space="preserve"> </w:t>
      </w:r>
      <w:r w:rsidR="00571E82">
        <w:t>(</w:t>
      </w:r>
      <w:r w:rsidR="00E023D0">
        <w:t>opinion pieces, letter, editorials, reviews and non-randomised trials were excluded)</w:t>
      </w:r>
    </w:p>
    <w:p w:rsidR="00E023D0" w:rsidRPr="00274021" w:rsidRDefault="00571E82" w:rsidP="00AB012A">
      <w:pPr>
        <w:numPr>
          <w:ilvl w:val="0"/>
          <w:numId w:val="20"/>
        </w:numPr>
      </w:pPr>
      <w:r>
        <w:t>The study compared liquid-based cytology (LBC: cell enrichment or cell filtration</w:t>
      </w:r>
      <w:r w:rsidR="00E023D0">
        <w:t>) with conventional cytology</w:t>
      </w:r>
      <w:r>
        <w:t xml:space="preserve"> (CC)</w:t>
      </w:r>
      <w:r w:rsidR="003E7D1C">
        <w:t xml:space="preserve"> or cell enrichment with cell filtration </w:t>
      </w:r>
      <w:r w:rsidR="00E023D0">
        <w:t xml:space="preserve"> in separate arms or compared manual with semi-automated screening </w:t>
      </w:r>
    </w:p>
    <w:p w:rsidR="00E023D0" w:rsidRDefault="00E023D0" w:rsidP="00AB012A">
      <w:pPr>
        <w:numPr>
          <w:ilvl w:val="0"/>
          <w:numId w:val="20"/>
        </w:numPr>
      </w:pPr>
      <w:r>
        <w:t>The study reported at least one of the health related and/or patient related outcomes as specified in the final DAP</w:t>
      </w:r>
    </w:p>
    <w:p w:rsidR="00E023D0" w:rsidRDefault="00E023D0" w:rsidP="00AB012A">
      <w:pPr>
        <w:numPr>
          <w:ilvl w:val="0"/>
          <w:numId w:val="20"/>
        </w:numPr>
      </w:pPr>
      <w:r>
        <w:t xml:space="preserve">The study participants were representative of a cervical cancer screening population </w:t>
      </w:r>
    </w:p>
    <w:p w:rsidR="00E023D0" w:rsidRDefault="00E023D0" w:rsidP="00AB012A">
      <w:pPr>
        <w:numPr>
          <w:ilvl w:val="0"/>
          <w:numId w:val="20"/>
        </w:numPr>
      </w:pPr>
      <w:r>
        <w:t xml:space="preserve">The study was applied to the detection of cervical cancer </w:t>
      </w:r>
    </w:p>
    <w:p w:rsidR="00E023D0" w:rsidRDefault="00E023D0" w:rsidP="00AB012A">
      <w:pPr>
        <w:numPr>
          <w:ilvl w:val="0"/>
          <w:numId w:val="20"/>
        </w:numPr>
      </w:pPr>
      <w:r>
        <w:t>The study was in English</w:t>
      </w:r>
      <w:r w:rsidR="00571E82">
        <w:t>.</w:t>
      </w:r>
    </w:p>
    <w:p w:rsidR="00E232E5" w:rsidRDefault="00E023D0" w:rsidP="00E023D0">
      <w:r w:rsidRPr="005D1995">
        <w:t xml:space="preserve">The results of the literature searches for </w:t>
      </w:r>
      <w:r w:rsidR="00BF7731">
        <w:t>RCTs</w:t>
      </w:r>
      <w:r w:rsidRPr="005D1995">
        <w:t xml:space="preserve"> are presented in </w:t>
      </w:r>
      <w:r w:rsidR="00086C77">
        <w:fldChar w:fldCharType="begin"/>
      </w:r>
      <w:r>
        <w:instrText xml:space="preserve"> REF _Ref268269222 \h </w:instrText>
      </w:r>
      <w:r w:rsidR="00086C77">
        <w:fldChar w:fldCharType="separate"/>
      </w:r>
      <w:r w:rsidR="003361A8" w:rsidRPr="00274021">
        <w:t xml:space="preserve">Table </w:t>
      </w:r>
      <w:r w:rsidR="003361A8">
        <w:rPr>
          <w:noProof/>
        </w:rPr>
        <w:t>8</w:t>
      </w:r>
      <w:r w:rsidR="00086C77">
        <w:fldChar w:fldCharType="end"/>
      </w:r>
      <w:r w:rsidRPr="005D1995">
        <w:t xml:space="preserve">. The published searches identified a total of </w:t>
      </w:r>
      <w:r>
        <w:t>220 unique citations, of which 22 citations described 10</w:t>
      </w:r>
      <w:r w:rsidRPr="005D1995">
        <w:t xml:space="preserve"> </w:t>
      </w:r>
      <w:r w:rsidR="00E232E5">
        <w:t>RCTs</w:t>
      </w:r>
      <w:r w:rsidRPr="005D1995">
        <w:t xml:space="preserve"> included in this submission. </w:t>
      </w:r>
      <w:r w:rsidR="00BF7731">
        <w:t>Given there was sufficient RCT evidence to address the research questions (</w:t>
      </w:r>
      <w:r w:rsidR="00086C77">
        <w:fldChar w:fldCharType="begin"/>
      </w:r>
      <w:r w:rsidR="00BF7731">
        <w:instrText xml:space="preserve"> REF _Ref332790182 \h </w:instrText>
      </w:r>
      <w:r w:rsidR="00086C77">
        <w:fldChar w:fldCharType="separate"/>
      </w:r>
      <w:r w:rsidR="003361A8">
        <w:t xml:space="preserve">Table </w:t>
      </w:r>
      <w:r w:rsidR="003361A8">
        <w:rPr>
          <w:noProof/>
        </w:rPr>
        <w:t>6</w:t>
      </w:r>
      <w:r w:rsidR="00086C77">
        <w:fldChar w:fldCharType="end"/>
      </w:r>
      <w:r w:rsidR="00BF7731">
        <w:t>), th</w:t>
      </w:r>
      <w:r w:rsidR="00571E82">
        <w:t>e literature search output for non</w:t>
      </w:r>
      <w:r w:rsidR="00BF7731">
        <w:t>randomised t</w:t>
      </w:r>
      <w:r w:rsidR="00571E82">
        <w:t>rials and clinical studies</w:t>
      </w:r>
      <w:r w:rsidR="00BF7731">
        <w:t xml:space="preserve"> as reported in the </w:t>
      </w:r>
      <w:r w:rsidR="00BF7731" w:rsidRPr="007D5608">
        <w:t>description of the search strategies</w:t>
      </w:r>
      <w:r w:rsidR="00BF7731">
        <w:t xml:space="preserve"> and provided in the</w:t>
      </w:r>
      <w:r w:rsidR="00BF7731" w:rsidRPr="00BF7731">
        <w:t xml:space="preserve"> </w:t>
      </w:r>
      <w:r w:rsidR="00571E82">
        <w:t>Reference Manager d</w:t>
      </w:r>
      <w:r w:rsidR="00BF7731" w:rsidRPr="007D5608">
        <w:t>atabases</w:t>
      </w:r>
      <w:r w:rsidR="00571E82">
        <w:t xml:space="preserve"> denoted as ‘Studies’</w:t>
      </w:r>
      <w:r w:rsidR="00BF7731">
        <w:t xml:space="preserve"> was not reviewed. </w:t>
      </w:r>
    </w:p>
    <w:p w:rsidR="00E023D0" w:rsidRDefault="00571E82" w:rsidP="00E023D0">
      <w:r>
        <w:lastRenderedPageBreak/>
        <w:t>The Reference Manager d</w:t>
      </w:r>
      <w:r w:rsidR="00E023D0" w:rsidRPr="005D1995">
        <w:t>atabases</w:t>
      </w:r>
      <w:r w:rsidR="00BF7731">
        <w:t xml:space="preserve"> (denoted by suffix “_RCT”)</w:t>
      </w:r>
      <w:r w:rsidR="00E023D0" w:rsidRPr="005D1995">
        <w:t xml:space="preserve"> contain each citation annotated with the reasons for exclusion (Attachment</w:t>
      </w:r>
      <w:r w:rsidR="005A060F">
        <w:t xml:space="preserve"> 2</w:t>
      </w:r>
      <w:r w:rsidR="00E023D0" w:rsidRPr="005D1995">
        <w:t xml:space="preserve">). </w:t>
      </w:r>
      <w:r w:rsidR="00E023D0">
        <w:t>A</w:t>
      </w:r>
      <w:r w:rsidR="00F435A9">
        <w:t xml:space="preserve">n evaluation of the studies included in </w:t>
      </w:r>
      <w:proofErr w:type="gramStart"/>
      <w:r w:rsidR="00F435A9">
        <w:t>the  systematic</w:t>
      </w:r>
      <w:proofErr w:type="gramEnd"/>
      <w:r w:rsidR="00F435A9">
        <w:t xml:space="preserve"> reviews by </w:t>
      </w:r>
      <w:r w:rsidR="00F435A9" w:rsidRPr="00F435A9">
        <w:t>Payne 2000 and Karnon 2004</w:t>
      </w:r>
      <w:r w:rsidR="00F435A9">
        <w:t xml:space="preserve"> did not locate any new RCTs. A manual search for relevant studies </w:t>
      </w:r>
      <w:r w:rsidR="00E023D0" w:rsidRPr="005D1995">
        <w:t xml:space="preserve">identified a total of </w:t>
      </w:r>
      <w:r w:rsidR="00DE7779">
        <w:t>7</w:t>
      </w:r>
      <w:r w:rsidR="00DB05BA">
        <w:t xml:space="preserve"> </w:t>
      </w:r>
      <w:r w:rsidR="00E023D0" w:rsidRPr="005D1995">
        <w:t xml:space="preserve">citations </w:t>
      </w:r>
      <w:r w:rsidR="00E023D0">
        <w:t xml:space="preserve">but </w:t>
      </w:r>
      <w:r w:rsidR="00E023D0" w:rsidRPr="005D1995">
        <w:t>did not result in any new included trials.</w:t>
      </w:r>
      <w:r w:rsidR="00DB05BA">
        <w:t xml:space="preserve"> The</w:t>
      </w:r>
      <w:r w:rsidR="00DB05BA" w:rsidRPr="00DB05BA">
        <w:t xml:space="preserve"> search of the sponsor</w:t>
      </w:r>
      <w:r>
        <w:t>’</w:t>
      </w:r>
      <w:r w:rsidR="00DB05BA" w:rsidRPr="00DB05BA">
        <w:t>s (BD) database resulted in no additional trial data.</w:t>
      </w:r>
    </w:p>
    <w:p w:rsidR="00E023D0" w:rsidRDefault="00E023D0" w:rsidP="00E023D0"/>
    <w:p w:rsidR="002D27E9" w:rsidRPr="00274021" w:rsidRDefault="002D27E9" w:rsidP="00E023D0">
      <w:pPr>
        <w:sectPr w:rsidR="002D27E9" w:rsidRPr="00274021" w:rsidSect="008846BA">
          <w:headerReference w:type="default" r:id="rId20"/>
          <w:pgSz w:w="11907" w:h="16839" w:code="9"/>
          <w:pgMar w:top="1701" w:right="1418" w:bottom="1418" w:left="1701" w:header="720" w:footer="720" w:gutter="0"/>
          <w:paperSrc w:first="7" w:other="7"/>
          <w:cols w:space="720"/>
          <w:noEndnote/>
        </w:sectPr>
      </w:pPr>
    </w:p>
    <w:p w:rsidR="00E023D0" w:rsidRPr="00274021" w:rsidRDefault="00E023D0" w:rsidP="00E023D0">
      <w:pPr>
        <w:pStyle w:val="Tablecaption"/>
      </w:pPr>
      <w:bookmarkStart w:id="102" w:name="_Ref268269222"/>
      <w:bookmarkStart w:id="103" w:name="_Toc192319846"/>
      <w:bookmarkStart w:id="104" w:name="_Toc312340193"/>
      <w:bookmarkStart w:id="105" w:name="_Toc316368178"/>
      <w:bookmarkStart w:id="106" w:name="_Toc335665974"/>
      <w:bookmarkStart w:id="107" w:name="_Ref154463640"/>
      <w:bookmarkStart w:id="108" w:name="_Ref166993780"/>
      <w:bookmarkStart w:id="109" w:name="_Toc337546945"/>
      <w:r w:rsidRPr="00274021">
        <w:lastRenderedPageBreak/>
        <w:t xml:space="preserve">Table </w:t>
      </w:r>
      <w:fldSimple w:instr=" SEQ Table \* ARABIC ">
        <w:r w:rsidR="003361A8">
          <w:rPr>
            <w:noProof/>
          </w:rPr>
          <w:t>8</w:t>
        </w:r>
      </w:fldSimple>
      <w:bookmarkEnd w:id="102"/>
      <w:r w:rsidRPr="00274021">
        <w:tab/>
      </w:r>
      <w:bookmarkEnd w:id="103"/>
      <w:r w:rsidRPr="00274021">
        <w:t>Summary of identification of randomised trials of</w:t>
      </w:r>
      <w:r w:rsidR="00E232E5">
        <w:t xml:space="preserve"> LBC</w:t>
      </w:r>
      <w:r w:rsidRPr="00274021">
        <w:t xml:space="preserve"> from the search of the published literature</w:t>
      </w:r>
      <w:bookmarkEnd w:id="104"/>
      <w:bookmarkEnd w:id="105"/>
      <w:bookmarkEnd w:id="106"/>
      <w:bookmarkEnd w:id="109"/>
    </w:p>
    <w:bookmarkEnd w:id="107"/>
    <w:bookmarkEnd w:id="108"/>
    <w:tbl>
      <w:tblPr>
        <w:tblW w:w="54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7"/>
        <w:gridCol w:w="1701"/>
        <w:gridCol w:w="1137"/>
        <w:gridCol w:w="1276"/>
        <w:gridCol w:w="989"/>
        <w:gridCol w:w="992"/>
        <w:gridCol w:w="992"/>
        <w:gridCol w:w="995"/>
        <w:gridCol w:w="1264"/>
      </w:tblGrid>
      <w:tr w:rsidR="00E023D0" w:rsidRPr="00274021" w:rsidTr="00774409">
        <w:trPr>
          <w:cantSplit/>
        </w:trPr>
        <w:tc>
          <w:tcPr>
            <w:tcW w:w="1910" w:type="pct"/>
            <w:vMerge w:val="restart"/>
          </w:tcPr>
          <w:p w:rsidR="00E023D0" w:rsidRPr="00274021" w:rsidRDefault="00E023D0" w:rsidP="00E023D0">
            <w:pPr>
              <w:pStyle w:val="Tableheading"/>
            </w:pPr>
          </w:p>
        </w:tc>
        <w:tc>
          <w:tcPr>
            <w:tcW w:w="562" w:type="pct"/>
            <w:vMerge w:val="restart"/>
          </w:tcPr>
          <w:p w:rsidR="00E023D0" w:rsidRPr="00274021" w:rsidRDefault="00571E82" w:rsidP="00E023D0">
            <w:pPr>
              <w:pStyle w:val="Tableheading"/>
              <w:rPr>
                <w:bCs/>
              </w:rPr>
            </w:pPr>
            <w:r>
              <w:rPr>
                <w:bCs/>
              </w:rPr>
              <w:t>MEDLINE</w:t>
            </w:r>
            <w:r w:rsidR="00D71DDE">
              <w:rPr>
                <w:bCs/>
              </w:rPr>
              <w:t>/</w:t>
            </w:r>
            <w:r w:rsidR="00E023D0" w:rsidRPr="00274021">
              <w:rPr>
                <w:bCs/>
              </w:rPr>
              <w:t>EMBASE</w:t>
            </w:r>
          </w:p>
        </w:tc>
        <w:tc>
          <w:tcPr>
            <w:tcW w:w="2110" w:type="pct"/>
            <w:gridSpan w:val="6"/>
          </w:tcPr>
          <w:p w:rsidR="00E023D0" w:rsidRPr="003C6559" w:rsidRDefault="00E023D0" w:rsidP="00210DF9">
            <w:pPr>
              <w:pStyle w:val="Tableheading"/>
              <w:jc w:val="center"/>
            </w:pPr>
            <w:r w:rsidRPr="003C6559">
              <w:t>Cochrane</w:t>
            </w:r>
          </w:p>
        </w:tc>
        <w:tc>
          <w:tcPr>
            <w:tcW w:w="418" w:type="pct"/>
            <w:vMerge w:val="restart"/>
          </w:tcPr>
          <w:p w:rsidR="00E023D0" w:rsidRPr="00274021" w:rsidRDefault="00E023D0" w:rsidP="00E023D0">
            <w:pPr>
              <w:pStyle w:val="Tableheading"/>
            </w:pPr>
            <w:r w:rsidRPr="00274021">
              <w:t>Manual search</w:t>
            </w:r>
          </w:p>
        </w:tc>
      </w:tr>
      <w:tr w:rsidR="00774409" w:rsidRPr="00274021" w:rsidTr="000341D1">
        <w:trPr>
          <w:cantSplit/>
        </w:trPr>
        <w:tc>
          <w:tcPr>
            <w:tcW w:w="1910" w:type="pct"/>
            <w:vMerge/>
          </w:tcPr>
          <w:p w:rsidR="00E023D0" w:rsidRPr="00274021" w:rsidRDefault="00E023D0" w:rsidP="00E023D0">
            <w:pPr>
              <w:pStyle w:val="Tabletext"/>
            </w:pPr>
          </w:p>
        </w:tc>
        <w:tc>
          <w:tcPr>
            <w:tcW w:w="562" w:type="pct"/>
            <w:vMerge/>
          </w:tcPr>
          <w:p w:rsidR="00E023D0" w:rsidRPr="00274021" w:rsidRDefault="00E023D0" w:rsidP="00E023D0">
            <w:pPr>
              <w:pStyle w:val="Tabletext"/>
              <w:keepLines/>
              <w:jc w:val="center"/>
            </w:pPr>
          </w:p>
        </w:tc>
        <w:tc>
          <w:tcPr>
            <w:tcW w:w="376" w:type="pct"/>
          </w:tcPr>
          <w:p w:rsidR="00E023D0" w:rsidRPr="00274021" w:rsidRDefault="00E023D0" w:rsidP="00E023D0">
            <w:pPr>
              <w:pStyle w:val="Tableheading"/>
            </w:pPr>
            <w:r w:rsidRPr="00274021">
              <w:t>Reviews</w:t>
            </w:r>
          </w:p>
        </w:tc>
        <w:tc>
          <w:tcPr>
            <w:tcW w:w="422" w:type="pct"/>
          </w:tcPr>
          <w:p w:rsidR="00E023D0" w:rsidRPr="00274021" w:rsidRDefault="00E023D0" w:rsidP="00E023D0">
            <w:pPr>
              <w:pStyle w:val="Tableheading"/>
            </w:pPr>
            <w:r w:rsidRPr="00274021">
              <w:t>Protocols</w:t>
            </w:r>
          </w:p>
        </w:tc>
        <w:tc>
          <w:tcPr>
            <w:tcW w:w="327" w:type="pct"/>
          </w:tcPr>
          <w:p w:rsidR="00E023D0" w:rsidRPr="00274021" w:rsidRDefault="00E023D0" w:rsidP="00E023D0">
            <w:pPr>
              <w:pStyle w:val="Tableheading"/>
            </w:pPr>
            <w:r w:rsidRPr="00274021">
              <w:t>DARE</w:t>
            </w:r>
          </w:p>
        </w:tc>
        <w:tc>
          <w:tcPr>
            <w:tcW w:w="328" w:type="pct"/>
          </w:tcPr>
          <w:p w:rsidR="00E023D0" w:rsidRPr="00274021" w:rsidRDefault="00E023D0" w:rsidP="00E023D0">
            <w:pPr>
              <w:pStyle w:val="Tableheading"/>
            </w:pPr>
            <w:r w:rsidRPr="00274021">
              <w:t>Central</w:t>
            </w:r>
          </w:p>
        </w:tc>
        <w:tc>
          <w:tcPr>
            <w:tcW w:w="328" w:type="pct"/>
          </w:tcPr>
          <w:p w:rsidR="00E023D0" w:rsidRPr="00274021" w:rsidRDefault="00E023D0" w:rsidP="00E023D0">
            <w:pPr>
              <w:pStyle w:val="Tableheading"/>
            </w:pPr>
            <w:r w:rsidRPr="00274021">
              <w:t>HTA</w:t>
            </w:r>
          </w:p>
        </w:tc>
        <w:tc>
          <w:tcPr>
            <w:tcW w:w="329" w:type="pct"/>
          </w:tcPr>
          <w:p w:rsidR="00E023D0" w:rsidRPr="00274021" w:rsidRDefault="00E023D0" w:rsidP="00E023D0">
            <w:pPr>
              <w:pStyle w:val="Tableheading"/>
            </w:pPr>
            <w:r w:rsidRPr="00274021">
              <w:t>NHSEED</w:t>
            </w:r>
          </w:p>
        </w:tc>
        <w:tc>
          <w:tcPr>
            <w:tcW w:w="418" w:type="pct"/>
            <w:vMerge/>
          </w:tcPr>
          <w:p w:rsidR="00E023D0" w:rsidRPr="00274021" w:rsidRDefault="00E023D0" w:rsidP="00E023D0">
            <w:pPr>
              <w:pStyle w:val="Tabletext"/>
              <w:keepLines/>
              <w:jc w:val="center"/>
            </w:pPr>
          </w:p>
        </w:tc>
      </w:tr>
      <w:tr w:rsidR="00774409" w:rsidRPr="00274021" w:rsidTr="000341D1">
        <w:trPr>
          <w:cantSplit/>
        </w:trPr>
        <w:tc>
          <w:tcPr>
            <w:tcW w:w="1910" w:type="pct"/>
          </w:tcPr>
          <w:p w:rsidR="00E023D0" w:rsidRPr="00274021" w:rsidRDefault="00E023D0" w:rsidP="00E023D0">
            <w:pPr>
              <w:pStyle w:val="Tabletext"/>
            </w:pPr>
            <w:r w:rsidRPr="00274021">
              <w:t>Number of citations retrieved by original search</w:t>
            </w:r>
          </w:p>
        </w:tc>
        <w:tc>
          <w:tcPr>
            <w:tcW w:w="562" w:type="pct"/>
          </w:tcPr>
          <w:p w:rsidR="00E023D0" w:rsidRPr="00274021" w:rsidRDefault="00E023D0" w:rsidP="00E023D0">
            <w:pPr>
              <w:pStyle w:val="Tabletext"/>
              <w:jc w:val="center"/>
            </w:pPr>
            <w:r>
              <w:t>173</w:t>
            </w:r>
          </w:p>
        </w:tc>
        <w:tc>
          <w:tcPr>
            <w:tcW w:w="376" w:type="pct"/>
          </w:tcPr>
          <w:p w:rsidR="00E023D0" w:rsidRPr="00274021" w:rsidRDefault="00E023D0" w:rsidP="00E023D0">
            <w:pPr>
              <w:pStyle w:val="Tabletext"/>
              <w:jc w:val="center"/>
            </w:pPr>
            <w:r>
              <w:t>1</w:t>
            </w:r>
          </w:p>
        </w:tc>
        <w:tc>
          <w:tcPr>
            <w:tcW w:w="422" w:type="pct"/>
          </w:tcPr>
          <w:p w:rsidR="00E023D0" w:rsidRPr="00274021" w:rsidRDefault="00E023D0" w:rsidP="00E023D0">
            <w:pPr>
              <w:pStyle w:val="Tabletext"/>
              <w:jc w:val="center"/>
            </w:pPr>
            <w:r>
              <w:t>0</w:t>
            </w:r>
          </w:p>
        </w:tc>
        <w:tc>
          <w:tcPr>
            <w:tcW w:w="327" w:type="pct"/>
          </w:tcPr>
          <w:p w:rsidR="00E023D0" w:rsidRPr="00274021" w:rsidRDefault="00E023D0" w:rsidP="00E023D0">
            <w:pPr>
              <w:pStyle w:val="Tabletext"/>
              <w:jc w:val="center"/>
            </w:pPr>
            <w:r>
              <w:t>0</w:t>
            </w:r>
          </w:p>
        </w:tc>
        <w:tc>
          <w:tcPr>
            <w:tcW w:w="328" w:type="pct"/>
          </w:tcPr>
          <w:p w:rsidR="00E023D0" w:rsidRPr="00274021" w:rsidRDefault="00E023D0" w:rsidP="00E023D0">
            <w:pPr>
              <w:pStyle w:val="Tabletext"/>
              <w:jc w:val="center"/>
            </w:pPr>
            <w:r>
              <w:t>20</w:t>
            </w:r>
          </w:p>
        </w:tc>
        <w:tc>
          <w:tcPr>
            <w:tcW w:w="328" w:type="pct"/>
          </w:tcPr>
          <w:p w:rsidR="00E023D0" w:rsidRPr="00274021" w:rsidRDefault="00E023D0" w:rsidP="00E023D0">
            <w:pPr>
              <w:pStyle w:val="Tabletext"/>
              <w:jc w:val="center"/>
            </w:pPr>
            <w:r>
              <w:t>0</w:t>
            </w:r>
          </w:p>
        </w:tc>
        <w:tc>
          <w:tcPr>
            <w:tcW w:w="329" w:type="pct"/>
          </w:tcPr>
          <w:p w:rsidR="00E023D0" w:rsidRPr="00274021" w:rsidRDefault="00E023D0" w:rsidP="00E023D0">
            <w:pPr>
              <w:pStyle w:val="Tabletext"/>
              <w:jc w:val="center"/>
            </w:pPr>
            <w:r>
              <w:t>0</w:t>
            </w:r>
          </w:p>
        </w:tc>
        <w:tc>
          <w:tcPr>
            <w:tcW w:w="418" w:type="pct"/>
          </w:tcPr>
          <w:p w:rsidR="00E023D0" w:rsidRPr="00274021" w:rsidRDefault="00E023D0" w:rsidP="000341D1">
            <w:pPr>
              <w:pStyle w:val="Tabletext"/>
              <w:jc w:val="center"/>
            </w:pPr>
            <w:r>
              <w:t>7</w:t>
            </w:r>
          </w:p>
        </w:tc>
      </w:tr>
      <w:tr w:rsidR="00774409" w:rsidRPr="00274021" w:rsidTr="000341D1">
        <w:trPr>
          <w:cantSplit/>
        </w:trPr>
        <w:tc>
          <w:tcPr>
            <w:tcW w:w="1910" w:type="pct"/>
          </w:tcPr>
          <w:p w:rsidR="00E023D0" w:rsidRPr="00274021" w:rsidRDefault="00E023D0" w:rsidP="00E023D0">
            <w:pPr>
              <w:pStyle w:val="Tabletext"/>
            </w:pPr>
            <w:r w:rsidRPr="00274021">
              <w:t>Number of unique citations (removing duplicates within and across databases)</w:t>
            </w:r>
          </w:p>
        </w:tc>
        <w:tc>
          <w:tcPr>
            <w:tcW w:w="562" w:type="pct"/>
          </w:tcPr>
          <w:p w:rsidR="00E023D0" w:rsidRPr="00274021" w:rsidRDefault="00E023D0" w:rsidP="00E023D0">
            <w:pPr>
              <w:pStyle w:val="Tabletext"/>
              <w:jc w:val="center"/>
            </w:pPr>
            <w:r>
              <w:t>167</w:t>
            </w:r>
          </w:p>
        </w:tc>
        <w:tc>
          <w:tcPr>
            <w:tcW w:w="376" w:type="pct"/>
          </w:tcPr>
          <w:p w:rsidR="00E023D0" w:rsidRPr="00274021" w:rsidRDefault="00E023D0" w:rsidP="00E023D0">
            <w:pPr>
              <w:pStyle w:val="Tabletext"/>
              <w:jc w:val="center"/>
            </w:pPr>
            <w:r>
              <w:t>1</w:t>
            </w:r>
          </w:p>
        </w:tc>
        <w:tc>
          <w:tcPr>
            <w:tcW w:w="422" w:type="pct"/>
          </w:tcPr>
          <w:p w:rsidR="00E023D0" w:rsidRPr="00274021" w:rsidRDefault="00E023D0" w:rsidP="00E023D0">
            <w:pPr>
              <w:pStyle w:val="Tabletext"/>
              <w:jc w:val="center"/>
            </w:pPr>
            <w:r>
              <w:t>-</w:t>
            </w:r>
          </w:p>
        </w:tc>
        <w:tc>
          <w:tcPr>
            <w:tcW w:w="327" w:type="pct"/>
          </w:tcPr>
          <w:p w:rsidR="00E023D0" w:rsidRPr="00274021" w:rsidRDefault="00E023D0" w:rsidP="00E023D0">
            <w:pPr>
              <w:pStyle w:val="Tabletext"/>
              <w:jc w:val="center"/>
            </w:pPr>
            <w:r>
              <w:t>-</w:t>
            </w:r>
          </w:p>
        </w:tc>
        <w:tc>
          <w:tcPr>
            <w:tcW w:w="328" w:type="pct"/>
          </w:tcPr>
          <w:p w:rsidR="00E023D0" w:rsidRPr="00274021" w:rsidRDefault="00E023D0" w:rsidP="00E023D0">
            <w:pPr>
              <w:pStyle w:val="Tabletext"/>
              <w:jc w:val="center"/>
            </w:pPr>
            <w:r>
              <w:t>5</w:t>
            </w:r>
          </w:p>
        </w:tc>
        <w:tc>
          <w:tcPr>
            <w:tcW w:w="328" w:type="pct"/>
          </w:tcPr>
          <w:p w:rsidR="00E023D0" w:rsidRPr="00274021" w:rsidRDefault="00E023D0" w:rsidP="00E023D0">
            <w:pPr>
              <w:pStyle w:val="Tabletext"/>
              <w:jc w:val="center"/>
            </w:pPr>
            <w:r>
              <w:t>-</w:t>
            </w:r>
          </w:p>
        </w:tc>
        <w:tc>
          <w:tcPr>
            <w:tcW w:w="329" w:type="pct"/>
          </w:tcPr>
          <w:p w:rsidR="00E023D0" w:rsidRPr="00274021" w:rsidRDefault="00E023D0" w:rsidP="00E023D0">
            <w:pPr>
              <w:pStyle w:val="Tabletext"/>
              <w:jc w:val="center"/>
            </w:pPr>
            <w:r>
              <w:t>-</w:t>
            </w:r>
          </w:p>
        </w:tc>
        <w:tc>
          <w:tcPr>
            <w:tcW w:w="418" w:type="pct"/>
          </w:tcPr>
          <w:p w:rsidR="00E023D0" w:rsidRPr="00274021" w:rsidRDefault="00E023D0" w:rsidP="000341D1">
            <w:pPr>
              <w:pStyle w:val="Tabletext"/>
              <w:jc w:val="center"/>
            </w:pPr>
            <w:r>
              <w:t>7</w:t>
            </w:r>
          </w:p>
        </w:tc>
      </w:tr>
      <w:tr w:rsidR="00774409" w:rsidRPr="00274021" w:rsidTr="000341D1">
        <w:trPr>
          <w:cantSplit/>
        </w:trPr>
        <w:tc>
          <w:tcPr>
            <w:tcW w:w="1910" w:type="pct"/>
          </w:tcPr>
          <w:p w:rsidR="00E023D0" w:rsidRPr="00274021" w:rsidRDefault="00E023D0" w:rsidP="00E023D0">
            <w:pPr>
              <w:pStyle w:val="Tabletext"/>
            </w:pPr>
            <w:r w:rsidRPr="00274021">
              <w:t>Number of unique citations retrieved in updated search</w:t>
            </w:r>
          </w:p>
        </w:tc>
        <w:tc>
          <w:tcPr>
            <w:tcW w:w="562" w:type="pct"/>
          </w:tcPr>
          <w:p w:rsidR="00E023D0" w:rsidRPr="00274021" w:rsidRDefault="00E023D0" w:rsidP="00E023D0">
            <w:pPr>
              <w:pStyle w:val="Tabletext"/>
              <w:jc w:val="center"/>
            </w:pPr>
            <w:r>
              <w:t>39</w:t>
            </w:r>
          </w:p>
        </w:tc>
        <w:tc>
          <w:tcPr>
            <w:tcW w:w="376" w:type="pct"/>
          </w:tcPr>
          <w:p w:rsidR="00E023D0" w:rsidRPr="00274021" w:rsidRDefault="00E023D0" w:rsidP="00E023D0">
            <w:pPr>
              <w:pStyle w:val="Tabletext"/>
              <w:jc w:val="center"/>
            </w:pPr>
            <w:r>
              <w:t>0</w:t>
            </w:r>
          </w:p>
        </w:tc>
        <w:tc>
          <w:tcPr>
            <w:tcW w:w="422" w:type="pct"/>
          </w:tcPr>
          <w:p w:rsidR="00E023D0" w:rsidRPr="00274021" w:rsidRDefault="00E023D0" w:rsidP="00E023D0">
            <w:pPr>
              <w:pStyle w:val="Tabletext"/>
              <w:jc w:val="center"/>
            </w:pPr>
            <w:r>
              <w:t>0</w:t>
            </w:r>
          </w:p>
        </w:tc>
        <w:tc>
          <w:tcPr>
            <w:tcW w:w="327" w:type="pct"/>
          </w:tcPr>
          <w:p w:rsidR="00E023D0" w:rsidRPr="00274021" w:rsidRDefault="00E023D0" w:rsidP="00E023D0">
            <w:pPr>
              <w:pStyle w:val="Tabletext"/>
              <w:jc w:val="center"/>
            </w:pPr>
            <w:r>
              <w:t>0</w:t>
            </w:r>
          </w:p>
        </w:tc>
        <w:tc>
          <w:tcPr>
            <w:tcW w:w="328" w:type="pct"/>
          </w:tcPr>
          <w:p w:rsidR="00E023D0" w:rsidRPr="00274021" w:rsidRDefault="00E023D0" w:rsidP="00E023D0">
            <w:pPr>
              <w:pStyle w:val="Tabletext"/>
              <w:jc w:val="center"/>
            </w:pPr>
            <w:r>
              <w:t>2</w:t>
            </w:r>
          </w:p>
        </w:tc>
        <w:tc>
          <w:tcPr>
            <w:tcW w:w="328" w:type="pct"/>
          </w:tcPr>
          <w:p w:rsidR="00E023D0" w:rsidRPr="00274021" w:rsidRDefault="00E023D0" w:rsidP="00E023D0">
            <w:pPr>
              <w:pStyle w:val="Tabletext"/>
              <w:jc w:val="center"/>
            </w:pPr>
            <w:r>
              <w:t>0</w:t>
            </w:r>
          </w:p>
        </w:tc>
        <w:tc>
          <w:tcPr>
            <w:tcW w:w="329" w:type="pct"/>
          </w:tcPr>
          <w:p w:rsidR="00E023D0" w:rsidRPr="00274021" w:rsidRDefault="00E023D0" w:rsidP="00E023D0">
            <w:pPr>
              <w:pStyle w:val="Tabletext"/>
              <w:jc w:val="center"/>
            </w:pPr>
            <w:r>
              <w:t>0</w:t>
            </w:r>
          </w:p>
        </w:tc>
        <w:tc>
          <w:tcPr>
            <w:tcW w:w="418" w:type="pct"/>
          </w:tcPr>
          <w:p w:rsidR="00E023D0" w:rsidRPr="00274021" w:rsidRDefault="00E023D0" w:rsidP="000341D1">
            <w:pPr>
              <w:pStyle w:val="Tabletext"/>
              <w:jc w:val="center"/>
            </w:pPr>
            <w:r>
              <w:t>-</w:t>
            </w:r>
          </w:p>
        </w:tc>
      </w:tr>
      <w:tr w:rsidR="00774409" w:rsidRPr="00274021" w:rsidTr="000341D1">
        <w:trPr>
          <w:cantSplit/>
        </w:trPr>
        <w:tc>
          <w:tcPr>
            <w:tcW w:w="1910" w:type="pct"/>
          </w:tcPr>
          <w:p w:rsidR="00E023D0" w:rsidRPr="00274021" w:rsidRDefault="00E023D0" w:rsidP="00E023D0">
            <w:pPr>
              <w:pStyle w:val="Tabletext"/>
            </w:pPr>
            <w:r w:rsidRPr="00274021">
              <w:t>Consolidated number of unique citations (original + updated search)</w:t>
            </w:r>
          </w:p>
        </w:tc>
        <w:tc>
          <w:tcPr>
            <w:tcW w:w="562" w:type="pct"/>
          </w:tcPr>
          <w:p w:rsidR="00E023D0" w:rsidRPr="00274021" w:rsidRDefault="00E023D0" w:rsidP="00E023D0">
            <w:pPr>
              <w:pStyle w:val="Tabletext"/>
              <w:jc w:val="center"/>
            </w:pPr>
            <w:r>
              <w:t>206</w:t>
            </w:r>
          </w:p>
        </w:tc>
        <w:tc>
          <w:tcPr>
            <w:tcW w:w="376" w:type="pct"/>
          </w:tcPr>
          <w:p w:rsidR="00E023D0" w:rsidRPr="00274021" w:rsidRDefault="00E023D0" w:rsidP="00E023D0">
            <w:pPr>
              <w:pStyle w:val="Tabletext"/>
              <w:jc w:val="center"/>
            </w:pPr>
            <w:r>
              <w:t>1</w:t>
            </w:r>
          </w:p>
        </w:tc>
        <w:tc>
          <w:tcPr>
            <w:tcW w:w="422" w:type="pct"/>
          </w:tcPr>
          <w:p w:rsidR="00E023D0" w:rsidRPr="00274021" w:rsidRDefault="00E023D0" w:rsidP="00E023D0">
            <w:pPr>
              <w:pStyle w:val="Tabletext"/>
              <w:jc w:val="center"/>
            </w:pPr>
            <w:r>
              <w:t>0</w:t>
            </w:r>
          </w:p>
        </w:tc>
        <w:tc>
          <w:tcPr>
            <w:tcW w:w="327" w:type="pct"/>
          </w:tcPr>
          <w:p w:rsidR="00E023D0" w:rsidRPr="00274021" w:rsidRDefault="00E023D0" w:rsidP="00E023D0">
            <w:pPr>
              <w:pStyle w:val="Tabletext"/>
              <w:jc w:val="center"/>
            </w:pPr>
            <w:r>
              <w:t>0</w:t>
            </w:r>
          </w:p>
        </w:tc>
        <w:tc>
          <w:tcPr>
            <w:tcW w:w="328" w:type="pct"/>
          </w:tcPr>
          <w:p w:rsidR="00E023D0" w:rsidRPr="00274021" w:rsidRDefault="00E023D0" w:rsidP="00E023D0">
            <w:pPr>
              <w:pStyle w:val="Tabletext"/>
              <w:jc w:val="center"/>
            </w:pPr>
            <w:r>
              <w:t>7</w:t>
            </w:r>
          </w:p>
        </w:tc>
        <w:tc>
          <w:tcPr>
            <w:tcW w:w="328" w:type="pct"/>
          </w:tcPr>
          <w:p w:rsidR="00E023D0" w:rsidRPr="00274021" w:rsidRDefault="00E023D0" w:rsidP="00E023D0">
            <w:pPr>
              <w:pStyle w:val="Tabletext"/>
              <w:jc w:val="center"/>
            </w:pPr>
            <w:r>
              <w:t>0</w:t>
            </w:r>
          </w:p>
        </w:tc>
        <w:tc>
          <w:tcPr>
            <w:tcW w:w="329" w:type="pct"/>
          </w:tcPr>
          <w:p w:rsidR="00E023D0" w:rsidRPr="00274021" w:rsidRDefault="00E023D0" w:rsidP="00E023D0">
            <w:pPr>
              <w:pStyle w:val="Tabletext"/>
              <w:jc w:val="center"/>
            </w:pPr>
            <w:r>
              <w:t>0</w:t>
            </w:r>
          </w:p>
        </w:tc>
        <w:tc>
          <w:tcPr>
            <w:tcW w:w="418" w:type="pct"/>
          </w:tcPr>
          <w:p w:rsidR="00E023D0" w:rsidRPr="00274021" w:rsidRDefault="00E023D0" w:rsidP="000341D1">
            <w:pPr>
              <w:pStyle w:val="Tabletext"/>
              <w:jc w:val="center"/>
            </w:pPr>
            <w:r>
              <w:t>7</w:t>
            </w:r>
            <w:r w:rsidR="00D73994" w:rsidRPr="00D73994">
              <w:rPr>
                <w:vertAlign w:val="superscript"/>
              </w:rPr>
              <w:t>a</w:t>
            </w:r>
          </w:p>
        </w:tc>
      </w:tr>
      <w:tr w:rsidR="00774409" w:rsidRPr="00274021" w:rsidTr="000341D1">
        <w:trPr>
          <w:cantSplit/>
        </w:trPr>
        <w:tc>
          <w:tcPr>
            <w:tcW w:w="1910" w:type="pct"/>
          </w:tcPr>
          <w:p w:rsidR="00E023D0" w:rsidRPr="00274021" w:rsidRDefault="00E023D0" w:rsidP="00E023D0">
            <w:pPr>
              <w:pStyle w:val="Tabletext"/>
            </w:pPr>
            <w:r w:rsidRPr="00274021">
              <w:t>Number of citations excluded after title/abstract review:</w:t>
            </w:r>
          </w:p>
          <w:p w:rsidR="00E023D0" w:rsidRPr="00274021" w:rsidRDefault="00E023D0" w:rsidP="00E023D0">
            <w:pPr>
              <w:pStyle w:val="Tabletext"/>
              <w:ind w:left="720"/>
            </w:pPr>
            <w:r w:rsidRPr="00274021">
              <w:t>—</w:t>
            </w:r>
            <w:r>
              <w:t xml:space="preserve"> not RCT</w:t>
            </w:r>
          </w:p>
          <w:p w:rsidR="00E023D0" w:rsidRPr="00274021" w:rsidRDefault="00E023D0" w:rsidP="00E023D0">
            <w:pPr>
              <w:pStyle w:val="Tabletext"/>
              <w:ind w:left="720"/>
            </w:pPr>
            <w:r w:rsidRPr="00274021">
              <w:t>—</w:t>
            </w:r>
            <w:r>
              <w:t xml:space="preserve"> wrong intervention</w:t>
            </w:r>
          </w:p>
          <w:p w:rsidR="00E023D0" w:rsidRDefault="00E023D0" w:rsidP="00E023D0">
            <w:pPr>
              <w:pStyle w:val="Tabletext"/>
              <w:ind w:left="720"/>
            </w:pPr>
            <w:r w:rsidRPr="00274021">
              <w:t>—</w:t>
            </w:r>
            <w:r>
              <w:t xml:space="preserve"> wrong outcome</w:t>
            </w:r>
          </w:p>
          <w:p w:rsidR="00E023D0" w:rsidRDefault="00E023D0" w:rsidP="00E023D0">
            <w:pPr>
              <w:pStyle w:val="Tabletext"/>
              <w:ind w:left="720"/>
            </w:pPr>
            <w:r w:rsidRPr="00274021">
              <w:t>—</w:t>
            </w:r>
            <w:r>
              <w:t xml:space="preserve"> wrong population</w:t>
            </w:r>
          </w:p>
          <w:p w:rsidR="00E023D0" w:rsidRDefault="00E023D0" w:rsidP="002D27E9">
            <w:pPr>
              <w:pStyle w:val="Tabletext"/>
              <w:ind w:left="720"/>
            </w:pPr>
            <w:r w:rsidRPr="00274021">
              <w:t>—</w:t>
            </w:r>
            <w:r>
              <w:t xml:space="preserve"> wrong indication</w:t>
            </w:r>
          </w:p>
          <w:p w:rsidR="00E023D0" w:rsidRPr="00274021" w:rsidRDefault="00E023D0" w:rsidP="00E023D0">
            <w:pPr>
              <w:pStyle w:val="Tabletext"/>
            </w:pPr>
            <w:r w:rsidRPr="00274021">
              <w:t>TOTAL EXCLUDED</w:t>
            </w:r>
          </w:p>
        </w:tc>
        <w:tc>
          <w:tcPr>
            <w:tcW w:w="562" w:type="pct"/>
          </w:tcPr>
          <w:p w:rsidR="00E023D0" w:rsidRDefault="00E023D0" w:rsidP="00E023D0">
            <w:pPr>
              <w:pStyle w:val="Tabletext"/>
              <w:jc w:val="center"/>
            </w:pPr>
          </w:p>
          <w:p w:rsidR="00E023D0" w:rsidRDefault="00E023D0" w:rsidP="00E023D0">
            <w:pPr>
              <w:pStyle w:val="Tabletext"/>
              <w:jc w:val="center"/>
            </w:pPr>
            <w:r>
              <w:t>87</w:t>
            </w:r>
          </w:p>
          <w:p w:rsidR="00E023D0" w:rsidRDefault="00E023D0" w:rsidP="00E023D0">
            <w:pPr>
              <w:pStyle w:val="Tabletext"/>
              <w:jc w:val="center"/>
            </w:pPr>
            <w:r>
              <w:t>69</w:t>
            </w:r>
          </w:p>
          <w:p w:rsidR="00E023D0" w:rsidRDefault="00E023D0" w:rsidP="00E023D0">
            <w:pPr>
              <w:pStyle w:val="Tabletext"/>
              <w:jc w:val="center"/>
            </w:pPr>
            <w:r>
              <w:t>6</w:t>
            </w:r>
          </w:p>
          <w:p w:rsidR="00E023D0" w:rsidRDefault="00E023D0" w:rsidP="00E023D0">
            <w:pPr>
              <w:pStyle w:val="Tabletext"/>
              <w:jc w:val="center"/>
            </w:pPr>
            <w:r>
              <w:t>2</w:t>
            </w:r>
          </w:p>
          <w:p w:rsidR="00E023D0" w:rsidRDefault="00E023D0" w:rsidP="002D27E9">
            <w:pPr>
              <w:pStyle w:val="Tabletext"/>
              <w:jc w:val="center"/>
            </w:pPr>
            <w:r>
              <w:t>11</w:t>
            </w:r>
          </w:p>
          <w:p w:rsidR="00E023D0" w:rsidRPr="00274021" w:rsidRDefault="00E023D0" w:rsidP="00E023D0">
            <w:pPr>
              <w:pStyle w:val="Tabletext"/>
              <w:jc w:val="center"/>
            </w:pPr>
            <w:r>
              <w:t>175</w:t>
            </w:r>
          </w:p>
        </w:tc>
        <w:tc>
          <w:tcPr>
            <w:tcW w:w="376" w:type="pct"/>
          </w:tcPr>
          <w:p w:rsidR="00E023D0" w:rsidRDefault="00E023D0" w:rsidP="00E023D0">
            <w:pPr>
              <w:pStyle w:val="Tabletext"/>
              <w:jc w:val="center"/>
            </w:pPr>
          </w:p>
          <w:p w:rsidR="00E023D0" w:rsidRDefault="00E023D0" w:rsidP="00E023D0">
            <w:pPr>
              <w:pStyle w:val="Tabletext"/>
              <w:jc w:val="center"/>
            </w:pPr>
            <w:r>
              <w:t>0</w:t>
            </w:r>
          </w:p>
          <w:p w:rsidR="00E023D0" w:rsidRDefault="00E023D0" w:rsidP="00E023D0">
            <w:pPr>
              <w:pStyle w:val="Tabletext"/>
              <w:jc w:val="center"/>
            </w:pPr>
            <w:r>
              <w:t>0</w:t>
            </w:r>
          </w:p>
          <w:p w:rsidR="00E023D0" w:rsidRDefault="00E023D0" w:rsidP="00E023D0">
            <w:pPr>
              <w:pStyle w:val="Tabletext"/>
              <w:jc w:val="center"/>
            </w:pPr>
            <w:r>
              <w:t>0</w:t>
            </w:r>
          </w:p>
          <w:p w:rsidR="00E023D0" w:rsidRDefault="00E023D0" w:rsidP="00E023D0">
            <w:pPr>
              <w:pStyle w:val="Tabletext"/>
              <w:jc w:val="center"/>
            </w:pPr>
            <w:r>
              <w:t>0</w:t>
            </w:r>
          </w:p>
          <w:p w:rsidR="00E023D0" w:rsidRDefault="00E023D0" w:rsidP="002D27E9">
            <w:pPr>
              <w:pStyle w:val="Tabletext"/>
              <w:jc w:val="center"/>
            </w:pPr>
            <w:r>
              <w:t>0</w:t>
            </w:r>
          </w:p>
          <w:p w:rsidR="00E023D0" w:rsidRPr="00274021" w:rsidRDefault="00E023D0" w:rsidP="00E023D0">
            <w:pPr>
              <w:pStyle w:val="Tabletext"/>
              <w:jc w:val="center"/>
            </w:pPr>
            <w:r>
              <w:t>0</w:t>
            </w:r>
          </w:p>
        </w:tc>
        <w:tc>
          <w:tcPr>
            <w:tcW w:w="422" w:type="pct"/>
          </w:tcPr>
          <w:p w:rsidR="00E023D0" w:rsidRDefault="00E023D0" w:rsidP="00E023D0">
            <w:pPr>
              <w:pStyle w:val="Tabletext"/>
              <w:jc w:val="center"/>
            </w:pP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Pr="00274021" w:rsidRDefault="00E023D0" w:rsidP="002D27E9">
            <w:pPr>
              <w:pStyle w:val="Tabletext"/>
              <w:jc w:val="center"/>
            </w:pPr>
            <w:r>
              <w:t>-</w:t>
            </w:r>
          </w:p>
        </w:tc>
        <w:tc>
          <w:tcPr>
            <w:tcW w:w="327" w:type="pct"/>
          </w:tcPr>
          <w:p w:rsidR="00E023D0" w:rsidRDefault="00E023D0" w:rsidP="00E023D0">
            <w:pPr>
              <w:pStyle w:val="Tabletext"/>
              <w:jc w:val="center"/>
            </w:pP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Pr="00274021" w:rsidRDefault="00E023D0" w:rsidP="002D27E9">
            <w:pPr>
              <w:pStyle w:val="Tabletext"/>
              <w:jc w:val="center"/>
            </w:pPr>
            <w:r>
              <w:t>-</w:t>
            </w:r>
          </w:p>
        </w:tc>
        <w:tc>
          <w:tcPr>
            <w:tcW w:w="328" w:type="pct"/>
          </w:tcPr>
          <w:p w:rsidR="00E023D0" w:rsidRDefault="00E023D0" w:rsidP="00E023D0">
            <w:pPr>
              <w:pStyle w:val="Tabletext"/>
              <w:jc w:val="center"/>
            </w:pPr>
          </w:p>
          <w:p w:rsidR="00E023D0" w:rsidRDefault="00E023D0" w:rsidP="00E023D0">
            <w:pPr>
              <w:pStyle w:val="Tabletext"/>
              <w:jc w:val="center"/>
            </w:pPr>
            <w:r>
              <w:t>1</w:t>
            </w:r>
          </w:p>
          <w:p w:rsidR="00E023D0" w:rsidRDefault="00E023D0" w:rsidP="00E023D0">
            <w:pPr>
              <w:pStyle w:val="Tabletext"/>
              <w:jc w:val="center"/>
            </w:pPr>
            <w:r>
              <w:t>4</w:t>
            </w:r>
          </w:p>
          <w:p w:rsidR="00E023D0" w:rsidRDefault="00E023D0" w:rsidP="00E023D0">
            <w:pPr>
              <w:pStyle w:val="Tabletext"/>
              <w:jc w:val="center"/>
            </w:pPr>
            <w:r>
              <w:t>-</w:t>
            </w:r>
          </w:p>
          <w:p w:rsidR="00E023D0" w:rsidRDefault="00E023D0" w:rsidP="00E023D0">
            <w:pPr>
              <w:pStyle w:val="Tabletext"/>
              <w:jc w:val="center"/>
            </w:pPr>
            <w:r>
              <w:t>1</w:t>
            </w:r>
          </w:p>
          <w:p w:rsidR="00E023D0" w:rsidRDefault="00E023D0" w:rsidP="002D27E9">
            <w:pPr>
              <w:pStyle w:val="Tabletext"/>
              <w:jc w:val="center"/>
            </w:pPr>
            <w:r>
              <w:t>-</w:t>
            </w:r>
          </w:p>
          <w:p w:rsidR="00E023D0" w:rsidRPr="00274021" w:rsidRDefault="00E023D0" w:rsidP="00E023D0">
            <w:pPr>
              <w:pStyle w:val="Tabletext"/>
              <w:jc w:val="center"/>
            </w:pPr>
            <w:r>
              <w:t>6</w:t>
            </w:r>
          </w:p>
        </w:tc>
        <w:tc>
          <w:tcPr>
            <w:tcW w:w="328" w:type="pct"/>
          </w:tcPr>
          <w:p w:rsidR="00E023D0" w:rsidRDefault="00E023D0" w:rsidP="00E023D0">
            <w:pPr>
              <w:pStyle w:val="Tabletext"/>
              <w:jc w:val="center"/>
            </w:pP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Pr="00274021" w:rsidRDefault="00E023D0" w:rsidP="002D27E9">
            <w:pPr>
              <w:pStyle w:val="Tabletext"/>
              <w:jc w:val="center"/>
            </w:pPr>
            <w:r>
              <w:t>-</w:t>
            </w:r>
          </w:p>
        </w:tc>
        <w:tc>
          <w:tcPr>
            <w:tcW w:w="329" w:type="pct"/>
          </w:tcPr>
          <w:p w:rsidR="00E023D0" w:rsidRDefault="00E023D0" w:rsidP="00E023D0">
            <w:pPr>
              <w:pStyle w:val="Tabletext"/>
              <w:jc w:val="center"/>
            </w:pP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Pr="00274021" w:rsidRDefault="00E023D0" w:rsidP="002D27E9">
            <w:pPr>
              <w:pStyle w:val="Tabletext"/>
              <w:jc w:val="center"/>
            </w:pPr>
            <w:r>
              <w:t>-</w:t>
            </w:r>
          </w:p>
        </w:tc>
        <w:tc>
          <w:tcPr>
            <w:tcW w:w="418" w:type="pct"/>
          </w:tcPr>
          <w:p w:rsidR="00E023D0" w:rsidRDefault="00E023D0" w:rsidP="000341D1">
            <w:pPr>
              <w:pStyle w:val="Tabletext"/>
              <w:jc w:val="center"/>
            </w:pPr>
          </w:p>
          <w:p w:rsidR="00E023D0" w:rsidRDefault="00E023D0" w:rsidP="000341D1">
            <w:pPr>
              <w:pStyle w:val="Tabletext"/>
              <w:jc w:val="center"/>
            </w:pPr>
            <w:r>
              <w:t>1</w:t>
            </w:r>
          </w:p>
          <w:p w:rsidR="00E023D0" w:rsidRDefault="00E023D0" w:rsidP="000341D1">
            <w:pPr>
              <w:pStyle w:val="Tabletext"/>
              <w:jc w:val="center"/>
            </w:pPr>
            <w:r>
              <w:t>-</w:t>
            </w:r>
          </w:p>
          <w:p w:rsidR="00E023D0" w:rsidRDefault="00E023D0" w:rsidP="000341D1">
            <w:pPr>
              <w:pStyle w:val="Tabletext"/>
              <w:jc w:val="center"/>
            </w:pPr>
            <w:r>
              <w:t>-</w:t>
            </w:r>
          </w:p>
          <w:p w:rsidR="00E023D0" w:rsidRDefault="00E023D0" w:rsidP="000341D1">
            <w:pPr>
              <w:pStyle w:val="Tabletext"/>
              <w:jc w:val="center"/>
            </w:pPr>
            <w:r>
              <w:t>-</w:t>
            </w:r>
          </w:p>
          <w:p w:rsidR="00E023D0" w:rsidRDefault="00E023D0" w:rsidP="000341D1">
            <w:pPr>
              <w:pStyle w:val="Tabletext"/>
              <w:jc w:val="center"/>
            </w:pPr>
            <w:r>
              <w:t>-</w:t>
            </w:r>
          </w:p>
          <w:p w:rsidR="00E023D0" w:rsidRPr="00274021" w:rsidRDefault="00E023D0" w:rsidP="000341D1">
            <w:pPr>
              <w:pStyle w:val="Tabletext"/>
              <w:jc w:val="center"/>
            </w:pPr>
            <w:r>
              <w:t>1</w:t>
            </w:r>
            <w:r w:rsidR="000341D1" w:rsidRPr="000341D1">
              <w:rPr>
                <w:vertAlign w:val="superscript"/>
              </w:rPr>
              <w:t>a</w:t>
            </w:r>
          </w:p>
        </w:tc>
      </w:tr>
      <w:tr w:rsidR="00774409" w:rsidRPr="00274021" w:rsidTr="000341D1">
        <w:trPr>
          <w:cantSplit/>
        </w:trPr>
        <w:tc>
          <w:tcPr>
            <w:tcW w:w="1910" w:type="pct"/>
          </w:tcPr>
          <w:p w:rsidR="00E023D0" w:rsidRPr="00274021" w:rsidRDefault="00E023D0" w:rsidP="00E023D0">
            <w:pPr>
              <w:pStyle w:val="Tabletext"/>
            </w:pPr>
            <w:r w:rsidRPr="00274021">
              <w:t>Number of citations excluded after full text review:</w:t>
            </w:r>
          </w:p>
          <w:p w:rsidR="00E023D0" w:rsidRPr="00274021" w:rsidRDefault="00E023D0" w:rsidP="00E023D0">
            <w:pPr>
              <w:pStyle w:val="Tabletext"/>
              <w:ind w:left="720"/>
            </w:pPr>
            <w:r w:rsidRPr="00274021">
              <w:t>—</w:t>
            </w:r>
            <w:r w:rsidR="00D71DDE">
              <w:t xml:space="preserve"> n</w:t>
            </w:r>
            <w:r>
              <w:t>ot RCT</w:t>
            </w:r>
          </w:p>
          <w:p w:rsidR="00E023D0" w:rsidRDefault="00E023D0" w:rsidP="00E023D0">
            <w:pPr>
              <w:pStyle w:val="Tabletext"/>
              <w:ind w:left="720"/>
            </w:pPr>
            <w:r w:rsidRPr="00274021">
              <w:t>—</w:t>
            </w:r>
            <w:r>
              <w:t xml:space="preserve"> wrong intervention</w:t>
            </w:r>
          </w:p>
          <w:p w:rsidR="00E023D0" w:rsidRPr="00274021" w:rsidRDefault="00E023D0" w:rsidP="00E023D0">
            <w:pPr>
              <w:pStyle w:val="Tabletext"/>
              <w:ind w:left="720"/>
            </w:pPr>
            <w:r w:rsidRPr="00274021">
              <w:t>—</w:t>
            </w:r>
            <w:r>
              <w:t xml:space="preserve"> wrong population</w:t>
            </w:r>
          </w:p>
          <w:p w:rsidR="00E023D0" w:rsidRPr="00274021" w:rsidRDefault="00E023D0" w:rsidP="00E023D0">
            <w:pPr>
              <w:pStyle w:val="Tabletext"/>
              <w:ind w:left="720"/>
            </w:pPr>
            <w:r w:rsidRPr="00274021">
              <w:t>—</w:t>
            </w:r>
            <w:r>
              <w:t xml:space="preserve"> article not in English</w:t>
            </w:r>
          </w:p>
          <w:p w:rsidR="00E023D0" w:rsidRPr="00274021" w:rsidRDefault="00E023D0" w:rsidP="00571E82">
            <w:pPr>
              <w:pStyle w:val="Tabletext"/>
              <w:ind w:left="720"/>
            </w:pPr>
            <w:r w:rsidRPr="00274021">
              <w:t>—</w:t>
            </w:r>
            <w:r>
              <w:t xml:space="preserve"> technology no longer available</w:t>
            </w:r>
          </w:p>
          <w:p w:rsidR="00E023D0" w:rsidRPr="00274021" w:rsidRDefault="00E023D0" w:rsidP="00E023D0">
            <w:pPr>
              <w:pStyle w:val="Tabletext"/>
            </w:pPr>
            <w:r w:rsidRPr="00274021">
              <w:t>TOTAL EXCLUDED</w:t>
            </w:r>
          </w:p>
        </w:tc>
        <w:tc>
          <w:tcPr>
            <w:tcW w:w="562" w:type="pct"/>
          </w:tcPr>
          <w:p w:rsidR="00E023D0" w:rsidRDefault="00E023D0" w:rsidP="00E023D0">
            <w:pPr>
              <w:pStyle w:val="Tabletext"/>
              <w:jc w:val="center"/>
            </w:pPr>
          </w:p>
          <w:p w:rsidR="00E023D0" w:rsidRDefault="00E023D0" w:rsidP="00E023D0">
            <w:pPr>
              <w:pStyle w:val="Tabletext"/>
              <w:jc w:val="center"/>
            </w:pPr>
            <w:r>
              <w:t>3</w:t>
            </w:r>
          </w:p>
          <w:p w:rsidR="00E023D0" w:rsidRDefault="00E023D0" w:rsidP="00E023D0">
            <w:pPr>
              <w:pStyle w:val="Tabletext"/>
              <w:jc w:val="center"/>
            </w:pPr>
            <w:r>
              <w:t>2</w:t>
            </w:r>
          </w:p>
          <w:p w:rsidR="00E023D0" w:rsidRDefault="00E023D0" w:rsidP="00E023D0">
            <w:pPr>
              <w:pStyle w:val="Tabletext"/>
              <w:jc w:val="center"/>
            </w:pPr>
            <w:r>
              <w:t>4</w:t>
            </w:r>
          </w:p>
          <w:p w:rsidR="00E023D0" w:rsidRDefault="00E023D0" w:rsidP="00E023D0">
            <w:pPr>
              <w:pStyle w:val="Tabletext"/>
              <w:jc w:val="center"/>
            </w:pPr>
            <w:r>
              <w:t>1</w:t>
            </w:r>
          </w:p>
          <w:p w:rsidR="00E023D0" w:rsidRDefault="00E023D0" w:rsidP="00571E82">
            <w:pPr>
              <w:pStyle w:val="Tabletext"/>
              <w:jc w:val="center"/>
            </w:pPr>
            <w:r>
              <w:t>6</w:t>
            </w:r>
          </w:p>
          <w:p w:rsidR="00E023D0" w:rsidRPr="00274021" w:rsidRDefault="00E023D0" w:rsidP="00E023D0">
            <w:pPr>
              <w:pStyle w:val="Tabletext"/>
              <w:jc w:val="center"/>
            </w:pPr>
            <w:r>
              <w:t>16</w:t>
            </w:r>
          </w:p>
        </w:tc>
        <w:tc>
          <w:tcPr>
            <w:tcW w:w="376" w:type="pct"/>
          </w:tcPr>
          <w:p w:rsidR="00E023D0" w:rsidRDefault="00E023D0" w:rsidP="00E023D0">
            <w:pPr>
              <w:pStyle w:val="Tabletext"/>
              <w:jc w:val="center"/>
            </w:pPr>
          </w:p>
          <w:p w:rsidR="00E023D0" w:rsidRDefault="00E023D0" w:rsidP="00E023D0">
            <w:pPr>
              <w:pStyle w:val="Tabletext"/>
              <w:jc w:val="center"/>
            </w:pPr>
            <w:r>
              <w:t>0</w:t>
            </w:r>
          </w:p>
          <w:p w:rsidR="00E023D0" w:rsidRDefault="00E023D0" w:rsidP="00E023D0">
            <w:pPr>
              <w:pStyle w:val="Tabletext"/>
              <w:jc w:val="center"/>
            </w:pPr>
            <w:r>
              <w:t>1</w:t>
            </w:r>
          </w:p>
          <w:p w:rsidR="00E023D0" w:rsidRDefault="00E023D0" w:rsidP="00E023D0">
            <w:pPr>
              <w:pStyle w:val="Tabletext"/>
              <w:jc w:val="center"/>
            </w:pPr>
            <w:r>
              <w:t>0</w:t>
            </w:r>
          </w:p>
          <w:p w:rsidR="00E023D0" w:rsidRDefault="00E023D0" w:rsidP="00E023D0">
            <w:pPr>
              <w:pStyle w:val="Tabletext"/>
              <w:jc w:val="center"/>
            </w:pPr>
            <w:r>
              <w:t>0</w:t>
            </w:r>
          </w:p>
          <w:p w:rsidR="00E023D0" w:rsidRDefault="00E023D0" w:rsidP="00571E82">
            <w:pPr>
              <w:pStyle w:val="Tabletext"/>
              <w:jc w:val="center"/>
            </w:pPr>
            <w:r>
              <w:t>0</w:t>
            </w:r>
          </w:p>
          <w:p w:rsidR="00E023D0" w:rsidRPr="00274021" w:rsidRDefault="00E023D0" w:rsidP="00E023D0">
            <w:pPr>
              <w:pStyle w:val="Tabletext"/>
              <w:jc w:val="center"/>
            </w:pPr>
            <w:r>
              <w:t>1</w:t>
            </w:r>
          </w:p>
        </w:tc>
        <w:tc>
          <w:tcPr>
            <w:tcW w:w="422" w:type="pct"/>
          </w:tcPr>
          <w:p w:rsidR="00E023D0" w:rsidRDefault="00E023D0" w:rsidP="00E023D0">
            <w:pPr>
              <w:pStyle w:val="Tabletext"/>
              <w:jc w:val="center"/>
            </w:pP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Pr="00274021" w:rsidRDefault="00E023D0" w:rsidP="00E023D0">
            <w:pPr>
              <w:pStyle w:val="Tabletext"/>
              <w:jc w:val="center"/>
            </w:pPr>
            <w:r>
              <w:t>-</w:t>
            </w:r>
          </w:p>
        </w:tc>
        <w:tc>
          <w:tcPr>
            <w:tcW w:w="327" w:type="pct"/>
          </w:tcPr>
          <w:p w:rsidR="00E023D0" w:rsidRDefault="00E023D0" w:rsidP="00E023D0">
            <w:pPr>
              <w:pStyle w:val="Tabletext"/>
              <w:jc w:val="center"/>
            </w:pP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Pr="00274021" w:rsidRDefault="00E023D0" w:rsidP="00E023D0">
            <w:pPr>
              <w:pStyle w:val="Tabletext"/>
              <w:jc w:val="center"/>
            </w:pPr>
            <w:r>
              <w:t>-</w:t>
            </w:r>
          </w:p>
        </w:tc>
        <w:tc>
          <w:tcPr>
            <w:tcW w:w="328" w:type="pct"/>
          </w:tcPr>
          <w:p w:rsidR="00E023D0" w:rsidRDefault="00E023D0" w:rsidP="00E023D0">
            <w:pPr>
              <w:pStyle w:val="Tabletext"/>
              <w:jc w:val="center"/>
            </w:pPr>
          </w:p>
          <w:p w:rsidR="00E023D0" w:rsidRDefault="00E023D0" w:rsidP="00E023D0">
            <w:pPr>
              <w:pStyle w:val="Tabletext"/>
              <w:jc w:val="center"/>
            </w:pPr>
            <w:r>
              <w:t>0</w:t>
            </w:r>
          </w:p>
          <w:p w:rsidR="00E023D0" w:rsidRDefault="00E023D0" w:rsidP="00E023D0">
            <w:pPr>
              <w:pStyle w:val="Tabletext"/>
              <w:jc w:val="center"/>
            </w:pPr>
            <w:r>
              <w:t>0</w:t>
            </w:r>
          </w:p>
          <w:p w:rsidR="00E023D0" w:rsidRDefault="00E023D0" w:rsidP="00E023D0">
            <w:pPr>
              <w:pStyle w:val="Tabletext"/>
              <w:jc w:val="center"/>
            </w:pPr>
            <w:r>
              <w:t>0</w:t>
            </w:r>
          </w:p>
          <w:p w:rsidR="00E023D0" w:rsidRDefault="00E023D0" w:rsidP="00E023D0">
            <w:pPr>
              <w:pStyle w:val="Tabletext"/>
              <w:jc w:val="center"/>
            </w:pPr>
            <w:r>
              <w:t>0</w:t>
            </w:r>
          </w:p>
          <w:p w:rsidR="00E023D0" w:rsidRDefault="00E023D0" w:rsidP="00571E82">
            <w:pPr>
              <w:pStyle w:val="Tabletext"/>
              <w:jc w:val="center"/>
            </w:pPr>
            <w:r>
              <w:t>0</w:t>
            </w:r>
          </w:p>
          <w:p w:rsidR="00E023D0" w:rsidRPr="00274021" w:rsidRDefault="00E023D0" w:rsidP="00E023D0">
            <w:pPr>
              <w:pStyle w:val="Tabletext"/>
              <w:jc w:val="center"/>
            </w:pPr>
            <w:r>
              <w:t>0</w:t>
            </w:r>
          </w:p>
        </w:tc>
        <w:tc>
          <w:tcPr>
            <w:tcW w:w="328" w:type="pct"/>
          </w:tcPr>
          <w:p w:rsidR="00E023D0" w:rsidRDefault="00E023D0" w:rsidP="00E023D0">
            <w:pPr>
              <w:pStyle w:val="Tabletext"/>
              <w:jc w:val="center"/>
            </w:pP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Pr="00274021" w:rsidRDefault="00E023D0" w:rsidP="00E023D0">
            <w:pPr>
              <w:pStyle w:val="Tabletext"/>
              <w:jc w:val="center"/>
            </w:pPr>
            <w:r>
              <w:t>-</w:t>
            </w:r>
          </w:p>
        </w:tc>
        <w:tc>
          <w:tcPr>
            <w:tcW w:w="329" w:type="pct"/>
          </w:tcPr>
          <w:p w:rsidR="00E023D0" w:rsidRDefault="00E023D0" w:rsidP="00E023D0">
            <w:pPr>
              <w:pStyle w:val="Tabletext"/>
              <w:jc w:val="center"/>
            </w:pP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Default="00E023D0" w:rsidP="00E023D0">
            <w:pPr>
              <w:pStyle w:val="Tabletext"/>
              <w:jc w:val="center"/>
            </w:pPr>
            <w:r>
              <w:t>-</w:t>
            </w:r>
          </w:p>
          <w:p w:rsidR="00E023D0" w:rsidRPr="00274021" w:rsidRDefault="00E023D0" w:rsidP="00E023D0">
            <w:pPr>
              <w:pStyle w:val="Tabletext"/>
              <w:jc w:val="center"/>
            </w:pPr>
            <w:r>
              <w:t>-</w:t>
            </w:r>
          </w:p>
        </w:tc>
        <w:tc>
          <w:tcPr>
            <w:tcW w:w="418" w:type="pct"/>
          </w:tcPr>
          <w:p w:rsidR="000341D1" w:rsidRDefault="000341D1" w:rsidP="000341D1">
            <w:pPr>
              <w:pStyle w:val="Tabletext"/>
              <w:jc w:val="center"/>
            </w:pPr>
          </w:p>
          <w:p w:rsidR="000341D1" w:rsidRDefault="000341D1" w:rsidP="000341D1">
            <w:pPr>
              <w:pStyle w:val="Tabletext"/>
              <w:jc w:val="center"/>
            </w:pPr>
            <w:r>
              <w:t>0</w:t>
            </w:r>
          </w:p>
          <w:p w:rsidR="000341D1" w:rsidRDefault="000341D1" w:rsidP="000341D1">
            <w:pPr>
              <w:pStyle w:val="Tabletext"/>
              <w:jc w:val="center"/>
            </w:pPr>
            <w:r>
              <w:t>0</w:t>
            </w:r>
          </w:p>
          <w:p w:rsidR="000341D1" w:rsidRDefault="000341D1" w:rsidP="000341D1">
            <w:pPr>
              <w:pStyle w:val="Tabletext"/>
              <w:jc w:val="center"/>
            </w:pPr>
            <w:r>
              <w:t>0</w:t>
            </w:r>
          </w:p>
          <w:p w:rsidR="000341D1" w:rsidRDefault="000341D1" w:rsidP="000341D1">
            <w:pPr>
              <w:pStyle w:val="Tabletext"/>
              <w:jc w:val="center"/>
            </w:pPr>
            <w:r>
              <w:t>0</w:t>
            </w:r>
          </w:p>
          <w:p w:rsidR="000341D1" w:rsidRDefault="000341D1" w:rsidP="000341D1">
            <w:pPr>
              <w:pStyle w:val="Tabletext"/>
              <w:jc w:val="center"/>
            </w:pPr>
            <w:r>
              <w:t>0</w:t>
            </w:r>
          </w:p>
          <w:p w:rsidR="00E023D0" w:rsidRPr="00274021" w:rsidRDefault="000341D1" w:rsidP="000341D1">
            <w:pPr>
              <w:pStyle w:val="Tabletext"/>
              <w:jc w:val="center"/>
            </w:pPr>
            <w:r>
              <w:t>0</w:t>
            </w:r>
          </w:p>
        </w:tc>
      </w:tr>
      <w:tr w:rsidR="00E023D0" w:rsidRPr="00274021" w:rsidTr="00774409">
        <w:trPr>
          <w:cantSplit/>
        </w:trPr>
        <w:tc>
          <w:tcPr>
            <w:tcW w:w="1910" w:type="pct"/>
          </w:tcPr>
          <w:p w:rsidR="00E023D0" w:rsidRPr="00274021" w:rsidRDefault="00E023D0" w:rsidP="00E023D0">
            <w:pPr>
              <w:pStyle w:val="Tabletext"/>
            </w:pPr>
            <w:r w:rsidRPr="00274021">
              <w:t>Number of meta-analyses and systematic reviews</w:t>
            </w:r>
          </w:p>
        </w:tc>
        <w:tc>
          <w:tcPr>
            <w:tcW w:w="3090" w:type="pct"/>
            <w:gridSpan w:val="8"/>
          </w:tcPr>
          <w:p w:rsidR="00E023D0" w:rsidRPr="00274021" w:rsidRDefault="00E023D0" w:rsidP="00083898">
            <w:pPr>
              <w:pStyle w:val="Tabletext"/>
              <w:jc w:val="center"/>
            </w:pPr>
            <w:r>
              <w:t>6</w:t>
            </w:r>
          </w:p>
        </w:tc>
      </w:tr>
      <w:tr w:rsidR="00E023D0" w:rsidRPr="00274021" w:rsidTr="00774409">
        <w:trPr>
          <w:cantSplit/>
        </w:trPr>
        <w:tc>
          <w:tcPr>
            <w:tcW w:w="1910" w:type="pct"/>
          </w:tcPr>
          <w:p w:rsidR="00E023D0" w:rsidRPr="00274021" w:rsidRDefault="00E023D0" w:rsidP="00E023D0">
            <w:pPr>
              <w:pStyle w:val="Tabletext"/>
            </w:pPr>
            <w:r w:rsidRPr="00274021">
              <w:t xml:space="preserve">Number of multiple citations of direct randomised trials </w:t>
            </w:r>
          </w:p>
        </w:tc>
        <w:tc>
          <w:tcPr>
            <w:tcW w:w="3090" w:type="pct"/>
            <w:gridSpan w:val="8"/>
          </w:tcPr>
          <w:p w:rsidR="00E023D0" w:rsidRPr="00274021" w:rsidRDefault="00E023D0" w:rsidP="00083898">
            <w:pPr>
              <w:pStyle w:val="Tabletext"/>
              <w:jc w:val="center"/>
            </w:pPr>
            <w:r>
              <w:t>22</w:t>
            </w:r>
          </w:p>
        </w:tc>
      </w:tr>
      <w:tr w:rsidR="00E023D0" w:rsidRPr="00274021" w:rsidTr="00774409">
        <w:trPr>
          <w:cantSplit/>
        </w:trPr>
        <w:tc>
          <w:tcPr>
            <w:tcW w:w="1910" w:type="pct"/>
          </w:tcPr>
          <w:p w:rsidR="00E023D0" w:rsidRPr="00274021" w:rsidRDefault="00E023D0" w:rsidP="00E023D0">
            <w:pPr>
              <w:pStyle w:val="Tabletext"/>
            </w:pPr>
            <w:r w:rsidRPr="00274021">
              <w:t>Number of published direct randomised trials included</w:t>
            </w:r>
          </w:p>
        </w:tc>
        <w:tc>
          <w:tcPr>
            <w:tcW w:w="3090" w:type="pct"/>
            <w:gridSpan w:val="8"/>
          </w:tcPr>
          <w:p w:rsidR="00E023D0" w:rsidRPr="00274021" w:rsidRDefault="00E023D0" w:rsidP="00083898">
            <w:pPr>
              <w:pStyle w:val="Tabletext"/>
              <w:jc w:val="center"/>
            </w:pPr>
            <w:r>
              <w:t>10</w:t>
            </w:r>
          </w:p>
        </w:tc>
      </w:tr>
      <w:tr w:rsidR="00E023D0" w:rsidRPr="00274021" w:rsidTr="00774409">
        <w:trPr>
          <w:cantSplit/>
        </w:trPr>
        <w:tc>
          <w:tcPr>
            <w:tcW w:w="1910" w:type="pct"/>
          </w:tcPr>
          <w:p w:rsidR="00E023D0" w:rsidRPr="00274021" w:rsidRDefault="00E023D0" w:rsidP="00E023D0">
            <w:pPr>
              <w:pStyle w:val="Tabletext"/>
            </w:pPr>
            <w:r w:rsidRPr="00274021">
              <w:t xml:space="preserve">Number of included RCTs </w:t>
            </w:r>
          </w:p>
        </w:tc>
        <w:tc>
          <w:tcPr>
            <w:tcW w:w="3090" w:type="pct"/>
            <w:gridSpan w:val="8"/>
          </w:tcPr>
          <w:p w:rsidR="00E023D0" w:rsidRPr="00274021" w:rsidRDefault="00E023D0" w:rsidP="00083898">
            <w:pPr>
              <w:pStyle w:val="Tabletext"/>
              <w:jc w:val="center"/>
            </w:pPr>
            <w:r>
              <w:t>10</w:t>
            </w:r>
          </w:p>
        </w:tc>
      </w:tr>
    </w:tbl>
    <w:p w:rsidR="002D27E9" w:rsidRDefault="000341D1" w:rsidP="000341D1">
      <w:pPr>
        <w:pStyle w:val="Tablenotes"/>
        <w:numPr>
          <w:ilvl w:val="0"/>
          <w:numId w:val="58"/>
        </w:numPr>
      </w:pPr>
      <w:r>
        <w:t xml:space="preserve">Citation excluded because it is not an RCT but included as a systematic review (discussed below). The other 6 citations represent RCT’s already identified (also discussed below). </w:t>
      </w:r>
    </w:p>
    <w:p w:rsidR="002D27E9" w:rsidRPr="00274021" w:rsidRDefault="002D27E9" w:rsidP="00F435A9">
      <w:pPr>
        <w:pStyle w:val="ListParagraph"/>
        <w:numPr>
          <w:ilvl w:val="0"/>
          <w:numId w:val="57"/>
        </w:numPr>
        <w:sectPr w:rsidR="002D27E9" w:rsidRPr="00274021" w:rsidSect="008846BA">
          <w:headerReference w:type="default" r:id="rId21"/>
          <w:pgSz w:w="16839" w:h="11907" w:orient="landscape" w:code="9"/>
          <w:pgMar w:top="1701" w:right="1701" w:bottom="1418" w:left="1418" w:header="720" w:footer="720" w:gutter="0"/>
          <w:paperSrc w:first="7" w:other="7"/>
          <w:cols w:space="720"/>
          <w:noEndnote/>
          <w:docGrid w:linePitch="299"/>
        </w:sectPr>
      </w:pPr>
    </w:p>
    <w:p w:rsidR="00E023D0" w:rsidRPr="003A1804" w:rsidRDefault="002D27E9" w:rsidP="003A1804">
      <w:pPr>
        <w:pStyle w:val="Heading40"/>
      </w:pPr>
      <w:r w:rsidRPr="003A1804">
        <w:lastRenderedPageBreak/>
        <w:t>Manual s</w:t>
      </w:r>
      <w:r w:rsidR="00E023D0" w:rsidRPr="003A1804">
        <w:t>earches</w:t>
      </w:r>
    </w:p>
    <w:p w:rsidR="00E023D0" w:rsidRPr="00B01CC8" w:rsidRDefault="00E023D0" w:rsidP="003A1804">
      <w:pPr>
        <w:pStyle w:val="Tabletext"/>
        <w:keepNext w:val="0"/>
        <w:spacing w:before="0" w:after="240" w:line="360" w:lineRule="auto"/>
        <w:rPr>
          <w:rFonts w:ascii="Californian FB" w:hAnsi="Californian FB"/>
          <w:sz w:val="22"/>
          <w:szCs w:val="24"/>
        </w:rPr>
      </w:pPr>
      <w:r w:rsidRPr="00B01CC8">
        <w:rPr>
          <w:rFonts w:ascii="Californian FB" w:hAnsi="Californian FB"/>
          <w:sz w:val="22"/>
          <w:szCs w:val="24"/>
        </w:rPr>
        <w:t xml:space="preserve">A manual search of conference abstracts </w:t>
      </w:r>
      <w:r w:rsidR="000341D1">
        <w:rPr>
          <w:rFonts w:ascii="Californian FB" w:hAnsi="Californian FB"/>
          <w:sz w:val="22"/>
          <w:szCs w:val="24"/>
        </w:rPr>
        <w:t xml:space="preserve">and systematic reviews </w:t>
      </w:r>
      <w:r w:rsidR="003E7D1C">
        <w:rPr>
          <w:rFonts w:ascii="Californian FB" w:hAnsi="Californian FB"/>
          <w:sz w:val="22"/>
          <w:szCs w:val="24"/>
        </w:rPr>
        <w:t>located f</w:t>
      </w:r>
      <w:r w:rsidRPr="00B01CC8">
        <w:rPr>
          <w:rFonts w:ascii="Californian FB" w:hAnsi="Californian FB"/>
          <w:sz w:val="22"/>
          <w:szCs w:val="24"/>
        </w:rPr>
        <w:t>ive conference abstracts, four of which supplemented data for the RHINE-SAAR study (I</w:t>
      </w:r>
      <w:r w:rsidR="003C6559" w:rsidRPr="00B01CC8">
        <w:rPr>
          <w:rFonts w:ascii="Californian FB" w:hAnsi="Californian FB"/>
          <w:sz w:val="22"/>
          <w:szCs w:val="24"/>
        </w:rPr>
        <w:t>kenberg 2</w:t>
      </w:r>
      <w:r w:rsidR="00D71DDE" w:rsidRPr="00B01CC8">
        <w:rPr>
          <w:rFonts w:ascii="Californian FB" w:hAnsi="Californian FB"/>
          <w:sz w:val="22"/>
          <w:szCs w:val="24"/>
        </w:rPr>
        <w:t xml:space="preserve">010b, </w:t>
      </w:r>
      <w:r w:rsidR="002E065A" w:rsidRPr="00B01CC8">
        <w:rPr>
          <w:rFonts w:ascii="Californian FB" w:hAnsi="Californian FB"/>
          <w:sz w:val="22"/>
          <w:szCs w:val="24"/>
        </w:rPr>
        <w:t>2010</w:t>
      </w:r>
      <w:r w:rsidR="00D71DDE" w:rsidRPr="00B01CC8">
        <w:rPr>
          <w:rFonts w:ascii="Californian FB" w:hAnsi="Californian FB"/>
          <w:sz w:val="22"/>
          <w:szCs w:val="24"/>
        </w:rPr>
        <w:t>c and 2011</w:t>
      </w:r>
      <w:r w:rsidRPr="00B01CC8">
        <w:rPr>
          <w:rFonts w:ascii="Californian FB" w:hAnsi="Californian FB"/>
          <w:sz w:val="22"/>
          <w:szCs w:val="24"/>
        </w:rPr>
        <w:t>a,</w:t>
      </w:r>
      <w:r w:rsidR="00D71DDE" w:rsidRPr="00B01CC8">
        <w:rPr>
          <w:rFonts w:ascii="Californian FB" w:hAnsi="Californian FB"/>
          <w:sz w:val="22"/>
          <w:szCs w:val="24"/>
        </w:rPr>
        <w:t xml:space="preserve"> </w:t>
      </w:r>
      <w:r w:rsidR="002E065A" w:rsidRPr="00B01CC8">
        <w:rPr>
          <w:rFonts w:ascii="Californian FB" w:hAnsi="Californian FB"/>
          <w:sz w:val="22"/>
          <w:szCs w:val="24"/>
        </w:rPr>
        <w:t>2011</w:t>
      </w:r>
      <w:r w:rsidRPr="00B01CC8">
        <w:rPr>
          <w:rFonts w:ascii="Californian FB" w:hAnsi="Californian FB"/>
          <w:sz w:val="22"/>
          <w:szCs w:val="24"/>
        </w:rPr>
        <w:t xml:space="preserve">b). One additional abstract was found for </w:t>
      </w:r>
      <w:r w:rsidR="003C6559" w:rsidRPr="00B01CC8">
        <w:rPr>
          <w:rFonts w:ascii="Californian FB" w:hAnsi="Californian FB"/>
          <w:sz w:val="22"/>
          <w:szCs w:val="24"/>
        </w:rPr>
        <w:t xml:space="preserve">the RODEO study (Fregnani </w:t>
      </w:r>
      <w:r w:rsidRPr="00B01CC8">
        <w:rPr>
          <w:rFonts w:ascii="Californian FB" w:hAnsi="Californian FB"/>
          <w:sz w:val="22"/>
          <w:szCs w:val="24"/>
        </w:rPr>
        <w:t>2012).</w:t>
      </w:r>
    </w:p>
    <w:p w:rsidR="00E023D0" w:rsidRPr="00B01CC8" w:rsidRDefault="00E023D0" w:rsidP="003A1804">
      <w:pPr>
        <w:pStyle w:val="Tabletext"/>
        <w:keepNext w:val="0"/>
        <w:spacing w:before="0" w:after="240" w:line="360" w:lineRule="auto"/>
        <w:rPr>
          <w:rFonts w:ascii="Californian FB" w:hAnsi="Californian FB"/>
          <w:sz w:val="22"/>
          <w:szCs w:val="24"/>
        </w:rPr>
      </w:pPr>
      <w:r w:rsidRPr="00B01CC8">
        <w:rPr>
          <w:rFonts w:ascii="Californian FB" w:hAnsi="Californian FB"/>
          <w:sz w:val="22"/>
          <w:szCs w:val="24"/>
        </w:rPr>
        <w:t xml:space="preserve">An additional full length article was identified from the full </w:t>
      </w:r>
      <w:r w:rsidR="003C6559" w:rsidRPr="00B01CC8">
        <w:rPr>
          <w:rFonts w:ascii="Californian FB" w:hAnsi="Californian FB"/>
          <w:sz w:val="22"/>
          <w:szCs w:val="24"/>
        </w:rPr>
        <w:t xml:space="preserve">text review of Confortini </w:t>
      </w:r>
      <w:r w:rsidRPr="00B01CC8">
        <w:rPr>
          <w:rFonts w:ascii="Californian FB" w:hAnsi="Californian FB"/>
          <w:sz w:val="22"/>
          <w:szCs w:val="24"/>
        </w:rPr>
        <w:t>2010, which referenced an NTCC trial publ</w:t>
      </w:r>
      <w:r w:rsidR="003C6559" w:rsidRPr="00B01CC8">
        <w:rPr>
          <w:rFonts w:ascii="Californian FB" w:hAnsi="Californian FB"/>
          <w:sz w:val="22"/>
          <w:szCs w:val="24"/>
        </w:rPr>
        <w:t xml:space="preserve">ication (Dalla Palma </w:t>
      </w:r>
      <w:r w:rsidRPr="00B01CC8">
        <w:rPr>
          <w:rFonts w:ascii="Californian FB" w:hAnsi="Californian FB"/>
          <w:sz w:val="22"/>
          <w:szCs w:val="24"/>
        </w:rPr>
        <w:t>2008) not identified in the original search.</w:t>
      </w:r>
    </w:p>
    <w:p w:rsidR="00E023D0" w:rsidRPr="00B01CC8" w:rsidRDefault="00E023D0" w:rsidP="003A1804">
      <w:pPr>
        <w:pStyle w:val="Tabletext"/>
        <w:keepNext w:val="0"/>
        <w:spacing w:before="0" w:after="240" w:line="360" w:lineRule="auto"/>
        <w:rPr>
          <w:rFonts w:ascii="Californian FB" w:hAnsi="Californian FB"/>
          <w:sz w:val="22"/>
          <w:szCs w:val="24"/>
        </w:rPr>
      </w:pPr>
      <w:r w:rsidRPr="00B01CC8">
        <w:rPr>
          <w:rFonts w:ascii="Californian FB" w:hAnsi="Californian FB"/>
          <w:sz w:val="22"/>
          <w:szCs w:val="24"/>
        </w:rPr>
        <w:t>A total of six (6) citations identified from manual searches are included in this submission.</w:t>
      </w:r>
    </w:p>
    <w:p w:rsidR="00E023D0" w:rsidRPr="003A1804" w:rsidRDefault="00E023D0" w:rsidP="003A1804">
      <w:pPr>
        <w:pStyle w:val="Heading40"/>
      </w:pPr>
      <w:r w:rsidRPr="003A1804">
        <w:t xml:space="preserve">Second </w:t>
      </w:r>
      <w:r w:rsidR="002D27E9" w:rsidRPr="003A1804">
        <w:t>round e</w:t>
      </w:r>
      <w:r w:rsidRPr="003A1804">
        <w:t>xclusions</w:t>
      </w:r>
    </w:p>
    <w:p w:rsidR="00E023D0" w:rsidRPr="00B01CC8" w:rsidRDefault="00E023D0" w:rsidP="003A1804">
      <w:pPr>
        <w:pStyle w:val="Tabletext"/>
        <w:keepNext w:val="0"/>
        <w:spacing w:before="0" w:after="240" w:line="360" w:lineRule="auto"/>
        <w:rPr>
          <w:rFonts w:ascii="Californian FB" w:hAnsi="Californian FB"/>
          <w:sz w:val="22"/>
          <w:szCs w:val="24"/>
        </w:rPr>
      </w:pPr>
      <w:r w:rsidRPr="00B01CC8">
        <w:rPr>
          <w:rFonts w:ascii="Californian FB" w:hAnsi="Californian FB"/>
          <w:sz w:val="22"/>
          <w:szCs w:val="24"/>
        </w:rPr>
        <w:t>After the first round of exclusions, 33 papers</w:t>
      </w:r>
      <w:r w:rsidR="00E232E5" w:rsidRPr="00B01CC8">
        <w:rPr>
          <w:rFonts w:ascii="Californian FB" w:hAnsi="Californian FB"/>
          <w:sz w:val="22"/>
          <w:szCs w:val="24"/>
        </w:rPr>
        <w:t xml:space="preserve"> from MEDLINE; EMBASE; and The Cochrane Library </w:t>
      </w:r>
      <w:r w:rsidRPr="00B01CC8">
        <w:rPr>
          <w:rFonts w:ascii="Californian FB" w:hAnsi="Californian FB"/>
          <w:sz w:val="22"/>
          <w:szCs w:val="24"/>
        </w:rPr>
        <w:t>were retrieved for review. From the full text review of these a</w:t>
      </w:r>
      <w:r w:rsidR="005A7418" w:rsidRPr="00B01CC8">
        <w:rPr>
          <w:rFonts w:ascii="Californian FB" w:hAnsi="Californian FB"/>
          <w:sz w:val="22"/>
          <w:szCs w:val="24"/>
        </w:rPr>
        <w:t>rticles 3 papers were excluded becau</w:t>
      </w:r>
      <w:r w:rsidRPr="00B01CC8">
        <w:rPr>
          <w:rFonts w:ascii="Californian FB" w:hAnsi="Californian FB"/>
          <w:sz w:val="22"/>
          <w:szCs w:val="24"/>
        </w:rPr>
        <w:t>s</w:t>
      </w:r>
      <w:r w:rsidR="005A7418" w:rsidRPr="00B01CC8">
        <w:rPr>
          <w:rFonts w:ascii="Californian FB" w:hAnsi="Californian FB"/>
          <w:sz w:val="22"/>
          <w:szCs w:val="24"/>
        </w:rPr>
        <w:t>e</w:t>
      </w:r>
      <w:r w:rsidRPr="00B01CC8">
        <w:rPr>
          <w:rFonts w:ascii="Californian FB" w:hAnsi="Californian FB"/>
          <w:sz w:val="22"/>
          <w:szCs w:val="24"/>
        </w:rPr>
        <w:t xml:space="preserve"> they were not RCTs</w:t>
      </w:r>
      <w:r w:rsidR="005A7418" w:rsidRPr="00B01CC8">
        <w:rPr>
          <w:rFonts w:ascii="Californian FB" w:hAnsi="Californian FB"/>
          <w:sz w:val="22"/>
          <w:szCs w:val="24"/>
        </w:rPr>
        <w:t>,</w:t>
      </w:r>
      <w:r w:rsidRPr="00B01CC8">
        <w:rPr>
          <w:rFonts w:ascii="Californian FB" w:hAnsi="Californian FB"/>
          <w:sz w:val="22"/>
          <w:szCs w:val="24"/>
        </w:rPr>
        <w:t xml:space="preserve"> and 1 paper</w:t>
      </w:r>
      <w:r w:rsidR="005A7418" w:rsidRPr="00B01CC8">
        <w:rPr>
          <w:rFonts w:ascii="Californian FB" w:hAnsi="Californian FB"/>
          <w:sz w:val="22"/>
          <w:szCs w:val="24"/>
        </w:rPr>
        <w:t xml:space="preserve"> was not available in English. Five</w:t>
      </w:r>
      <w:r w:rsidRPr="00B01CC8">
        <w:rPr>
          <w:rFonts w:ascii="Californian FB" w:hAnsi="Californian FB"/>
          <w:sz w:val="22"/>
          <w:szCs w:val="24"/>
        </w:rPr>
        <w:t xml:space="preserve"> studies used a semi-automated pre-screening technology for conventional Pap smears known as Papnet. Papnet is no longer commercially available in Australia or internationally and these trials were subsequently excluded from analyses (http://www.eurocytology.eu/static/eurocytology/eng/cervical/LP1ContentKcontD.html</w:t>
      </w:r>
      <w:r w:rsidR="003C6559" w:rsidRPr="00B01CC8">
        <w:rPr>
          <w:rFonts w:ascii="Californian FB" w:hAnsi="Californian FB"/>
          <w:sz w:val="22"/>
          <w:szCs w:val="24"/>
        </w:rPr>
        <w:t>).</w:t>
      </w:r>
      <w:r w:rsidR="005A7418" w:rsidRPr="00B01CC8">
        <w:rPr>
          <w:rFonts w:ascii="Californian FB" w:hAnsi="Californian FB"/>
          <w:sz w:val="22"/>
          <w:szCs w:val="24"/>
        </w:rPr>
        <w:t>Two</w:t>
      </w:r>
      <w:r w:rsidRPr="00B01CC8">
        <w:rPr>
          <w:rFonts w:ascii="Californian FB" w:hAnsi="Californian FB"/>
          <w:sz w:val="22"/>
          <w:szCs w:val="24"/>
        </w:rPr>
        <w:t xml:space="preserve"> stu</w:t>
      </w:r>
      <w:r w:rsidR="005A7418" w:rsidRPr="00B01CC8">
        <w:rPr>
          <w:rFonts w:ascii="Californian FB" w:hAnsi="Californian FB"/>
          <w:sz w:val="22"/>
          <w:szCs w:val="24"/>
        </w:rPr>
        <w:t>dies were excluded becau</w:t>
      </w:r>
      <w:r w:rsidRPr="00B01CC8">
        <w:rPr>
          <w:rFonts w:ascii="Californian FB" w:hAnsi="Californian FB"/>
          <w:sz w:val="22"/>
          <w:szCs w:val="24"/>
        </w:rPr>
        <w:t>s</w:t>
      </w:r>
      <w:r w:rsidR="005A7418" w:rsidRPr="00B01CC8">
        <w:rPr>
          <w:rFonts w:ascii="Californian FB" w:hAnsi="Californian FB"/>
          <w:sz w:val="22"/>
          <w:szCs w:val="24"/>
        </w:rPr>
        <w:t>e</w:t>
      </w:r>
      <w:r w:rsidRPr="00B01CC8">
        <w:rPr>
          <w:rFonts w:ascii="Californian FB" w:hAnsi="Californian FB"/>
          <w:sz w:val="22"/>
          <w:szCs w:val="24"/>
        </w:rPr>
        <w:t xml:space="preserve"> the results reported did not allow for the comparison </w:t>
      </w:r>
      <w:r w:rsidR="005A7418" w:rsidRPr="00B01CC8">
        <w:rPr>
          <w:rFonts w:ascii="Californian FB" w:hAnsi="Californian FB"/>
          <w:sz w:val="22"/>
          <w:szCs w:val="24"/>
        </w:rPr>
        <w:t xml:space="preserve">of </w:t>
      </w:r>
      <w:r w:rsidR="003C6559" w:rsidRPr="00B01CC8">
        <w:rPr>
          <w:rFonts w:ascii="Californian FB" w:hAnsi="Californian FB"/>
          <w:sz w:val="22"/>
          <w:szCs w:val="24"/>
        </w:rPr>
        <w:t>LBC with CC</w:t>
      </w:r>
      <w:r w:rsidRPr="00B01CC8">
        <w:rPr>
          <w:rFonts w:ascii="Californian FB" w:hAnsi="Californian FB"/>
          <w:sz w:val="22"/>
          <w:szCs w:val="24"/>
        </w:rPr>
        <w:t xml:space="preserve"> in the absence of HPV testing.</w:t>
      </w:r>
    </w:p>
    <w:p w:rsidR="00E023D0" w:rsidRPr="00B01CC8" w:rsidRDefault="002D27E9" w:rsidP="003A1804">
      <w:pPr>
        <w:pStyle w:val="Tabletext"/>
        <w:keepNext w:val="0"/>
        <w:spacing w:before="0" w:after="240" w:line="360" w:lineRule="auto"/>
        <w:rPr>
          <w:rFonts w:ascii="Californian FB" w:hAnsi="Californian FB"/>
          <w:sz w:val="22"/>
          <w:szCs w:val="24"/>
        </w:rPr>
      </w:pPr>
      <w:r w:rsidRPr="00B01CC8">
        <w:rPr>
          <w:rFonts w:ascii="Californian FB" w:hAnsi="Californian FB"/>
          <w:sz w:val="22"/>
          <w:szCs w:val="24"/>
        </w:rPr>
        <w:t xml:space="preserve">Four </w:t>
      </w:r>
      <w:r w:rsidR="00E023D0" w:rsidRPr="00B01CC8">
        <w:rPr>
          <w:rFonts w:ascii="Californian FB" w:hAnsi="Californian FB"/>
          <w:sz w:val="22"/>
          <w:szCs w:val="24"/>
        </w:rPr>
        <w:t xml:space="preserve">studies </w:t>
      </w:r>
      <w:r w:rsidR="00345355">
        <w:rPr>
          <w:rFonts w:ascii="Californian FB" w:hAnsi="Californian FB"/>
          <w:sz w:val="22"/>
          <w:szCs w:val="24"/>
        </w:rPr>
        <w:t>(</w:t>
      </w:r>
      <w:r w:rsidR="00345355" w:rsidRPr="00B01CC8">
        <w:rPr>
          <w:rFonts w:ascii="Californian FB" w:hAnsi="Californian FB"/>
          <w:sz w:val="22"/>
          <w:szCs w:val="24"/>
        </w:rPr>
        <w:t>Sykes 2008</w:t>
      </w:r>
      <w:r w:rsidR="00345355">
        <w:rPr>
          <w:rFonts w:ascii="Californian FB" w:hAnsi="Californian FB"/>
          <w:sz w:val="22"/>
          <w:szCs w:val="24"/>
        </w:rPr>
        <w:t xml:space="preserve">, </w:t>
      </w:r>
      <w:r w:rsidR="00345355" w:rsidRPr="00B01CC8">
        <w:rPr>
          <w:rFonts w:ascii="Californian FB" w:hAnsi="Californian FB"/>
          <w:sz w:val="22"/>
          <w:szCs w:val="24"/>
        </w:rPr>
        <w:t>Jesdapatarakul 2010</w:t>
      </w:r>
      <w:r w:rsidR="00345355">
        <w:rPr>
          <w:rFonts w:ascii="Californian FB" w:hAnsi="Californian FB"/>
          <w:sz w:val="22"/>
          <w:szCs w:val="24"/>
        </w:rPr>
        <w:t>,</w:t>
      </w:r>
      <w:r w:rsidR="00345355" w:rsidRPr="00B01CC8">
        <w:rPr>
          <w:rFonts w:ascii="Californian FB" w:hAnsi="Californian FB"/>
          <w:sz w:val="22"/>
          <w:szCs w:val="24"/>
        </w:rPr>
        <w:t xml:space="preserve"> Mount 2004</w:t>
      </w:r>
      <w:r w:rsidR="00345355">
        <w:rPr>
          <w:rFonts w:ascii="Californian FB" w:hAnsi="Californian FB"/>
          <w:sz w:val="22"/>
          <w:szCs w:val="24"/>
        </w:rPr>
        <w:t xml:space="preserve">, </w:t>
      </w:r>
      <w:r w:rsidR="00345355" w:rsidRPr="00B01CC8">
        <w:rPr>
          <w:rFonts w:ascii="Californian FB" w:hAnsi="Californian FB"/>
          <w:sz w:val="22"/>
          <w:szCs w:val="24"/>
        </w:rPr>
        <w:t xml:space="preserve">Taylor </w:t>
      </w:r>
      <w:proofErr w:type="gramStart"/>
      <w:r w:rsidR="00345355" w:rsidRPr="00B01CC8">
        <w:rPr>
          <w:rFonts w:ascii="Californian FB" w:hAnsi="Californian FB"/>
          <w:sz w:val="22"/>
          <w:szCs w:val="24"/>
        </w:rPr>
        <w:t xml:space="preserve">2006 </w:t>
      </w:r>
      <w:r w:rsidR="00345355">
        <w:rPr>
          <w:rFonts w:ascii="Californian FB" w:hAnsi="Californian FB"/>
          <w:sz w:val="22"/>
          <w:szCs w:val="24"/>
        </w:rPr>
        <w:t>)</w:t>
      </w:r>
      <w:proofErr w:type="gramEnd"/>
      <w:r w:rsidR="00345355" w:rsidRPr="00B01CC8">
        <w:rPr>
          <w:rFonts w:ascii="Californian FB" w:hAnsi="Californian FB"/>
          <w:sz w:val="22"/>
          <w:szCs w:val="24"/>
        </w:rPr>
        <w:t xml:space="preserve"> </w:t>
      </w:r>
      <w:r w:rsidR="00E023D0" w:rsidRPr="00B01CC8">
        <w:rPr>
          <w:rFonts w:ascii="Californian FB" w:hAnsi="Californian FB"/>
          <w:sz w:val="22"/>
          <w:szCs w:val="24"/>
        </w:rPr>
        <w:t>were further excluded as the participants did not represent a cervi</w:t>
      </w:r>
      <w:r w:rsidR="00345355">
        <w:rPr>
          <w:rFonts w:ascii="Californian FB" w:hAnsi="Californian FB"/>
          <w:sz w:val="22"/>
          <w:szCs w:val="24"/>
        </w:rPr>
        <w:t>cal cancer screening population.</w:t>
      </w:r>
    </w:p>
    <w:p w:rsidR="00E023D0" w:rsidRDefault="00E023D0" w:rsidP="00E023D0">
      <w:pPr>
        <w:pStyle w:val="Heading40"/>
      </w:pPr>
      <w:r>
        <w:t>Randomised controlled trials</w:t>
      </w:r>
    </w:p>
    <w:p w:rsidR="00E023D0" w:rsidRPr="00274021" w:rsidRDefault="002D27E9" w:rsidP="00E023D0">
      <w:r>
        <w:t>A list</w:t>
      </w:r>
      <w:r w:rsidR="00E023D0" w:rsidRPr="00274021">
        <w:t xml:space="preserve"> of all direct randomised trials of </w:t>
      </w:r>
      <w:r>
        <w:t>LBC is</w:t>
      </w:r>
      <w:r w:rsidR="00E023D0">
        <w:t xml:space="preserve"> presented </w:t>
      </w:r>
      <w:r w:rsidR="00F0384C">
        <w:t>(</w:t>
      </w:r>
      <w:r w:rsidR="00086C77">
        <w:fldChar w:fldCharType="begin"/>
      </w:r>
      <w:r w:rsidR="00E023D0">
        <w:instrText xml:space="preserve"> REF _Ref166995051 \h </w:instrText>
      </w:r>
      <w:r w:rsidR="00086C77">
        <w:fldChar w:fldCharType="separate"/>
      </w:r>
      <w:r w:rsidR="003361A8" w:rsidRPr="00274021">
        <w:t xml:space="preserve">Table </w:t>
      </w:r>
      <w:r w:rsidR="003361A8">
        <w:rPr>
          <w:noProof/>
        </w:rPr>
        <w:t>9</w:t>
      </w:r>
      <w:r w:rsidR="00086C77">
        <w:fldChar w:fldCharType="end"/>
      </w:r>
      <w:r w:rsidR="00F0384C">
        <w:t>)</w:t>
      </w:r>
      <w:r w:rsidR="00E023D0">
        <w:t xml:space="preserve">. </w:t>
      </w:r>
      <w:r w:rsidR="00140CA4">
        <w:t>A hard copy of the trials is</w:t>
      </w:r>
      <w:r w:rsidR="005F6015">
        <w:t xml:space="preserve"> located in Attachment 3.</w:t>
      </w:r>
      <w:r w:rsidR="00CD3A77">
        <w:t xml:space="preserve"> </w:t>
      </w:r>
      <w:r w:rsidR="00BF7731">
        <w:t xml:space="preserve">There </w:t>
      </w:r>
      <w:r w:rsidR="00345355">
        <w:t>a</w:t>
      </w:r>
      <w:r w:rsidR="00BF7731">
        <w:t xml:space="preserve">re no RCTs </w:t>
      </w:r>
      <w:r w:rsidR="00345355">
        <w:t>that compare</w:t>
      </w:r>
      <w:r w:rsidR="00BF7731">
        <w:t xml:space="preserve"> cell enrichment LBC and cell filtration LBC. There </w:t>
      </w:r>
      <w:r w:rsidR="00345355">
        <w:t>a</w:t>
      </w:r>
      <w:r w:rsidR="00BF7731">
        <w:t>re</w:t>
      </w:r>
      <w:r w:rsidR="000B208B">
        <w:t>,</w:t>
      </w:r>
      <w:r w:rsidR="00BF7731">
        <w:t xml:space="preserve"> however</w:t>
      </w:r>
      <w:r w:rsidR="000B208B">
        <w:t>,</w:t>
      </w:r>
      <w:r w:rsidR="00BF7731">
        <w:t xml:space="preserve"> cell enrichment LBC versus conventional cytology RCTs and cell filtration LBC versus conventional cytology RCTs.</w:t>
      </w:r>
      <w:r>
        <w:t xml:space="preserve"> D</w:t>
      </w:r>
      <w:r w:rsidR="00314060">
        <w:t>ata f</w:t>
      </w:r>
      <w:r w:rsidR="00BF7731">
        <w:t>r</w:t>
      </w:r>
      <w:r w:rsidR="00314060">
        <w:t>om</w:t>
      </w:r>
      <w:r w:rsidR="00BF7731">
        <w:t xml:space="preserve"> these tri</w:t>
      </w:r>
      <w:r>
        <w:t>als are</w:t>
      </w:r>
      <w:r w:rsidR="00BF7731">
        <w:t xml:space="preserve"> </w:t>
      </w:r>
      <w:r w:rsidR="00314060">
        <w:t xml:space="preserve">tabulated </w:t>
      </w:r>
      <w:r w:rsidR="00BF7731">
        <w:t xml:space="preserve">separately </w:t>
      </w:r>
      <w:r w:rsidR="00314060">
        <w:t>throughout section</w:t>
      </w:r>
      <w:r>
        <w:t xml:space="preserve">s B.3 to </w:t>
      </w:r>
      <w:r w:rsidR="00314060">
        <w:t>B. 6</w:t>
      </w:r>
      <w:r>
        <w:t>,</w:t>
      </w:r>
      <w:r w:rsidR="00BF7731">
        <w:t xml:space="preserve"> with an indirect comparison provided where possible in section B.6. </w:t>
      </w:r>
      <w:r w:rsidR="00314060">
        <w:t>C</w:t>
      </w:r>
      <w:r w:rsidR="00BF7731">
        <w:t xml:space="preserve">omparisons between manual versus semi-automated screening of cervical cytology </w:t>
      </w:r>
      <w:r w:rsidR="00314060">
        <w:t>are tabulated separately throughout the document with resu</w:t>
      </w:r>
      <w:r>
        <w:t>lts discussed separately</w:t>
      </w:r>
      <w:r w:rsidR="00314060">
        <w:t xml:space="preserve">. </w:t>
      </w:r>
    </w:p>
    <w:p w:rsidR="00E023D0" w:rsidRPr="00274021" w:rsidRDefault="00E023D0" w:rsidP="00E023D0">
      <w:pPr>
        <w:pStyle w:val="Tablecaption"/>
      </w:pPr>
      <w:bookmarkStart w:id="110" w:name="_Ref166995051"/>
      <w:bookmarkStart w:id="111" w:name="_Toc192319849"/>
      <w:bookmarkStart w:id="112" w:name="_Toc312340194"/>
      <w:bookmarkStart w:id="113" w:name="_Toc316368179"/>
      <w:bookmarkStart w:id="114" w:name="_Toc335665975"/>
      <w:bookmarkStart w:id="115" w:name="_Toc337546946"/>
      <w:r w:rsidRPr="00274021">
        <w:lastRenderedPageBreak/>
        <w:t xml:space="preserve">Table </w:t>
      </w:r>
      <w:fldSimple w:instr=" SEQ Table \* ARABIC ">
        <w:r w:rsidR="003361A8">
          <w:rPr>
            <w:noProof/>
          </w:rPr>
          <w:t>9</w:t>
        </w:r>
      </w:fldSimple>
      <w:bookmarkEnd w:id="110"/>
      <w:r w:rsidR="006A37B2">
        <w:tab/>
        <w:t>RCT</w:t>
      </w:r>
      <w:r w:rsidRPr="00274021">
        <w:t xml:space="preserve">s (and associated reports) of </w:t>
      </w:r>
      <w:bookmarkEnd w:id="111"/>
      <w:bookmarkEnd w:id="112"/>
      <w:bookmarkEnd w:id="113"/>
      <w:r>
        <w:t>cervical cancer screening methodologies</w:t>
      </w:r>
      <w:bookmarkEnd w:id="114"/>
      <w:bookmarkEnd w:id="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9"/>
        <w:gridCol w:w="7535"/>
      </w:tblGrid>
      <w:tr w:rsidR="00E023D0" w:rsidRPr="00274021" w:rsidTr="004B3488">
        <w:trPr>
          <w:cantSplit/>
          <w:tblHeader/>
        </w:trPr>
        <w:tc>
          <w:tcPr>
            <w:tcW w:w="816" w:type="pct"/>
            <w:tcBorders>
              <w:bottom w:val="single" w:sz="4" w:space="0" w:color="auto"/>
            </w:tcBorders>
          </w:tcPr>
          <w:p w:rsidR="00E023D0" w:rsidRPr="00274021" w:rsidRDefault="00E023D0" w:rsidP="00E023D0">
            <w:pPr>
              <w:pStyle w:val="Tableheading"/>
            </w:pPr>
            <w:r w:rsidRPr="00274021">
              <w:t>Trial</w:t>
            </w:r>
          </w:p>
        </w:tc>
        <w:tc>
          <w:tcPr>
            <w:tcW w:w="4184" w:type="pct"/>
            <w:tcBorders>
              <w:bottom w:val="single" w:sz="4" w:space="0" w:color="auto"/>
            </w:tcBorders>
          </w:tcPr>
          <w:p w:rsidR="00E023D0" w:rsidRPr="00274021" w:rsidRDefault="00E023D0" w:rsidP="00E023D0">
            <w:pPr>
              <w:pStyle w:val="Tableheading"/>
              <w:rPr>
                <w:bCs/>
              </w:rPr>
            </w:pPr>
            <w:r w:rsidRPr="00274021">
              <w:rPr>
                <w:bCs/>
              </w:rPr>
              <w:t>Reports</w:t>
            </w:r>
          </w:p>
        </w:tc>
      </w:tr>
      <w:tr w:rsidR="00E023D0" w:rsidRPr="00274021" w:rsidTr="004B3488">
        <w:trPr>
          <w:cantSplit/>
          <w:trHeight w:val="354"/>
        </w:trPr>
        <w:tc>
          <w:tcPr>
            <w:tcW w:w="5000" w:type="pct"/>
            <w:gridSpan w:val="2"/>
            <w:tcBorders>
              <w:top w:val="single" w:sz="4" w:space="0" w:color="auto"/>
              <w:left w:val="single" w:sz="4" w:space="0" w:color="auto"/>
              <w:bottom w:val="single" w:sz="4" w:space="0" w:color="auto"/>
              <w:right w:val="single" w:sz="4" w:space="0" w:color="auto"/>
            </w:tcBorders>
            <w:shd w:val="clear" w:color="auto" w:fill="F2F2F2"/>
          </w:tcPr>
          <w:p w:rsidR="00E023D0" w:rsidRPr="00274021" w:rsidRDefault="000B208B" w:rsidP="00E023D0">
            <w:pPr>
              <w:pStyle w:val="Tabletext"/>
              <w:rPr>
                <w:b/>
              </w:rPr>
            </w:pPr>
            <w:r>
              <w:rPr>
                <w:b/>
              </w:rPr>
              <w:t>Cell enrichment LBC versus conventional c</w:t>
            </w:r>
            <w:r w:rsidR="00E023D0">
              <w:rPr>
                <w:b/>
              </w:rPr>
              <w:t>ytology</w:t>
            </w:r>
          </w:p>
        </w:tc>
      </w:tr>
      <w:tr w:rsidR="00E023D0" w:rsidRPr="00274021" w:rsidTr="004B3488">
        <w:trPr>
          <w:cantSplit/>
        </w:trPr>
        <w:tc>
          <w:tcPr>
            <w:tcW w:w="816" w:type="pct"/>
          </w:tcPr>
          <w:p w:rsidR="00E023D0" w:rsidRPr="00274021" w:rsidRDefault="00E023D0" w:rsidP="00E023D0">
            <w:pPr>
              <w:pStyle w:val="Tableheading"/>
              <w:rPr>
                <w:b w:val="0"/>
              </w:rPr>
            </w:pPr>
            <w:r>
              <w:rPr>
                <w:b w:val="0"/>
              </w:rPr>
              <w:t>Beerman 2009</w:t>
            </w:r>
          </w:p>
        </w:tc>
        <w:tc>
          <w:tcPr>
            <w:tcW w:w="4184" w:type="pct"/>
          </w:tcPr>
          <w:p w:rsidR="00E023D0" w:rsidRPr="00274021" w:rsidRDefault="00E023D0" w:rsidP="00E023D0">
            <w:pPr>
              <w:pStyle w:val="Tabletext"/>
            </w:pPr>
            <w:r>
              <w:t>Beerman H, van Dorst EB, Kuenen-Boumeester V, Hogendoorn PC. Superior performance of liquid-based versus conventional cytology in a population-based cervical cancer screening program. Gynecol Oncol. 2009 Mar;</w:t>
            </w:r>
            <w:r w:rsidR="000B208B">
              <w:t xml:space="preserve"> </w:t>
            </w:r>
            <w:r>
              <w:t>112(3):572-6</w:t>
            </w:r>
          </w:p>
        </w:tc>
      </w:tr>
      <w:tr w:rsidR="00E023D0" w:rsidRPr="00274021" w:rsidTr="004B3488">
        <w:trPr>
          <w:cantSplit/>
        </w:trPr>
        <w:tc>
          <w:tcPr>
            <w:tcW w:w="816" w:type="pct"/>
            <w:vMerge w:val="restart"/>
          </w:tcPr>
          <w:p w:rsidR="00E023D0" w:rsidRPr="00274021" w:rsidRDefault="00E023D0" w:rsidP="00E023D0">
            <w:pPr>
              <w:pStyle w:val="Tableheading"/>
              <w:rPr>
                <w:b w:val="0"/>
              </w:rPr>
            </w:pPr>
            <w:r>
              <w:rPr>
                <w:b w:val="0"/>
              </w:rPr>
              <w:t>RODEO Study</w:t>
            </w:r>
          </w:p>
        </w:tc>
        <w:tc>
          <w:tcPr>
            <w:tcW w:w="4184" w:type="pct"/>
          </w:tcPr>
          <w:p w:rsidR="00E023D0" w:rsidRPr="00274021" w:rsidRDefault="00E023D0" w:rsidP="00E023D0">
            <w:pPr>
              <w:pStyle w:val="Tabletext"/>
            </w:pPr>
            <w:r>
              <w:t xml:space="preserve">Longatti-Filho A, Fregnani JH, Scapulatempo C, Haikel R, Carloni AC, Souza NC, Campacci N, Mauad. </w:t>
            </w:r>
            <w:r w:rsidR="005A7418">
              <w:t>SureP</w:t>
            </w:r>
            <w:r w:rsidRPr="00BF46B5">
              <w:t>ath liquid-based cytology improved the detection of high grade lesions in remote rural areas. Preliminary results of RODEO study</w:t>
            </w:r>
            <w:r>
              <w:t>. Abstract presented at the 17</w:t>
            </w:r>
            <w:r w:rsidRPr="00BF46B5">
              <w:rPr>
                <w:vertAlign w:val="superscript"/>
              </w:rPr>
              <w:t>th</w:t>
            </w:r>
            <w:r>
              <w:t xml:space="preserve"> International Meeting of the </w:t>
            </w:r>
            <w:r w:rsidR="001A3CFB">
              <w:t>European</w:t>
            </w:r>
            <w:r>
              <w:t xml:space="preserve"> Society of Gynaecological Oncology. International Journal of Gynecological Cancer, 2011; 21Suppl 3</w:t>
            </w:r>
          </w:p>
        </w:tc>
      </w:tr>
      <w:tr w:rsidR="00E023D0" w:rsidRPr="00274021" w:rsidTr="004B3488">
        <w:trPr>
          <w:cantSplit/>
        </w:trPr>
        <w:tc>
          <w:tcPr>
            <w:tcW w:w="816" w:type="pct"/>
            <w:vMerge/>
          </w:tcPr>
          <w:p w:rsidR="00E023D0" w:rsidRPr="00274021"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t>Fregnani JH, Scapulatempo C, Haikel RL, Mauad EC, Campacci N, Longatto-Filho A. Liquid-based cytology improves detection of cervical intraepithelial lesion in Low and High-risk women for HPV related diseases. Abstract presented at the Global Academic Program (GAP), 14-16 May 2012, Oslo, Norway</w:t>
            </w:r>
          </w:p>
        </w:tc>
      </w:tr>
      <w:tr w:rsidR="00E023D0" w:rsidRPr="00274021" w:rsidTr="004B3488">
        <w:trPr>
          <w:cantSplit/>
        </w:trPr>
        <w:tc>
          <w:tcPr>
            <w:tcW w:w="5000" w:type="pct"/>
            <w:gridSpan w:val="2"/>
            <w:tcBorders>
              <w:bottom w:val="single" w:sz="4" w:space="0" w:color="auto"/>
            </w:tcBorders>
            <w:shd w:val="clear" w:color="auto" w:fill="F2F2F2"/>
          </w:tcPr>
          <w:p w:rsidR="00E023D0" w:rsidRPr="00274021" w:rsidRDefault="000B208B" w:rsidP="00E023D0">
            <w:pPr>
              <w:pStyle w:val="Tabletext"/>
              <w:rPr>
                <w:b/>
              </w:rPr>
            </w:pPr>
            <w:r>
              <w:rPr>
                <w:b/>
              </w:rPr>
              <w:t>Cell filtration LBC versus conventional c</w:t>
            </w:r>
            <w:r w:rsidR="00E023D0">
              <w:rPr>
                <w:b/>
              </w:rPr>
              <w:t>ytology</w:t>
            </w:r>
          </w:p>
        </w:tc>
      </w:tr>
      <w:tr w:rsidR="00E023D0" w:rsidRPr="00274021" w:rsidTr="004B3488">
        <w:trPr>
          <w:cantSplit/>
        </w:trPr>
        <w:tc>
          <w:tcPr>
            <w:tcW w:w="816" w:type="pct"/>
            <w:vMerge w:val="restart"/>
          </w:tcPr>
          <w:p w:rsidR="00E023D0" w:rsidRPr="00274021" w:rsidRDefault="00E023D0" w:rsidP="00E023D0">
            <w:pPr>
              <w:pStyle w:val="Tableheading"/>
              <w:rPr>
                <w:b w:val="0"/>
              </w:rPr>
            </w:pPr>
            <w:r>
              <w:rPr>
                <w:b w:val="0"/>
              </w:rPr>
              <w:t>NTCC Trial</w:t>
            </w:r>
          </w:p>
        </w:tc>
        <w:tc>
          <w:tcPr>
            <w:tcW w:w="4184" w:type="pct"/>
            <w:tcBorders>
              <w:bottom w:val="single" w:sz="4" w:space="0" w:color="auto"/>
            </w:tcBorders>
          </w:tcPr>
          <w:p w:rsidR="00E023D0" w:rsidRPr="00274021" w:rsidRDefault="00E023D0" w:rsidP="00E023D0">
            <w:pPr>
              <w:pStyle w:val="Tabletext"/>
            </w:pPr>
            <w:r w:rsidRPr="00A86CF4">
              <w:rPr>
                <w:rStyle w:val="highlight"/>
              </w:rPr>
              <w:t xml:space="preserve">Ronco G, Segnan N, Giorgi-Rossi P, Zappa M, Casadei GP, Carozzi F, Dalla Palma P, Del Mistro A, Folicaldi S, Gillio-Tos A, Nardo G, Naldoni C, Schincaglia P, </w:t>
            </w:r>
            <w:r w:rsidR="00D71DDE">
              <w:rPr>
                <w:rStyle w:val="highlight"/>
              </w:rPr>
              <w:t>Zorzi M, Confortini M, Cuzick J.</w:t>
            </w:r>
            <w:r w:rsidRPr="00A86CF4">
              <w:rPr>
                <w:rStyle w:val="highlight"/>
              </w:rPr>
              <w:t xml:space="preserve"> New Technologies for Cervical Cancer Working Group. </w:t>
            </w:r>
            <w:r>
              <w:rPr>
                <w:rStyle w:val="highlight"/>
              </w:rPr>
              <w:t>Human</w:t>
            </w:r>
            <w:r>
              <w:t xml:space="preserve"> </w:t>
            </w:r>
            <w:r>
              <w:rPr>
                <w:rStyle w:val="highlight"/>
              </w:rPr>
              <w:t>papillomavirus</w:t>
            </w:r>
            <w:r>
              <w:t xml:space="preserve"> testing and liquid-based cytology: results at recruitment from the new technologies for cervical cancer randomized controlled trial. J Natl Cancer Inst, 2006; 98(11):765-774</w:t>
            </w:r>
          </w:p>
        </w:tc>
      </w:tr>
      <w:tr w:rsidR="00E023D0" w:rsidRPr="00274021" w:rsidTr="004B3488">
        <w:trPr>
          <w:cantSplit/>
        </w:trPr>
        <w:tc>
          <w:tcPr>
            <w:tcW w:w="816" w:type="pct"/>
            <w:vMerge/>
          </w:tcPr>
          <w:p w:rsidR="00E023D0"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rsidRPr="00A86CF4">
              <w:rPr>
                <w:rStyle w:val="highlight"/>
              </w:rPr>
              <w:t xml:space="preserve">Ronco G, Giorgi-Rossi P, Carozzi F, Dalla Palma P, Del Mistro A, De Marco L, De Lillo M, Naldoni C, Pierotti P, Rizzolo R, Segnan N, Schincaglia P, </w:t>
            </w:r>
            <w:r w:rsidR="00D71DDE">
              <w:rPr>
                <w:rStyle w:val="highlight"/>
              </w:rPr>
              <w:t>Zorzi M, Confortini M, Cuzick J.</w:t>
            </w:r>
            <w:r w:rsidRPr="00A86CF4">
              <w:rPr>
                <w:rStyle w:val="highlight"/>
              </w:rPr>
              <w:t xml:space="preserve"> New Technologies for Cervical Cancer screening Working Group. </w:t>
            </w:r>
            <w:r>
              <w:rPr>
                <w:rStyle w:val="highlight"/>
              </w:rPr>
              <w:t>Human</w:t>
            </w:r>
            <w:r>
              <w:t xml:space="preserve"> </w:t>
            </w:r>
            <w:r>
              <w:rPr>
                <w:rStyle w:val="highlight"/>
              </w:rPr>
              <w:t>papillomavirus</w:t>
            </w:r>
            <w:r>
              <w:t xml:space="preserve"> testing and liquid-based cytology in primary screening of women younger than 35 years: results at recruitment for a randomised controlled trial. Lancet Oncol, 2006; 7(7):547-555</w:t>
            </w:r>
          </w:p>
        </w:tc>
      </w:tr>
      <w:tr w:rsidR="00E023D0" w:rsidRPr="00274021" w:rsidTr="004B3488">
        <w:trPr>
          <w:cantSplit/>
        </w:trPr>
        <w:tc>
          <w:tcPr>
            <w:tcW w:w="816" w:type="pct"/>
            <w:vMerge/>
          </w:tcPr>
          <w:p w:rsidR="00E023D0"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rsidRPr="002B0615">
              <w:t xml:space="preserve">Ronco G, Cuzick J, Pierotti P, Cariaggi MP, Dalla Palma P, Naldoni C, Ghiringhello B, Giorgi-Rossi P, Minucci D, Parisio F, Pojer A, Schiboni ML, Sintoni C, Zorzi M, Segnan N, </w:t>
            </w:r>
            <w:proofErr w:type="gramStart"/>
            <w:r w:rsidRPr="002B0615">
              <w:t>Confortini</w:t>
            </w:r>
            <w:proofErr w:type="gramEnd"/>
            <w:r w:rsidRPr="002B0615">
              <w:t xml:space="preserve"> M.</w:t>
            </w:r>
            <w:r>
              <w:t xml:space="preserve"> Accuracy of </w:t>
            </w:r>
            <w:r w:rsidR="005E0D57">
              <w:t>liquid-based</w:t>
            </w:r>
            <w:r>
              <w:t xml:space="preserve"> versus conventional cytology: overall results of new technologies for cervical cancer screening: randomised controlled trial. BMJ, 2007; 335(7609):28. Epub May 21 2007</w:t>
            </w:r>
          </w:p>
        </w:tc>
      </w:tr>
      <w:tr w:rsidR="00E023D0" w:rsidRPr="00274021" w:rsidTr="004B3488">
        <w:trPr>
          <w:cantSplit/>
        </w:trPr>
        <w:tc>
          <w:tcPr>
            <w:tcW w:w="816" w:type="pct"/>
            <w:vMerge/>
          </w:tcPr>
          <w:p w:rsidR="00E023D0"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rsidRPr="008B6046">
              <w:t xml:space="preserve">Giorgi-Rossi P, Segnan N, Zappa M, Naldoni C, Zorzi M, Confortini M, Merito M, Cuzick J, Ronco G; NTCC Working Group. </w:t>
            </w:r>
            <w:r>
              <w:t>The impact of new technologies in cervical cancer screening: results of the recruitment phase of a large randomised controlled trial from a public health perspective. Int J Cancer, 2007; 121(12):2729-2734</w:t>
            </w:r>
          </w:p>
        </w:tc>
      </w:tr>
      <w:tr w:rsidR="00E023D0" w:rsidRPr="00274021" w:rsidTr="004B3488">
        <w:trPr>
          <w:cantSplit/>
        </w:trPr>
        <w:tc>
          <w:tcPr>
            <w:tcW w:w="816" w:type="pct"/>
            <w:vMerge/>
          </w:tcPr>
          <w:p w:rsidR="00E023D0"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rsidRPr="005C52B7">
              <w:t>Dalla Palma P, Giorgi Rossi P, Collina G, Buccoliero AM, Ghiringhello B, Lestani M, Onnis G, Aldovini D, Galanti G, Casadei G, Aldi M, Gomes V, Giubilato P, Ronco G; NTCC Pathology Group.</w:t>
            </w:r>
            <w:r>
              <w:t xml:space="preserve"> 2008 The risk of false-positive histology according to the reason for colposcopy referral in cervical cancer screening: a blind revision of all histologic lesions found in the NTCC trial. Am J Clin Pathol, 2008; 129(1):75-80</w:t>
            </w:r>
          </w:p>
        </w:tc>
      </w:tr>
      <w:tr w:rsidR="00E023D0" w:rsidRPr="00274021" w:rsidTr="004B3488">
        <w:trPr>
          <w:cantSplit/>
        </w:trPr>
        <w:tc>
          <w:tcPr>
            <w:tcW w:w="816" w:type="pct"/>
            <w:vMerge/>
            <w:tcBorders>
              <w:bottom w:val="single" w:sz="4" w:space="0" w:color="auto"/>
            </w:tcBorders>
          </w:tcPr>
          <w:p w:rsidR="00E023D0"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rsidRPr="008B6046">
              <w:t>Confortini M, Bergeron C, Desai M, Negri G, Dalla Palma P, Montanari G, Pellegrini A, Ronco G; New Technologies for Cervical Cancer Screening Study Cytology Group.</w:t>
            </w:r>
            <w:r>
              <w:t xml:space="preserve"> </w:t>
            </w:r>
            <w:r>
              <w:rPr>
                <w:rStyle w:val="highlight"/>
              </w:rPr>
              <w:t>Accuracy</w:t>
            </w:r>
            <w:r>
              <w:t xml:space="preserve"> of </w:t>
            </w:r>
            <w:r>
              <w:rPr>
                <w:rStyle w:val="highlight"/>
              </w:rPr>
              <w:t>liquid</w:t>
            </w:r>
            <w:r>
              <w:t>-</w:t>
            </w:r>
            <w:r>
              <w:rPr>
                <w:rStyle w:val="highlight"/>
              </w:rPr>
              <w:t>based</w:t>
            </w:r>
            <w:r>
              <w:t xml:space="preserve"> </w:t>
            </w:r>
            <w:r>
              <w:rPr>
                <w:rStyle w:val="highlight"/>
              </w:rPr>
              <w:t>cytology</w:t>
            </w:r>
            <w:r>
              <w:t xml:space="preserve">: comparison of the results obtained within a randomized controlled trial (the New Technologies for Cervical </w:t>
            </w:r>
            <w:r>
              <w:rPr>
                <w:rStyle w:val="highlight"/>
              </w:rPr>
              <w:t>Cancer</w:t>
            </w:r>
            <w:r>
              <w:t xml:space="preserve"> Screening Study) and an external group of experts. Cancer Cytopathology, 2010; 118(4):203-208</w:t>
            </w:r>
          </w:p>
        </w:tc>
      </w:tr>
      <w:tr w:rsidR="00E023D0" w:rsidRPr="00274021" w:rsidTr="004B3488">
        <w:trPr>
          <w:cantSplit/>
        </w:trPr>
        <w:tc>
          <w:tcPr>
            <w:tcW w:w="816" w:type="pct"/>
            <w:vMerge w:val="restart"/>
          </w:tcPr>
          <w:p w:rsidR="00E023D0" w:rsidRPr="00274021" w:rsidRDefault="00E023D0" w:rsidP="00E023D0">
            <w:pPr>
              <w:pStyle w:val="Tableheading"/>
              <w:rPr>
                <w:b w:val="0"/>
              </w:rPr>
            </w:pPr>
            <w:r>
              <w:rPr>
                <w:b w:val="0"/>
              </w:rPr>
              <w:t>NETHCON Trial</w:t>
            </w:r>
          </w:p>
        </w:tc>
        <w:tc>
          <w:tcPr>
            <w:tcW w:w="4184" w:type="pct"/>
            <w:tcBorders>
              <w:bottom w:val="single" w:sz="4" w:space="0" w:color="auto"/>
            </w:tcBorders>
          </w:tcPr>
          <w:p w:rsidR="00E023D0" w:rsidRPr="00274021" w:rsidRDefault="00E023D0" w:rsidP="00E023D0">
            <w:pPr>
              <w:pStyle w:val="Tabletext"/>
            </w:pPr>
            <w:r>
              <w:t xml:space="preserve">Siebers AG, Klinkhamer PJ, Arbyn M, Raifu AO, Massuger LF, Bulten J. </w:t>
            </w:r>
            <w:r w:rsidRPr="00577CB3">
              <w:t>Cytologic Detection of Cervical Abnormalities Using Liquid-Based Compared With Conventional Cytology: A Randomized Controlled Trial</w:t>
            </w:r>
            <w:r>
              <w:t>. Obstetrics &amp; Gynecology, 2008; 112(6):1327-1334</w:t>
            </w:r>
          </w:p>
        </w:tc>
      </w:tr>
      <w:tr w:rsidR="00E023D0" w:rsidRPr="00274021" w:rsidTr="004B3488">
        <w:trPr>
          <w:cantSplit/>
        </w:trPr>
        <w:tc>
          <w:tcPr>
            <w:tcW w:w="816" w:type="pct"/>
            <w:vMerge/>
            <w:tcBorders>
              <w:bottom w:val="single" w:sz="4" w:space="0" w:color="auto"/>
            </w:tcBorders>
          </w:tcPr>
          <w:p w:rsidR="00E023D0" w:rsidRPr="00274021" w:rsidRDefault="00E023D0" w:rsidP="00E023D0">
            <w:pPr>
              <w:pStyle w:val="Tableheading"/>
            </w:pPr>
          </w:p>
        </w:tc>
        <w:tc>
          <w:tcPr>
            <w:tcW w:w="4184" w:type="pct"/>
            <w:tcBorders>
              <w:bottom w:val="single" w:sz="4" w:space="0" w:color="auto"/>
            </w:tcBorders>
          </w:tcPr>
          <w:p w:rsidR="00E023D0" w:rsidRPr="00274021" w:rsidRDefault="00E023D0" w:rsidP="00E023D0">
            <w:pPr>
              <w:pStyle w:val="Tabletext"/>
            </w:pPr>
            <w:r>
              <w:t>Siebers AG, Klinkhamer PJ, Grefte JM, Massuger LF, Vedder JE, Beijers-Broos A.</w:t>
            </w:r>
            <w:r w:rsidRPr="00577CB3">
              <w:t xml:space="preserve"> Comparison of liquid-based cytology with conventional cytology for detection of cervical cancer precursors: A randomized controlled trial</w:t>
            </w:r>
            <w:r>
              <w:t>. JAMA 2009, 302(16):1757-1764</w:t>
            </w:r>
          </w:p>
        </w:tc>
      </w:tr>
      <w:tr w:rsidR="00E023D0" w:rsidRPr="00274021" w:rsidTr="004B3488">
        <w:trPr>
          <w:cantSplit/>
        </w:trPr>
        <w:tc>
          <w:tcPr>
            <w:tcW w:w="816" w:type="pct"/>
            <w:tcBorders>
              <w:bottom w:val="single" w:sz="4" w:space="0" w:color="auto"/>
            </w:tcBorders>
          </w:tcPr>
          <w:p w:rsidR="00E023D0" w:rsidRPr="003F10B5" w:rsidRDefault="00E023D0" w:rsidP="00E023D0">
            <w:pPr>
              <w:pStyle w:val="Tableheading"/>
              <w:rPr>
                <w:b w:val="0"/>
              </w:rPr>
            </w:pPr>
            <w:r w:rsidRPr="003F10B5">
              <w:rPr>
                <w:b w:val="0"/>
              </w:rPr>
              <w:lastRenderedPageBreak/>
              <w:t>Strander 2007</w:t>
            </w:r>
          </w:p>
        </w:tc>
        <w:tc>
          <w:tcPr>
            <w:tcW w:w="4184" w:type="pct"/>
            <w:tcBorders>
              <w:bottom w:val="single" w:sz="4" w:space="0" w:color="auto"/>
            </w:tcBorders>
          </w:tcPr>
          <w:p w:rsidR="00E023D0" w:rsidRPr="00274021" w:rsidRDefault="00E023D0" w:rsidP="00E023D0">
            <w:pPr>
              <w:pStyle w:val="Tabletext"/>
            </w:pPr>
            <w:r w:rsidRPr="0040387C">
              <w:t xml:space="preserve">Strander B, Andersson-Ellström A, Milsom I, Rådberg T, Ryd W. Liquid-based cytology versus conventional Papanicolaou smear in an organized screening program : a prospective randomized study. </w:t>
            </w:r>
            <w:r>
              <w:t>Cancer, 2007; 111(5):285-291</w:t>
            </w:r>
          </w:p>
        </w:tc>
      </w:tr>
      <w:tr w:rsidR="00E023D0" w:rsidRPr="00274021" w:rsidTr="004B3488">
        <w:trPr>
          <w:cantSplit/>
        </w:trPr>
        <w:tc>
          <w:tcPr>
            <w:tcW w:w="816" w:type="pct"/>
            <w:tcBorders>
              <w:bottom w:val="single" w:sz="4" w:space="0" w:color="auto"/>
            </w:tcBorders>
          </w:tcPr>
          <w:p w:rsidR="00E023D0" w:rsidRPr="003F10B5" w:rsidRDefault="00E023D0" w:rsidP="00E023D0">
            <w:pPr>
              <w:pStyle w:val="Tableheading"/>
              <w:rPr>
                <w:b w:val="0"/>
              </w:rPr>
            </w:pPr>
            <w:r w:rsidRPr="003F10B5">
              <w:rPr>
                <w:b w:val="0"/>
              </w:rPr>
              <w:t>Maccallini 2008</w:t>
            </w:r>
          </w:p>
        </w:tc>
        <w:tc>
          <w:tcPr>
            <w:tcW w:w="4184" w:type="pct"/>
            <w:tcBorders>
              <w:bottom w:val="single" w:sz="4" w:space="0" w:color="auto"/>
            </w:tcBorders>
          </w:tcPr>
          <w:p w:rsidR="00E023D0" w:rsidRPr="00274021" w:rsidRDefault="00E023D0" w:rsidP="00E023D0">
            <w:pPr>
              <w:pStyle w:val="Tabletext"/>
            </w:pPr>
            <w:r>
              <w:t xml:space="preserve">Maccallini V, Angeloni C, Caraceni D, Fortunato C, Venditti MA, Gabriele G, Antonelli C, Lattanzi A, Puliti D, Ciatto S, Confortini M, Sani C, Zappa M. </w:t>
            </w:r>
            <w:r w:rsidRPr="00E23AB4">
              <w:t>Comparison of the conventional cervical smear and liquid-based cytology: Results of a controlled, prospective study in the Abruzzo Region of Italy</w:t>
            </w:r>
            <w:r>
              <w:t>. Acta Cytologica, 2008; 52(5):568-574</w:t>
            </w:r>
          </w:p>
        </w:tc>
      </w:tr>
      <w:tr w:rsidR="00E023D0" w:rsidRPr="00274021" w:rsidTr="004B3488">
        <w:trPr>
          <w:cantSplit/>
        </w:trPr>
        <w:tc>
          <w:tcPr>
            <w:tcW w:w="816" w:type="pct"/>
            <w:tcBorders>
              <w:bottom w:val="single" w:sz="4" w:space="0" w:color="auto"/>
            </w:tcBorders>
          </w:tcPr>
          <w:p w:rsidR="00E023D0" w:rsidRPr="003F10B5" w:rsidRDefault="00E023D0" w:rsidP="00E023D0">
            <w:pPr>
              <w:pStyle w:val="Tableheading"/>
              <w:rPr>
                <w:b w:val="0"/>
              </w:rPr>
            </w:pPr>
            <w:r w:rsidRPr="003F10B5">
              <w:rPr>
                <w:b w:val="0"/>
              </w:rPr>
              <w:t>Obwegeser 2001</w:t>
            </w:r>
          </w:p>
        </w:tc>
        <w:tc>
          <w:tcPr>
            <w:tcW w:w="4184" w:type="pct"/>
            <w:tcBorders>
              <w:bottom w:val="single" w:sz="4" w:space="0" w:color="auto"/>
            </w:tcBorders>
          </w:tcPr>
          <w:p w:rsidR="00E023D0" w:rsidRPr="00274021" w:rsidRDefault="00E023D0" w:rsidP="00E023D0">
            <w:pPr>
              <w:pStyle w:val="Tabletext"/>
            </w:pPr>
            <w:r>
              <w:t xml:space="preserve">Obwegeser JH, Brack S. </w:t>
            </w:r>
            <w:r w:rsidRPr="00E23AB4">
              <w:t>Does liquid-based technology really improve detection of Cervical neoplasia?</w:t>
            </w:r>
            <w:r>
              <w:t xml:space="preserve"> A Prospective, Randomized Trial Comparing g the ThinPrep Pap Test with the Conventional Pap Test, Including Follow-up of HSIL cases. Acta Cytologica, 2001; 45(5):709-714</w:t>
            </w:r>
          </w:p>
        </w:tc>
      </w:tr>
      <w:tr w:rsidR="00E023D0" w:rsidRPr="00274021" w:rsidTr="004B3488">
        <w:trPr>
          <w:cantSplit/>
        </w:trPr>
        <w:tc>
          <w:tcPr>
            <w:tcW w:w="816" w:type="pct"/>
            <w:vMerge w:val="restart"/>
          </w:tcPr>
          <w:p w:rsidR="00E023D0" w:rsidRPr="003F10B5" w:rsidRDefault="00E023D0" w:rsidP="00E023D0">
            <w:pPr>
              <w:pStyle w:val="Tableheading"/>
              <w:rPr>
                <w:b w:val="0"/>
              </w:rPr>
            </w:pPr>
            <w:r>
              <w:rPr>
                <w:b w:val="0"/>
              </w:rPr>
              <w:t>RHINE-SAAR</w:t>
            </w:r>
            <w:r w:rsidR="000B208B">
              <w:rPr>
                <w:b w:val="0"/>
              </w:rPr>
              <w:t xml:space="preserve"> S</w:t>
            </w:r>
            <w:r w:rsidRPr="003F10B5">
              <w:rPr>
                <w:b w:val="0"/>
              </w:rPr>
              <w:t>tudy</w:t>
            </w:r>
          </w:p>
        </w:tc>
        <w:tc>
          <w:tcPr>
            <w:tcW w:w="4184" w:type="pct"/>
            <w:tcBorders>
              <w:bottom w:val="single" w:sz="4" w:space="0" w:color="auto"/>
            </w:tcBorders>
          </w:tcPr>
          <w:p w:rsidR="00E023D0" w:rsidRPr="00274021" w:rsidRDefault="00E023D0" w:rsidP="00E023D0">
            <w:pPr>
              <w:pStyle w:val="Tabletext"/>
            </w:pPr>
            <w:r>
              <w:t>Ikenberg H, Harlfinger W, Neis K, Konig J, Klug S. A Randomized Trial Comparing Conventional Cytology to Liquid-Based Cytology with Computer-Assistance: Results of the RHINE-SAAR Study. Journal of Cytopathology, 2011; 22(Suppl. 1):55-183</w:t>
            </w:r>
          </w:p>
        </w:tc>
      </w:tr>
      <w:tr w:rsidR="00E023D0" w:rsidRPr="00274021" w:rsidTr="004B3488">
        <w:trPr>
          <w:cantSplit/>
        </w:trPr>
        <w:tc>
          <w:tcPr>
            <w:tcW w:w="816" w:type="pct"/>
            <w:vMerge/>
          </w:tcPr>
          <w:p w:rsidR="00E023D0" w:rsidRPr="003F10B5"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t>Ikenberg H, Harlfinger W, Neis K, Jordan B, Konig J, Klug S. A Randomized Trial Comparing Conventional Cytology to Liquid-Based Cytology with Computer-Assistance: Results of the RHINE-SAAR Study</w:t>
            </w:r>
            <w:r w:rsidRPr="005C52B7">
              <w:t xml:space="preserve"> EUROGIN 2011Co</w:t>
            </w:r>
            <w:r w:rsidR="00F0384C">
              <w:t>ngress, held in Lisbon, May 8–</w:t>
            </w:r>
            <w:r w:rsidRPr="005C52B7">
              <w:t>11, 2011</w:t>
            </w:r>
          </w:p>
        </w:tc>
      </w:tr>
      <w:tr w:rsidR="00E023D0" w:rsidRPr="00274021" w:rsidTr="004B3488">
        <w:trPr>
          <w:cantSplit/>
        </w:trPr>
        <w:tc>
          <w:tcPr>
            <w:tcW w:w="816" w:type="pct"/>
            <w:vMerge/>
          </w:tcPr>
          <w:p w:rsidR="00E023D0" w:rsidRPr="003F10B5"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t xml:space="preserve">Ikenberg H, Klug S, Jordan B, Spieth S, Harlfinger W, </w:t>
            </w:r>
            <w:proofErr w:type="gramStart"/>
            <w:r>
              <w:t>Neis</w:t>
            </w:r>
            <w:proofErr w:type="gramEnd"/>
            <w:r>
              <w:t xml:space="preserve"> K. Results of the Randomized German RHINE-SAAR Study: The ThinPrep Imaging System is Superior to Conventional Cytology. </w:t>
            </w:r>
            <w:r w:rsidRPr="005C52B7">
              <w:t>EUROGIN 2010 Con</w:t>
            </w:r>
            <w:r w:rsidR="00F0384C">
              <w:t xml:space="preserve">gress, held in Monte Carlo, 17–20 February </w:t>
            </w:r>
            <w:r w:rsidRPr="005C52B7">
              <w:t>2010</w:t>
            </w:r>
          </w:p>
        </w:tc>
      </w:tr>
      <w:tr w:rsidR="00E023D0" w:rsidRPr="00274021" w:rsidTr="004B3488">
        <w:trPr>
          <w:cantSplit/>
        </w:trPr>
        <w:tc>
          <w:tcPr>
            <w:tcW w:w="816" w:type="pct"/>
            <w:vMerge/>
          </w:tcPr>
          <w:p w:rsidR="00E023D0" w:rsidRPr="003F10B5"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t xml:space="preserve">Ikenberg H. Results of the RHINE-SAAR Study, a Randomized Trial Comparing Conventional Cytology with Thinlayer cytology and Computer-Assistance. </w:t>
            </w:r>
            <w:r w:rsidRPr="005C52B7">
              <w:t>5th European Congress of the European Federation for Colpos</w:t>
            </w:r>
            <w:r w:rsidR="00F0384C">
              <w:t>copy and Cervical Pathology, 27–</w:t>
            </w:r>
            <w:r w:rsidRPr="005C52B7">
              <w:t>29 May 2010</w:t>
            </w:r>
          </w:p>
        </w:tc>
      </w:tr>
      <w:tr w:rsidR="00E023D0" w:rsidRPr="00274021" w:rsidTr="004B3488">
        <w:trPr>
          <w:cantSplit/>
        </w:trPr>
        <w:tc>
          <w:tcPr>
            <w:tcW w:w="816" w:type="pct"/>
            <w:vMerge/>
            <w:tcBorders>
              <w:bottom w:val="single" w:sz="4" w:space="0" w:color="auto"/>
            </w:tcBorders>
          </w:tcPr>
          <w:p w:rsidR="00E023D0" w:rsidRPr="003F10B5" w:rsidRDefault="00E023D0" w:rsidP="00E023D0">
            <w:pPr>
              <w:pStyle w:val="Tableheading"/>
              <w:rPr>
                <w:b w:val="0"/>
              </w:rPr>
            </w:pPr>
          </w:p>
        </w:tc>
        <w:tc>
          <w:tcPr>
            <w:tcW w:w="4184" w:type="pct"/>
            <w:tcBorders>
              <w:bottom w:val="single" w:sz="4" w:space="0" w:color="auto"/>
            </w:tcBorders>
          </w:tcPr>
          <w:p w:rsidR="00E023D0" w:rsidRPr="00274021" w:rsidRDefault="00E023D0" w:rsidP="00E023D0">
            <w:pPr>
              <w:pStyle w:val="Tabletext"/>
            </w:pPr>
            <w:r>
              <w:t xml:space="preserve">Ikenberg H, Klug S, Jordan B, Harlfinger W, Malter A, Brinkmann-Smetanay, Konig J, Neis K. Results of the RHIN-SAAR Study: A Randomized Trial Comparing Conventional Cytology to Thinlayer Cytology with the ThinPrep Imaging System. </w:t>
            </w:r>
            <w:r w:rsidRPr="005C52B7">
              <w:t>Acta cyt</w:t>
            </w:r>
            <w:r w:rsidR="00F0384C">
              <w:t>ologica V54 N3 (supplement) May–</w:t>
            </w:r>
            <w:r w:rsidRPr="005C52B7">
              <w:t>June 2010</w:t>
            </w:r>
          </w:p>
        </w:tc>
      </w:tr>
      <w:tr w:rsidR="00E023D0" w:rsidRPr="00274021" w:rsidTr="004B3488">
        <w:trPr>
          <w:cantSplit/>
        </w:trPr>
        <w:tc>
          <w:tcPr>
            <w:tcW w:w="5000" w:type="pct"/>
            <w:gridSpan w:val="2"/>
            <w:tcBorders>
              <w:bottom w:val="single" w:sz="4" w:space="0" w:color="auto"/>
            </w:tcBorders>
            <w:shd w:val="clear" w:color="auto" w:fill="F2F2F2"/>
          </w:tcPr>
          <w:p w:rsidR="00E023D0" w:rsidRPr="00274021" w:rsidRDefault="000B208B" w:rsidP="00E023D0">
            <w:pPr>
              <w:pStyle w:val="Tabletext"/>
              <w:rPr>
                <w:b/>
              </w:rPr>
            </w:pPr>
            <w:r>
              <w:rPr>
                <w:b/>
              </w:rPr>
              <w:t>Manual versus automated c</w:t>
            </w:r>
            <w:r w:rsidR="00E023D0">
              <w:rPr>
                <w:b/>
              </w:rPr>
              <w:t>ytology</w:t>
            </w:r>
          </w:p>
        </w:tc>
      </w:tr>
      <w:tr w:rsidR="00E023D0" w:rsidRPr="00274021" w:rsidTr="004B3488">
        <w:trPr>
          <w:cantSplit/>
        </w:trPr>
        <w:tc>
          <w:tcPr>
            <w:tcW w:w="816" w:type="pct"/>
            <w:vMerge w:val="restart"/>
          </w:tcPr>
          <w:p w:rsidR="00E023D0" w:rsidRPr="00274021" w:rsidRDefault="00E023D0" w:rsidP="00E023D0">
            <w:pPr>
              <w:pStyle w:val="Tableheading"/>
              <w:rPr>
                <w:b w:val="0"/>
              </w:rPr>
            </w:pPr>
            <w:r>
              <w:rPr>
                <w:b w:val="0"/>
              </w:rPr>
              <w:t>MAVARIC Study</w:t>
            </w:r>
          </w:p>
        </w:tc>
        <w:tc>
          <w:tcPr>
            <w:tcW w:w="4184" w:type="pct"/>
            <w:tcBorders>
              <w:bottom w:val="single" w:sz="4" w:space="0" w:color="auto"/>
            </w:tcBorders>
          </w:tcPr>
          <w:p w:rsidR="00E023D0" w:rsidRPr="00274021" w:rsidRDefault="00E023D0" w:rsidP="00E023D0">
            <w:pPr>
              <w:pStyle w:val="Tabletext"/>
            </w:pPr>
            <w:r>
              <w:t xml:space="preserve">Kitchener HC, Blanks R, Dunn G, Gunn L, Desai M, Albrow R, Mather J, Rana D, Cubie H, Moore C, Legood R, Gray A, Moss S. </w:t>
            </w:r>
            <w:r w:rsidRPr="00324800">
              <w:t>Automation-assisted versus manual reading of cervical cytology (MAVARIC): A randomised controlled trial</w:t>
            </w:r>
            <w:r>
              <w:t>. Lancet Oncol 2011; 12:56-64</w:t>
            </w:r>
          </w:p>
        </w:tc>
      </w:tr>
      <w:tr w:rsidR="00E023D0" w:rsidRPr="00274021" w:rsidTr="004B3488">
        <w:trPr>
          <w:cantSplit/>
        </w:trPr>
        <w:tc>
          <w:tcPr>
            <w:tcW w:w="816" w:type="pct"/>
            <w:vMerge/>
          </w:tcPr>
          <w:p w:rsidR="00E023D0" w:rsidRPr="00274021" w:rsidRDefault="00E023D0" w:rsidP="00E023D0">
            <w:pPr>
              <w:pStyle w:val="Tableheading"/>
              <w:rPr>
                <w:b w:val="0"/>
              </w:rPr>
            </w:pPr>
          </w:p>
        </w:tc>
        <w:tc>
          <w:tcPr>
            <w:tcW w:w="4184" w:type="pct"/>
          </w:tcPr>
          <w:p w:rsidR="00E023D0" w:rsidRPr="00274021" w:rsidRDefault="00E023D0" w:rsidP="00E023D0">
            <w:pPr>
              <w:pStyle w:val="Tabletext"/>
            </w:pPr>
            <w:r>
              <w:t xml:space="preserve">Kitchener HC, Blanks R, Cubie H, Desai M, Dunn G, Legood R, Gray A, Sadique Z, Moss S. </w:t>
            </w:r>
            <w:r w:rsidRPr="00324800">
              <w:t>Automation-assisted versus manual reading of cervical cytology (MAVARIC): A randomised controlled trial</w:t>
            </w:r>
            <w:r>
              <w:t xml:space="preserve">. </w:t>
            </w:r>
            <w:r w:rsidRPr="00324800">
              <w:t>Health Technology Assessment 2011; Vol. 15: No. 3</w:t>
            </w:r>
          </w:p>
        </w:tc>
      </w:tr>
      <w:tr w:rsidR="00E023D0" w:rsidRPr="00274021" w:rsidTr="004B3488">
        <w:trPr>
          <w:cantSplit/>
        </w:trPr>
        <w:tc>
          <w:tcPr>
            <w:tcW w:w="816" w:type="pct"/>
          </w:tcPr>
          <w:p w:rsidR="00E023D0" w:rsidRPr="00274021" w:rsidRDefault="00E023D0" w:rsidP="00E023D0">
            <w:pPr>
              <w:pStyle w:val="Tableheading"/>
              <w:rPr>
                <w:b w:val="0"/>
              </w:rPr>
            </w:pPr>
            <w:r>
              <w:rPr>
                <w:b w:val="0"/>
              </w:rPr>
              <w:t>Palmer 2012</w:t>
            </w:r>
          </w:p>
        </w:tc>
        <w:tc>
          <w:tcPr>
            <w:tcW w:w="4184" w:type="pct"/>
          </w:tcPr>
          <w:p w:rsidR="00E023D0" w:rsidRPr="00274021" w:rsidRDefault="00E023D0" w:rsidP="00E023D0">
            <w:pPr>
              <w:pStyle w:val="Tabletext"/>
            </w:pPr>
            <w:r>
              <w:t xml:space="preserve">Palmer TJ, Nicoll SM, McKean ME, Park AJ, Bishop D, Baker L, Imrie JEA. </w:t>
            </w:r>
            <w:r w:rsidRPr="00324800">
              <w:t xml:space="preserve">Prospective parallel randomized trial of the </w:t>
            </w:r>
            <w:r w:rsidR="006A37B2">
              <w:t>MultiCyte™ ThinPrep®</w:t>
            </w:r>
            <w:r w:rsidRPr="00324800">
              <w:t xml:space="preserve"> imaging system: The Scottish experience</w:t>
            </w:r>
            <w:r>
              <w:t xml:space="preserve">. </w:t>
            </w:r>
            <w:r w:rsidRPr="00B810D4">
              <w:t xml:space="preserve">Cytopathology. 2012 May 22. </w:t>
            </w:r>
            <w:proofErr w:type="gramStart"/>
            <w:r w:rsidRPr="00B810D4">
              <w:t>doi</w:t>
            </w:r>
            <w:proofErr w:type="gramEnd"/>
            <w:r w:rsidRPr="00B810D4">
              <w:t>: 10.1111/j.1365-2303.2012.00982.x. [Epub ahead of print]</w:t>
            </w:r>
          </w:p>
        </w:tc>
      </w:tr>
    </w:tbl>
    <w:p w:rsidR="00E023D0" w:rsidRPr="00274021" w:rsidRDefault="00E023D0" w:rsidP="00E023D0"/>
    <w:p w:rsidR="00E023D0" w:rsidRDefault="00E023D0" w:rsidP="00E023D0">
      <w:pPr>
        <w:pStyle w:val="Heading40"/>
      </w:pPr>
      <w:r>
        <w:t xml:space="preserve">Systematic reviews/meta-analyses  </w:t>
      </w:r>
    </w:p>
    <w:p w:rsidR="00E023D0" w:rsidRDefault="000B208B" w:rsidP="00E023D0">
      <w:r>
        <w:t>C</w:t>
      </w:r>
      <w:r w:rsidR="00E023D0">
        <w:t>itation deta</w:t>
      </w:r>
      <w:r>
        <w:t xml:space="preserve">ils of the systematic reviews, five full publications and one abstract that were </w:t>
      </w:r>
      <w:r w:rsidR="00E023D0">
        <w:t xml:space="preserve"> identified in the literature search</w:t>
      </w:r>
      <w:r>
        <w:t>, and one</w:t>
      </w:r>
      <w:r w:rsidR="00E023D0">
        <w:t xml:space="preserve"> publication identified from the sponsor’s database</w:t>
      </w:r>
      <w:r>
        <w:t>, are provided (</w:t>
      </w:r>
      <w:r w:rsidR="00086C77">
        <w:fldChar w:fldCharType="begin"/>
      </w:r>
      <w:r>
        <w:instrText xml:space="preserve"> REF _Ref334101495 \h </w:instrText>
      </w:r>
      <w:r w:rsidR="00086C77">
        <w:fldChar w:fldCharType="separate"/>
      </w:r>
      <w:r w:rsidR="003361A8">
        <w:t xml:space="preserve">Table </w:t>
      </w:r>
      <w:r w:rsidR="003361A8">
        <w:rPr>
          <w:noProof/>
        </w:rPr>
        <w:t>10</w:t>
      </w:r>
      <w:r w:rsidR="00086C77">
        <w:fldChar w:fldCharType="end"/>
      </w:r>
      <w:r>
        <w:t>)</w:t>
      </w:r>
      <w:r w:rsidR="00E023D0">
        <w:t>. More rece</w:t>
      </w:r>
      <w:r w:rsidR="00D71DDE">
        <w:t>nt and higher level evidence is</w:t>
      </w:r>
      <w:r w:rsidR="00E023D0">
        <w:t xml:space="preserve"> available from the direct randomised trials identified in the literature search, and on this basis</w:t>
      </w:r>
      <w:r>
        <w:t>,</w:t>
      </w:r>
      <w:r w:rsidR="00E023D0">
        <w:t xml:space="preserve"> these systematic reviews and meta-analyses were excluded from the submission. </w:t>
      </w:r>
    </w:p>
    <w:p w:rsidR="00E023D0" w:rsidRPr="00274021" w:rsidRDefault="00E023D0" w:rsidP="00E023D0">
      <w:pPr>
        <w:pStyle w:val="Caption"/>
      </w:pPr>
      <w:bookmarkStart w:id="116" w:name="_Ref334101495"/>
      <w:bookmarkStart w:id="117" w:name="_Toc312340196"/>
      <w:bookmarkStart w:id="118" w:name="_Toc316368181"/>
      <w:bookmarkStart w:id="119" w:name="_Toc335665976"/>
      <w:bookmarkStart w:id="120" w:name="_Toc337546947"/>
      <w:r>
        <w:lastRenderedPageBreak/>
        <w:t xml:space="preserve">Table </w:t>
      </w:r>
      <w:fldSimple w:instr=" SEQ Table \* ARABIC ">
        <w:r w:rsidR="003361A8">
          <w:rPr>
            <w:noProof/>
          </w:rPr>
          <w:t>10</w:t>
        </w:r>
      </w:fldSimple>
      <w:bookmarkEnd w:id="116"/>
      <w:r w:rsidR="000B208B">
        <w:tab/>
        <w:t>Meta-analyses and systematic r</w:t>
      </w:r>
      <w:r w:rsidRPr="00274021">
        <w:t xml:space="preserve">eviews of </w:t>
      </w:r>
      <w:bookmarkEnd w:id="117"/>
      <w:bookmarkEnd w:id="118"/>
      <w:r>
        <w:t>cervical cancer screening methodologies</w:t>
      </w:r>
      <w:bookmarkEnd w:id="119"/>
      <w:bookmarkEnd w:id="12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5483"/>
        <w:gridCol w:w="2075"/>
      </w:tblGrid>
      <w:tr w:rsidR="00E023D0" w:rsidRPr="00274021" w:rsidTr="000B208B">
        <w:tc>
          <w:tcPr>
            <w:tcW w:w="803" w:type="pct"/>
            <w:shd w:val="clear" w:color="auto" w:fill="auto"/>
          </w:tcPr>
          <w:p w:rsidR="00E023D0" w:rsidRPr="00274021" w:rsidRDefault="00E023D0" w:rsidP="00E023D0">
            <w:pPr>
              <w:pStyle w:val="Tableheading"/>
            </w:pPr>
            <w:r w:rsidRPr="00274021">
              <w:t>Author (year)</w:t>
            </w:r>
          </w:p>
        </w:tc>
        <w:tc>
          <w:tcPr>
            <w:tcW w:w="3045" w:type="pct"/>
            <w:shd w:val="clear" w:color="auto" w:fill="auto"/>
          </w:tcPr>
          <w:p w:rsidR="00E023D0" w:rsidRPr="00274021" w:rsidRDefault="00E023D0" w:rsidP="00E023D0">
            <w:pPr>
              <w:pStyle w:val="Tableheading"/>
            </w:pPr>
            <w:r w:rsidRPr="00274021">
              <w:t>Citation</w:t>
            </w:r>
          </w:p>
        </w:tc>
        <w:tc>
          <w:tcPr>
            <w:tcW w:w="1152" w:type="pct"/>
            <w:shd w:val="clear" w:color="auto" w:fill="auto"/>
          </w:tcPr>
          <w:p w:rsidR="00E023D0" w:rsidRPr="00274021" w:rsidRDefault="00E023D0" w:rsidP="00E023D0">
            <w:pPr>
              <w:pStyle w:val="Tableheading"/>
            </w:pPr>
            <w:r w:rsidRPr="00274021">
              <w:t>Type of study</w:t>
            </w:r>
          </w:p>
        </w:tc>
      </w:tr>
      <w:tr w:rsidR="00E023D0" w:rsidRPr="00274021" w:rsidTr="000B208B">
        <w:tc>
          <w:tcPr>
            <w:tcW w:w="803" w:type="pct"/>
            <w:shd w:val="clear" w:color="auto" w:fill="auto"/>
          </w:tcPr>
          <w:p w:rsidR="00E023D0" w:rsidRDefault="00E023D0" w:rsidP="00E023D0">
            <w:pPr>
              <w:pStyle w:val="Tabletext"/>
            </w:pPr>
            <w:r>
              <w:t>Arbyn</w:t>
            </w:r>
            <w:r w:rsidR="000B208B">
              <w:t xml:space="preserve"> (2008)</w:t>
            </w:r>
          </w:p>
        </w:tc>
        <w:tc>
          <w:tcPr>
            <w:tcW w:w="3045" w:type="pct"/>
            <w:shd w:val="clear" w:color="auto" w:fill="auto"/>
          </w:tcPr>
          <w:p w:rsidR="00E023D0" w:rsidRPr="00274021" w:rsidRDefault="000B208B" w:rsidP="00E023D0">
            <w:pPr>
              <w:pStyle w:val="Tabletext"/>
            </w:pPr>
            <w:r>
              <w:t xml:space="preserve">Arbyn M, Bergeron C, Klinkhamer P, Martin-Hirsch P, Siebers AG, Bulten </w:t>
            </w:r>
            <w:r w:rsidR="00E023D0" w:rsidRPr="00475EDB">
              <w:t>J.</w:t>
            </w:r>
            <w:r w:rsidR="00E023D0">
              <w:t xml:space="preserve"> L</w:t>
            </w:r>
            <w:r w:rsidR="00E023D0" w:rsidRPr="00475EDB">
              <w:t>iquid compared with conventional cervical cytology: A systematic review and meta-analysis</w:t>
            </w:r>
            <w:r w:rsidR="00E023D0">
              <w:t>. Obstetrics a</w:t>
            </w:r>
            <w:r w:rsidR="006A37B2">
              <w:t>nd Gynecology 2008, 111(1):167–</w:t>
            </w:r>
            <w:r w:rsidR="00E023D0">
              <w:t>77</w:t>
            </w:r>
          </w:p>
        </w:tc>
        <w:tc>
          <w:tcPr>
            <w:tcW w:w="1152" w:type="pct"/>
            <w:shd w:val="clear" w:color="auto" w:fill="auto"/>
          </w:tcPr>
          <w:p w:rsidR="00E023D0" w:rsidRPr="00274021" w:rsidRDefault="00E023D0" w:rsidP="00E023D0">
            <w:pPr>
              <w:pStyle w:val="Tabletext"/>
            </w:pPr>
            <w:r>
              <w:t>Systematic review and meta-analysis</w:t>
            </w:r>
          </w:p>
        </w:tc>
      </w:tr>
      <w:tr w:rsidR="00E023D0" w:rsidRPr="00274021" w:rsidTr="000B208B">
        <w:tc>
          <w:tcPr>
            <w:tcW w:w="803" w:type="pct"/>
            <w:shd w:val="clear" w:color="auto" w:fill="auto"/>
          </w:tcPr>
          <w:p w:rsidR="00E023D0" w:rsidRPr="00274021" w:rsidRDefault="00E023D0" w:rsidP="00E023D0">
            <w:pPr>
              <w:pStyle w:val="Tabletext"/>
            </w:pPr>
            <w:r>
              <w:t>Canfell</w:t>
            </w:r>
            <w:r w:rsidR="000B208B">
              <w:t xml:space="preserve"> (2008)</w:t>
            </w:r>
          </w:p>
        </w:tc>
        <w:tc>
          <w:tcPr>
            <w:tcW w:w="3045" w:type="pct"/>
            <w:shd w:val="clear" w:color="auto" w:fill="auto"/>
          </w:tcPr>
          <w:p w:rsidR="00E023D0" w:rsidRPr="00274021" w:rsidRDefault="000B208B" w:rsidP="00E023D0">
            <w:pPr>
              <w:pStyle w:val="Tabletext"/>
            </w:pPr>
            <w:r>
              <w:t>Canfell K,</w:t>
            </w:r>
            <w:r w:rsidR="00E023D0" w:rsidRPr="00475EDB">
              <w:t xml:space="preserve"> </w:t>
            </w:r>
            <w:r>
              <w:t xml:space="preserve">Yoon JK, Clements M, Moa AM, Beral </w:t>
            </w:r>
            <w:r w:rsidR="00E023D0" w:rsidRPr="00475EDB">
              <w:t>V. Normal endometrial cells in cervical cytology: Systematic review of prevalence and relation to significant endometrial pathology</w:t>
            </w:r>
            <w:r w:rsidR="00E023D0">
              <w:t>. Journal of Med</w:t>
            </w:r>
            <w:r w:rsidR="006A37B2">
              <w:t>ical Screening 2008, 15(4):188–</w:t>
            </w:r>
            <w:r w:rsidR="00E023D0">
              <w:t>98</w:t>
            </w:r>
          </w:p>
        </w:tc>
        <w:tc>
          <w:tcPr>
            <w:tcW w:w="1152" w:type="pct"/>
            <w:shd w:val="clear" w:color="auto" w:fill="auto"/>
          </w:tcPr>
          <w:p w:rsidR="00E023D0" w:rsidRPr="00274021" w:rsidRDefault="00E023D0" w:rsidP="00E023D0">
            <w:pPr>
              <w:pStyle w:val="Tabletext"/>
            </w:pPr>
            <w:r>
              <w:t>Systematic review and meta-analysis</w:t>
            </w:r>
          </w:p>
        </w:tc>
      </w:tr>
      <w:tr w:rsidR="00E023D0" w:rsidRPr="00274021" w:rsidTr="000B208B">
        <w:tc>
          <w:tcPr>
            <w:tcW w:w="803" w:type="pct"/>
            <w:shd w:val="clear" w:color="auto" w:fill="auto"/>
          </w:tcPr>
          <w:p w:rsidR="00E023D0" w:rsidRDefault="00E023D0" w:rsidP="00E023D0">
            <w:pPr>
              <w:pStyle w:val="Tabletext"/>
            </w:pPr>
            <w:r>
              <w:t>Castle</w:t>
            </w:r>
            <w:r w:rsidR="000B208B">
              <w:t xml:space="preserve"> (2010)</w:t>
            </w:r>
          </w:p>
        </w:tc>
        <w:tc>
          <w:tcPr>
            <w:tcW w:w="3045" w:type="pct"/>
            <w:shd w:val="clear" w:color="auto" w:fill="auto"/>
          </w:tcPr>
          <w:p w:rsidR="00E023D0" w:rsidRPr="00475EDB" w:rsidRDefault="000B208B" w:rsidP="00E023D0">
            <w:pPr>
              <w:pStyle w:val="Tabletext"/>
            </w:pPr>
            <w:r>
              <w:t xml:space="preserve">Castle PE, Bulten J, Confortini M, Klinkhamer P, Pellegrini A, Siebers A, Ronco G, Arbyn </w:t>
            </w:r>
            <w:r w:rsidR="00E023D0" w:rsidRPr="00475EDB">
              <w:t>M. Age-specific patterns of unsatisfactory results for conventional Pap smears and liquid-based cytology: Data from two randomised clinical trials</w:t>
            </w:r>
            <w:r w:rsidR="00E023D0">
              <w:t xml:space="preserve">. BJOG: An international Journal of Obstetrics and </w:t>
            </w:r>
            <w:r w:rsidR="006A37B2">
              <w:t>Gynaecology 2010, 117(9):1067–</w:t>
            </w:r>
            <w:r w:rsidR="00E023D0">
              <w:t>73</w:t>
            </w:r>
          </w:p>
        </w:tc>
        <w:tc>
          <w:tcPr>
            <w:tcW w:w="1152" w:type="pct"/>
            <w:shd w:val="clear" w:color="auto" w:fill="auto"/>
          </w:tcPr>
          <w:p w:rsidR="00E023D0" w:rsidRDefault="00E023D0" w:rsidP="00E023D0">
            <w:pPr>
              <w:pStyle w:val="Tabletext"/>
            </w:pPr>
            <w:r>
              <w:t>Meta-analysis</w:t>
            </w:r>
          </w:p>
        </w:tc>
      </w:tr>
      <w:tr w:rsidR="00E023D0" w:rsidRPr="00274021" w:rsidTr="000B208B">
        <w:tc>
          <w:tcPr>
            <w:tcW w:w="803" w:type="pct"/>
            <w:shd w:val="clear" w:color="auto" w:fill="auto"/>
          </w:tcPr>
          <w:p w:rsidR="00E023D0" w:rsidRDefault="00E023D0" w:rsidP="00E023D0">
            <w:pPr>
              <w:pStyle w:val="Tabletext"/>
            </w:pPr>
            <w:r>
              <w:t>Fontaine</w:t>
            </w:r>
            <w:r w:rsidR="000B208B">
              <w:t xml:space="preserve"> (2012)</w:t>
            </w:r>
          </w:p>
        </w:tc>
        <w:tc>
          <w:tcPr>
            <w:tcW w:w="3045" w:type="pct"/>
            <w:shd w:val="clear" w:color="auto" w:fill="auto"/>
          </w:tcPr>
          <w:p w:rsidR="00E023D0" w:rsidRPr="00475EDB" w:rsidRDefault="000B208B" w:rsidP="00E023D0">
            <w:pPr>
              <w:pStyle w:val="Tabletext"/>
            </w:pPr>
            <w:r>
              <w:t xml:space="preserve">Fontaine D, Narine N, Naugler </w:t>
            </w:r>
            <w:r w:rsidR="00E023D0" w:rsidRPr="00475EDB">
              <w:t>C. Unsatisfactory rates vary between cervical cytology samples prepared using ThinPrep and SurePath platforms: A review and meta-analysis</w:t>
            </w:r>
            <w:r w:rsidR="00E023D0">
              <w:t>. BMJ Open 2012 2(2)</w:t>
            </w:r>
          </w:p>
        </w:tc>
        <w:tc>
          <w:tcPr>
            <w:tcW w:w="1152" w:type="pct"/>
            <w:shd w:val="clear" w:color="auto" w:fill="auto"/>
          </w:tcPr>
          <w:p w:rsidR="00E023D0" w:rsidRDefault="00E023D0" w:rsidP="00E023D0">
            <w:pPr>
              <w:pStyle w:val="Tabletext"/>
            </w:pPr>
            <w:r>
              <w:t>Systematic review and meta-analysis</w:t>
            </w:r>
          </w:p>
        </w:tc>
      </w:tr>
      <w:tr w:rsidR="00E023D0" w:rsidRPr="00274021" w:rsidTr="000B208B">
        <w:tc>
          <w:tcPr>
            <w:tcW w:w="803" w:type="pct"/>
            <w:shd w:val="clear" w:color="auto" w:fill="auto"/>
          </w:tcPr>
          <w:p w:rsidR="00E023D0" w:rsidRDefault="00E023D0" w:rsidP="00E023D0">
            <w:pPr>
              <w:pStyle w:val="Tabletext"/>
            </w:pPr>
            <w:r>
              <w:t xml:space="preserve">Klinkhammer </w:t>
            </w:r>
            <w:r w:rsidR="000B208B">
              <w:t>(2003)</w:t>
            </w:r>
          </w:p>
        </w:tc>
        <w:tc>
          <w:tcPr>
            <w:tcW w:w="3045" w:type="pct"/>
            <w:shd w:val="clear" w:color="auto" w:fill="auto"/>
          </w:tcPr>
          <w:p w:rsidR="00E023D0" w:rsidRPr="00475EDB" w:rsidRDefault="00E023D0" w:rsidP="00E023D0">
            <w:pPr>
              <w:pStyle w:val="Tabletext"/>
            </w:pPr>
            <w:r>
              <w:t xml:space="preserve">Klinkhammer P, Meerding W, Rosier P, Hanselaar A. Liquid-based cervical cytology. A review of the literature with </w:t>
            </w:r>
            <w:r w:rsidR="00140CA4">
              <w:t>Methods</w:t>
            </w:r>
            <w:r>
              <w:t xml:space="preserve"> of Evidence-Based Medicine. Cancer (Cancer </w:t>
            </w:r>
            <w:r w:rsidR="006A37B2">
              <w:t>Cytopathology) 2003, 99(5):263–</w:t>
            </w:r>
            <w:r>
              <w:t>71</w:t>
            </w:r>
          </w:p>
        </w:tc>
        <w:tc>
          <w:tcPr>
            <w:tcW w:w="1152" w:type="pct"/>
            <w:shd w:val="clear" w:color="auto" w:fill="auto"/>
          </w:tcPr>
          <w:p w:rsidR="00E023D0" w:rsidRDefault="00E023D0" w:rsidP="00E023D0">
            <w:pPr>
              <w:pStyle w:val="Tabletext"/>
            </w:pPr>
            <w:r>
              <w:t>Systematic review</w:t>
            </w:r>
          </w:p>
        </w:tc>
      </w:tr>
      <w:tr w:rsidR="00E023D0" w:rsidRPr="00274021" w:rsidTr="000B208B">
        <w:tc>
          <w:tcPr>
            <w:tcW w:w="803" w:type="pct"/>
            <w:vMerge w:val="restart"/>
            <w:shd w:val="clear" w:color="auto" w:fill="auto"/>
          </w:tcPr>
          <w:p w:rsidR="00E023D0" w:rsidRDefault="00E023D0" w:rsidP="00E023D0">
            <w:pPr>
              <w:pStyle w:val="Tabletext"/>
            </w:pPr>
            <w:r>
              <w:t>Li</w:t>
            </w:r>
            <w:r w:rsidR="0088323A">
              <w:t xml:space="preserve"> (2011, 2011a)</w:t>
            </w:r>
          </w:p>
        </w:tc>
        <w:tc>
          <w:tcPr>
            <w:tcW w:w="3045" w:type="pct"/>
            <w:shd w:val="clear" w:color="auto" w:fill="auto"/>
          </w:tcPr>
          <w:p w:rsidR="00E023D0" w:rsidRPr="00475EDB" w:rsidRDefault="0088323A" w:rsidP="00E023D0">
            <w:pPr>
              <w:pStyle w:val="Tabletext"/>
            </w:pPr>
            <w:r>
              <w:t xml:space="preserve">Li KM, Yin RT, Kang DY, Wu WW, Wen </w:t>
            </w:r>
            <w:r w:rsidR="00E023D0" w:rsidRPr="00360504">
              <w:t>J. Diagnostic accuracy of liquid-based cytology versus conventional cytology for cervical neoplasia: A systematic review of randomized controlled trials</w:t>
            </w:r>
            <w:r w:rsidR="00E023D0">
              <w:t>. Chinese Journal of Evidenc</w:t>
            </w:r>
            <w:r w:rsidR="009073D9">
              <w:t>e</w:t>
            </w:r>
            <w:r w:rsidR="00E023D0">
              <w:t>-Base</w:t>
            </w:r>
            <w:r w:rsidR="006A37B2">
              <w:t>d Medicine 2011, 11(10):1133–</w:t>
            </w:r>
            <w:r w:rsidR="00E023D0">
              <w:t>9</w:t>
            </w:r>
          </w:p>
        </w:tc>
        <w:tc>
          <w:tcPr>
            <w:tcW w:w="1152" w:type="pct"/>
            <w:shd w:val="clear" w:color="auto" w:fill="auto"/>
          </w:tcPr>
          <w:p w:rsidR="00E023D0" w:rsidRDefault="00E023D0" w:rsidP="00E023D0">
            <w:pPr>
              <w:pStyle w:val="Tabletext"/>
            </w:pPr>
            <w:r>
              <w:t>Systematic review and meta-analysis</w:t>
            </w:r>
          </w:p>
          <w:p w:rsidR="00E023D0" w:rsidRDefault="0088323A" w:rsidP="009073D9">
            <w:pPr>
              <w:pStyle w:val="Tabletext"/>
            </w:pPr>
            <w:r>
              <w:t>Abstract only—</w:t>
            </w:r>
            <w:r w:rsidR="00E023D0">
              <w:t>Full publication not in English</w:t>
            </w:r>
          </w:p>
        </w:tc>
      </w:tr>
      <w:tr w:rsidR="00E023D0" w:rsidRPr="00274021" w:rsidTr="000B208B">
        <w:tc>
          <w:tcPr>
            <w:tcW w:w="803" w:type="pct"/>
            <w:vMerge/>
            <w:shd w:val="clear" w:color="auto" w:fill="auto"/>
          </w:tcPr>
          <w:p w:rsidR="00E023D0" w:rsidRDefault="00E023D0" w:rsidP="00E023D0">
            <w:pPr>
              <w:pStyle w:val="Tabletext"/>
            </w:pPr>
          </w:p>
        </w:tc>
        <w:tc>
          <w:tcPr>
            <w:tcW w:w="3045" w:type="pct"/>
            <w:shd w:val="clear" w:color="auto" w:fill="auto"/>
          </w:tcPr>
          <w:p w:rsidR="00E023D0" w:rsidRPr="00475EDB" w:rsidRDefault="0088323A" w:rsidP="00E023D0">
            <w:pPr>
              <w:pStyle w:val="Tabletext"/>
            </w:pPr>
            <w:r>
              <w:t xml:space="preserve">Li </w:t>
            </w:r>
            <w:r w:rsidR="00E023D0" w:rsidRPr="00360504">
              <w:t>K. Diagnostic accuracy of liquid-bas</w:t>
            </w:r>
            <w:r w:rsidR="00E023D0">
              <w:t>e</w:t>
            </w:r>
            <w:r w:rsidR="00E023D0" w:rsidRPr="00360504">
              <w:t>d cytology versus conventional cytology for cervical neoplasia: A systematic review of randomized studies</w:t>
            </w:r>
            <w:r w:rsidR="00E023D0">
              <w:t>. International Journal of Gynecological Cancer 2011, 21(11):51</w:t>
            </w:r>
          </w:p>
        </w:tc>
        <w:tc>
          <w:tcPr>
            <w:tcW w:w="1152" w:type="pct"/>
            <w:shd w:val="clear" w:color="auto" w:fill="auto"/>
          </w:tcPr>
          <w:p w:rsidR="00E023D0" w:rsidRDefault="00E023D0" w:rsidP="00E023D0">
            <w:pPr>
              <w:pStyle w:val="Tabletext"/>
            </w:pPr>
            <w:r>
              <w:t>Abstract only</w:t>
            </w:r>
          </w:p>
        </w:tc>
      </w:tr>
    </w:tbl>
    <w:p w:rsidR="00E023D0" w:rsidRDefault="00E023D0" w:rsidP="0088323A"/>
    <w:p w:rsidR="00E023D0" w:rsidRPr="004B3488" w:rsidRDefault="006A37B2" w:rsidP="004B3488">
      <w:pPr>
        <w:pStyle w:val="Heading50"/>
      </w:pPr>
      <w:r>
        <w:t>Fontaine</w:t>
      </w:r>
      <w:r w:rsidR="004B3488">
        <w:t xml:space="preserve"> </w:t>
      </w:r>
      <w:r w:rsidR="00E023D0" w:rsidRPr="0088323A">
        <w:t>2012</w:t>
      </w:r>
    </w:p>
    <w:p w:rsidR="00E023D0" w:rsidRDefault="00E023D0" w:rsidP="001A111B">
      <w:r>
        <w:t xml:space="preserve">A systematic review and meta-analysis </w:t>
      </w:r>
      <w:r w:rsidR="006B1477">
        <w:t xml:space="preserve">was conducted by Fontaine </w:t>
      </w:r>
      <w:r w:rsidR="004B3488">
        <w:t>2012</w:t>
      </w:r>
      <w:r>
        <w:t xml:space="preserve"> to investigate the unsatisfactory rate of cervical cytology smears </w:t>
      </w:r>
      <w:r w:rsidR="0088323A">
        <w:t>between</w:t>
      </w:r>
      <w:r w:rsidR="001A111B">
        <w:t xml:space="preserve"> “the two major liquid-based cytology (LBC) platforms, namely ThinPrep</w:t>
      </w:r>
      <w:r w:rsidR="004B3488">
        <w:t>®</w:t>
      </w:r>
      <w:r w:rsidR="001A111B">
        <w:t xml:space="preserve"> (Hologic) and SurePath</w:t>
      </w:r>
      <w:r w:rsidR="004B3488">
        <w:t>™</w:t>
      </w:r>
      <w:r w:rsidR="001A111B">
        <w:t xml:space="preserve"> (</w:t>
      </w:r>
      <w:r w:rsidR="00140CA4">
        <w:t>Becton Dickinson</w:t>
      </w:r>
      <w:r w:rsidR="006A37B2">
        <w:t>)”</w:t>
      </w:r>
      <w:r>
        <w:t xml:space="preserve">. The search retrieved all relevant English studies between January 1990 and August 2011. </w:t>
      </w:r>
      <w:r w:rsidR="0088323A">
        <w:t>The authors included 42 studies</w:t>
      </w:r>
      <w:r>
        <w:t xml:space="preserve"> in the quantitative anal</w:t>
      </w:r>
      <w:r w:rsidR="0088323A">
        <w:t>ysis and 4 studies</w:t>
      </w:r>
      <w:r>
        <w:t xml:space="preserve"> in the meta-analysis that presented data in the same population by th</w:t>
      </w:r>
      <w:r w:rsidR="0088323A">
        <w:t>e same laboratory for both cell enrichment and cell filtration LBC</w:t>
      </w:r>
      <w:r>
        <w:t xml:space="preserve"> methodologies.</w:t>
      </w:r>
      <w:r w:rsidR="00F277D0">
        <w:t xml:space="preserve"> No new RCTs were identified from the review of this paper.</w:t>
      </w:r>
    </w:p>
    <w:p w:rsidR="00E023D0" w:rsidRDefault="00E023D0" w:rsidP="00E023D0">
      <w:r>
        <w:t>The pool</w:t>
      </w:r>
      <w:r w:rsidR="0088323A">
        <w:t>ed unsatisfactory rate of the 1,120,</w:t>
      </w:r>
      <w:r>
        <w:t xml:space="preserve">418 cervical cytology smears reported in 14 </w:t>
      </w:r>
      <w:r w:rsidR="0088323A">
        <w:t>different studies using cell enrichment LBC, was 0.3%. Using cell filtration LBC,</w:t>
      </w:r>
      <w:r>
        <w:t xml:space="preserve"> 1</w:t>
      </w:r>
      <w:r w:rsidR="0088323A">
        <w:t>,</w:t>
      </w:r>
      <w:r>
        <w:t>148</w:t>
      </w:r>
      <w:r w:rsidR="0088323A">
        <w:t>,</w:t>
      </w:r>
      <w:r>
        <w:t>755 smears reported from 28 studies determined a pooled unsatisfactory rate of 1.3%. The observed power of these LBC studies was very low (0.087) therefore a meta-analysis was conducted of those studies evaluating the same patient population by the same laboratory. The met</w:t>
      </w:r>
      <w:r w:rsidR="0088323A">
        <w:t xml:space="preserve">a-analysis demonstrated cell </w:t>
      </w:r>
      <w:r w:rsidR="0088323A">
        <w:lastRenderedPageBreak/>
        <w:t>enrichment LBC</w:t>
      </w:r>
      <w:r>
        <w:t xml:space="preserve"> to have a significantly lower</w:t>
      </w:r>
      <w:r w:rsidR="0088323A">
        <w:t xml:space="preserve"> unsatisfactory rate compared with cell filtration LBC </w:t>
      </w:r>
      <w:r>
        <w:t>with a pooled relative risk of 0.44 (95%</w:t>
      </w:r>
      <w:r w:rsidR="0088323A">
        <w:t xml:space="preserve"> CI: 0.25 to</w:t>
      </w:r>
      <w:r>
        <w:t xml:space="preserve"> 0.77).</w:t>
      </w:r>
    </w:p>
    <w:p w:rsidR="00E023D0" w:rsidRPr="0065005C" w:rsidRDefault="006B1477" w:rsidP="00E023D0">
      <w:r>
        <w:t xml:space="preserve">Fontaine </w:t>
      </w:r>
      <w:r w:rsidR="004B3488">
        <w:t>2012</w:t>
      </w:r>
      <w:r w:rsidR="00E023D0">
        <w:t xml:space="preserve"> concluded that significantly fewer unsatisfactory sme</w:t>
      </w:r>
      <w:r w:rsidR="0088323A">
        <w:t>ars were reported using cell enrichment LBC in comparison to cell filtration LBC</w:t>
      </w:r>
      <w:r w:rsidR="00E023D0">
        <w:t>. This systematic review and meta-analysis supports the results presented in this submission.</w:t>
      </w:r>
    </w:p>
    <w:p w:rsidR="00E023D0" w:rsidRPr="00D71DDE" w:rsidRDefault="006A37B2" w:rsidP="004B3488">
      <w:pPr>
        <w:pStyle w:val="Heading50"/>
      </w:pPr>
      <w:r>
        <w:t xml:space="preserve">Li </w:t>
      </w:r>
      <w:r w:rsidR="00E023D0" w:rsidRPr="0088323A">
        <w:t>2011</w:t>
      </w:r>
    </w:p>
    <w:p w:rsidR="00E023D0" w:rsidRDefault="00E023D0" w:rsidP="00E023D0">
      <w:r>
        <w:t>T</w:t>
      </w:r>
      <w:r w:rsidR="006B1477">
        <w:t xml:space="preserve">he full publication of Li </w:t>
      </w:r>
      <w:r w:rsidR="004B3488">
        <w:t>2011</w:t>
      </w:r>
      <w:r>
        <w:t xml:space="preserve"> is not available in English</w:t>
      </w:r>
      <w:r w:rsidR="006A37B2">
        <w:t>, but</w:t>
      </w:r>
      <w:r>
        <w:t xml:space="preserve"> the Chinese </w:t>
      </w:r>
      <w:r w:rsidR="0088323A">
        <w:t>language publication</w:t>
      </w:r>
      <w:r>
        <w:t xml:space="preserve"> includes an English abstract</w:t>
      </w:r>
      <w:r w:rsidR="0088323A">
        <w:t>,</w:t>
      </w:r>
      <w:r>
        <w:t xml:space="preserve"> and a subsequent conference abstract </w:t>
      </w:r>
      <w:r w:rsidR="006A37B2">
        <w:t xml:space="preserve">was published </w:t>
      </w:r>
      <w:r>
        <w:t>in English. The study aimed to identify RCTs published before June 2010 to evaluate the diagnostic accuracy of LBC compared with conventional cytology</w:t>
      </w:r>
      <w:r w:rsidR="0088323A">
        <w:t xml:space="preserve"> (CC)</w:t>
      </w:r>
      <w:r>
        <w:t xml:space="preserve">. </w:t>
      </w:r>
      <w:r w:rsidR="00AD0D40">
        <w:t>Whilst the included studies could n</w:t>
      </w:r>
      <w:r w:rsidR="0088323A">
        <w:t>ot be identified, a bibliographic</w:t>
      </w:r>
      <w:r w:rsidR="00AD0D40">
        <w:t xml:space="preserve"> search was conducted and no new RCTs were identified. </w:t>
      </w:r>
    </w:p>
    <w:p w:rsidR="00E023D0" w:rsidRDefault="00E023D0" w:rsidP="00E023D0">
      <w:r>
        <w:t>Contradictions between the two abstracts are evident. Based on selection criteria one of th</w:t>
      </w:r>
      <w:r w:rsidR="004B3488">
        <w:t>e abstracts details a total of five</w:t>
      </w:r>
      <w:r>
        <w:t xml:space="preserve"> RCTs were included </w:t>
      </w:r>
      <w:r w:rsidR="004B3488">
        <w:t>for analyses. The other states eight</w:t>
      </w:r>
      <w:r>
        <w:t xml:space="preserve"> studies were included. Despite these differences both abstracts concluded that in the detection of high grade CIN, LBC was </w:t>
      </w:r>
      <w:r w:rsidR="009073D9">
        <w:t>neither more specific nor</w:t>
      </w:r>
      <w:r>
        <w:t xml:space="preserve"> sensitive than </w:t>
      </w:r>
      <w:r w:rsidR="004B3488">
        <w:t>CC</w:t>
      </w:r>
      <w:r>
        <w:t>.</w:t>
      </w:r>
    </w:p>
    <w:p w:rsidR="00E023D0" w:rsidRPr="004B3488" w:rsidRDefault="006A37B2" w:rsidP="004B3488">
      <w:pPr>
        <w:pStyle w:val="Heading50"/>
      </w:pPr>
      <w:r>
        <w:t xml:space="preserve">Castle </w:t>
      </w:r>
      <w:r w:rsidR="00E023D0" w:rsidRPr="0088323A">
        <w:t>2010</w:t>
      </w:r>
    </w:p>
    <w:p w:rsidR="00E023D0" w:rsidRDefault="006B1477" w:rsidP="00E023D0">
      <w:r>
        <w:t>Castle</w:t>
      </w:r>
      <w:r w:rsidR="004B3488">
        <w:t xml:space="preserve"> 2010</w:t>
      </w:r>
      <w:r w:rsidR="00E023D0">
        <w:t xml:space="preserve"> investigated the patterns of unsatisfacto</w:t>
      </w:r>
      <w:r w:rsidR="004108FD">
        <w:t xml:space="preserve">ry results between LBC and </w:t>
      </w:r>
      <w:proofErr w:type="gramStart"/>
      <w:r w:rsidR="004108FD">
        <w:t>CC</w:t>
      </w:r>
      <w:proofErr w:type="gramEnd"/>
      <w:r w:rsidR="006A37B2">
        <w:t xml:space="preserve"> by</w:t>
      </w:r>
      <w:r w:rsidR="00E023D0">
        <w:t xml:space="preserve"> meta-analysing the results of two RCTs</w:t>
      </w:r>
      <w:r w:rsidR="004108FD">
        <w:t>—the NTCC and NETHCON trials—</w:t>
      </w:r>
      <w:r w:rsidR="006A37B2">
        <w:t xml:space="preserve"> which </w:t>
      </w:r>
      <w:r w:rsidR="008D1D8A">
        <w:t>are included RCTs for this submission</w:t>
      </w:r>
      <w:r w:rsidR="00E023D0">
        <w:t>. The aim of the study was to understand the main determinates of unsatisfactory smears including cytologic method, age of participants and skill of</w:t>
      </w:r>
      <w:r w:rsidR="003F1915">
        <w:t xml:space="preserve"> the cytotechnician or </w:t>
      </w:r>
      <w:r w:rsidR="00D71DDE">
        <w:t>pathologist</w:t>
      </w:r>
      <w:r w:rsidR="00E023D0">
        <w:t xml:space="preserve"> reading and interpreting the slides.</w:t>
      </w:r>
    </w:p>
    <w:p w:rsidR="00E023D0" w:rsidRDefault="006B1477" w:rsidP="00E023D0">
      <w:r>
        <w:t xml:space="preserve">Castle </w:t>
      </w:r>
      <w:r w:rsidR="004B3488">
        <w:t>2010</w:t>
      </w:r>
      <w:r w:rsidR="00E023D0">
        <w:t xml:space="preserve"> examined the percentage of unsatisfactory smears by five year age groups for bo</w:t>
      </w:r>
      <w:r w:rsidR="00D71DDE">
        <w:t>th the NTCC and NETHCON trials.</w:t>
      </w:r>
      <w:r w:rsidR="00E023D0">
        <w:t xml:space="preserve"> More unsatisfactory smears were reported in the NETHCON</w:t>
      </w:r>
      <w:r w:rsidR="004108FD">
        <w:t xml:space="preserve"> trial for CC</w:t>
      </w:r>
      <w:r w:rsidR="00E023D0">
        <w:t xml:space="preserve"> (1.11%) compared to LBC (0.33%). A similar result was evident in the NTCC trial with 2.59% of LBC slides reported as unsatisfactory compa</w:t>
      </w:r>
      <w:r w:rsidR="004108FD">
        <w:t>red to 4.10% of the CC</w:t>
      </w:r>
      <w:r w:rsidR="00E023D0">
        <w:t xml:space="preserve"> smears.</w:t>
      </w:r>
    </w:p>
    <w:p w:rsidR="00E023D0" w:rsidRPr="0065005C" w:rsidRDefault="006B1477" w:rsidP="00E023D0">
      <w:r>
        <w:t xml:space="preserve">Castle </w:t>
      </w:r>
      <w:r w:rsidR="004B3488">
        <w:t>2010</w:t>
      </w:r>
      <w:r w:rsidR="00E023D0">
        <w:t xml:space="preserve"> </w:t>
      </w:r>
      <w:r w:rsidR="004108FD">
        <w:t xml:space="preserve">concluded </w:t>
      </w:r>
      <w:r w:rsidR="00E023D0">
        <w:t>that LBC had lower rates of unsatisfactory smears in com</w:t>
      </w:r>
      <w:r w:rsidR="004108FD">
        <w:t>parison to CC</w:t>
      </w:r>
      <w:r w:rsidR="00E023D0">
        <w:t xml:space="preserve"> in all situations. Age was a minor factor contributing to the unsatisfactory rates. The NTCC and NETHCON trials are included RCTs in this submission, and as such lend to the same conclusion made in Section </w:t>
      </w:r>
      <w:r w:rsidR="001A111B">
        <w:t>B.6</w:t>
      </w:r>
      <w:r w:rsidR="00E023D0">
        <w:t>, that lower unsatisfactory rates are associated with LBC.</w:t>
      </w:r>
    </w:p>
    <w:p w:rsidR="00E023D0" w:rsidRPr="004B3488" w:rsidRDefault="006A37B2" w:rsidP="004B3488">
      <w:pPr>
        <w:pStyle w:val="Heading50"/>
      </w:pPr>
      <w:r>
        <w:t xml:space="preserve">Arbyn </w:t>
      </w:r>
      <w:r w:rsidR="00E023D0" w:rsidRPr="0088323A">
        <w:t>2008</w:t>
      </w:r>
    </w:p>
    <w:p w:rsidR="00E023D0" w:rsidRDefault="004F3378" w:rsidP="00E023D0">
      <w:r>
        <w:t xml:space="preserve">Arbyn </w:t>
      </w:r>
      <w:r w:rsidR="004B3488">
        <w:t>2008</w:t>
      </w:r>
      <w:r w:rsidR="00E023D0">
        <w:t xml:space="preserve"> conducted a systematic review of studies comp</w:t>
      </w:r>
      <w:r w:rsidR="004108FD">
        <w:t>aring LBC with CC</w:t>
      </w:r>
      <w:r w:rsidR="00E023D0">
        <w:t xml:space="preserve"> published between 1991 and 2007.</w:t>
      </w:r>
      <w:r w:rsidR="001A111B">
        <w:t xml:space="preserve"> </w:t>
      </w:r>
      <w:r w:rsidR="00AD5A4B">
        <w:t xml:space="preserve">It was this review that contributed a substantial evidence base for the MSAC 2009 </w:t>
      </w:r>
      <w:r w:rsidR="00AD5A4B">
        <w:lastRenderedPageBreak/>
        <w:t xml:space="preserve">evaluation of LBC. </w:t>
      </w:r>
      <w:r w:rsidR="00E023D0">
        <w:t>Only those studies where tested subjects were submitted to gold standard verification with colposcopy and biopsies were included for meta-analysis. Eight studies met these entry criteria, only one of which</w:t>
      </w:r>
      <w:r w:rsidR="005A7418">
        <w:t>—Ronc</w:t>
      </w:r>
      <w:r w:rsidR="006B1477">
        <w:t xml:space="preserve">o </w:t>
      </w:r>
      <w:r w:rsidR="004B3488">
        <w:t>2007</w:t>
      </w:r>
      <w:r w:rsidR="005A7418">
        <w:t>—</w:t>
      </w:r>
      <w:r w:rsidR="00E023D0">
        <w:t>was a</w:t>
      </w:r>
      <w:r w:rsidR="00AD5A4B">
        <w:t>n</w:t>
      </w:r>
      <w:r w:rsidR="00E023D0">
        <w:t xml:space="preserve"> RC</w:t>
      </w:r>
      <w:r w:rsidR="00F0384C">
        <w:t xml:space="preserve">T, and </w:t>
      </w:r>
      <w:r w:rsidR="00E023D0">
        <w:t>is also an included study for this submission.</w:t>
      </w:r>
      <w:r w:rsidR="00AD5A4B">
        <w:t xml:space="preserve"> It is noted that the reviewers identified the R</w:t>
      </w:r>
      <w:r w:rsidR="006B1477">
        <w:t xml:space="preserve">CT published by Obwegeser </w:t>
      </w:r>
      <w:r w:rsidR="00AD5A4B">
        <w:t>2001 but it was excluded due to insufficient completeness of verification</w:t>
      </w:r>
      <w:r w:rsidR="005A7418">
        <w:t xml:space="preserve"> of test positives</w:t>
      </w:r>
      <w:r w:rsidR="006B1477">
        <w:t xml:space="preserve"> (Arbyn </w:t>
      </w:r>
      <w:r w:rsidR="00AD5A4B">
        <w:t>2008 p. 170).</w:t>
      </w:r>
    </w:p>
    <w:p w:rsidR="00E023D0" w:rsidRDefault="00E023D0" w:rsidP="00E023D0">
      <w:r>
        <w:t>The strict entry criteria of studies in t</w:t>
      </w:r>
      <w:r w:rsidR="006B1477">
        <w:t xml:space="preserve">he meta-analysis by Arbyn </w:t>
      </w:r>
      <w:r w:rsidR="004B3488">
        <w:t>2008</w:t>
      </w:r>
      <w:r>
        <w:t xml:space="preserve"> enabled the calculation and comparison of absolute sensitivity and specificity. The specificity for the detection </w:t>
      </w:r>
      <w:r w:rsidRPr="00C529D3">
        <w:t xml:space="preserve">of </w:t>
      </w:r>
      <w:r w:rsidR="00C529D3" w:rsidRPr="00C529D3">
        <w:t>l</w:t>
      </w:r>
      <w:r w:rsidR="005A7418" w:rsidRPr="00C529D3">
        <w:t>ow-grade squamous intraepithelial lesions or higher (</w:t>
      </w:r>
      <w:r w:rsidRPr="00C529D3">
        <w:t>LSIL+</w:t>
      </w:r>
      <w:r w:rsidR="005A7418" w:rsidRPr="00C529D3">
        <w:t>)</w:t>
      </w:r>
      <w:r w:rsidRPr="00C529D3">
        <w:t xml:space="preserve"> and </w:t>
      </w:r>
      <w:r w:rsidR="00C529D3" w:rsidRPr="00C529D3">
        <w:t>high</w:t>
      </w:r>
      <w:r w:rsidR="005A7418" w:rsidRPr="00C529D3">
        <w:t>-grade squamous intraepithelial lesions or higher</w:t>
      </w:r>
      <w:r w:rsidR="00C529D3" w:rsidRPr="00C529D3">
        <w:t>(</w:t>
      </w:r>
      <w:r w:rsidRPr="00C529D3">
        <w:t>HSIL+</w:t>
      </w:r>
      <w:r w:rsidR="00C529D3" w:rsidRPr="00C529D3">
        <w:t>)</w:t>
      </w:r>
      <w:r w:rsidRPr="00C529D3">
        <w:t xml:space="preserve"> abnormalities were the same for bo</w:t>
      </w:r>
      <w:r w:rsidR="005A7418" w:rsidRPr="00C529D3">
        <w:t>th LBC and CC</w:t>
      </w:r>
      <w:r w:rsidRPr="00C529D3">
        <w:t xml:space="preserve">. When applying a cut-off of </w:t>
      </w:r>
      <w:r w:rsidR="00C529D3">
        <w:t>atypical squamous cells of undetermined significance grade or higher</w:t>
      </w:r>
      <w:r w:rsidR="00C529D3" w:rsidRPr="00C529D3">
        <w:t xml:space="preserve"> </w:t>
      </w:r>
      <w:r w:rsidR="00C529D3">
        <w:t>(</w:t>
      </w:r>
      <w:r w:rsidRPr="00C529D3">
        <w:t>ASCUS+</w:t>
      </w:r>
      <w:r w:rsidR="00C529D3">
        <w:t xml:space="preserve">, </w:t>
      </w:r>
      <w:r w:rsidRPr="00C529D3">
        <w:t>which also included glandular abnormalities) the specificity of LBC was lower (65%) c</w:t>
      </w:r>
      <w:r w:rsidR="00C529D3">
        <w:t>ompared to CC</w:t>
      </w:r>
      <w:r w:rsidRPr="00C529D3">
        <w:t xml:space="preserve"> (71%). The sensitivity varied more</w:t>
      </w:r>
      <w:r>
        <w:t xml:space="preserve"> dramatically depending on the cut-off applied, however overall LBC was slightly (but not significantly) more sens</w:t>
      </w:r>
      <w:r w:rsidR="00C529D3">
        <w:t>itive than CC</w:t>
      </w:r>
      <w:r>
        <w:t xml:space="preserve"> when detecting CIN</w:t>
      </w:r>
      <w:r w:rsidR="00C529D3">
        <w:t xml:space="preserve"> </w:t>
      </w:r>
      <w:r>
        <w:t>2+.</w:t>
      </w:r>
    </w:p>
    <w:p w:rsidR="00E023D0" w:rsidRPr="0065005C" w:rsidRDefault="00E023D0" w:rsidP="00E023D0">
      <w:r>
        <w:t>The results of the systematic review and meta-an</w:t>
      </w:r>
      <w:r w:rsidR="006B1477">
        <w:t xml:space="preserve">alysis conducted by Arbyn </w:t>
      </w:r>
      <w:r w:rsidR="004B3488">
        <w:t>2008</w:t>
      </w:r>
      <w:r>
        <w:t xml:space="preserve"> determined no significant differences in the specificity or sensitivity of detecting </w:t>
      </w:r>
      <w:r w:rsidR="00C33F6E">
        <w:t>cervical intraepithelial neoplasia (</w:t>
      </w:r>
      <w:r>
        <w:t>CIN</w:t>
      </w:r>
      <w:r w:rsidR="00C33F6E">
        <w:t>)</w:t>
      </w:r>
      <w:r>
        <w:t xml:space="preserve"> lesions betwe</w:t>
      </w:r>
      <w:r w:rsidR="00C33F6E">
        <w:t>en LBC and CC</w:t>
      </w:r>
      <w:r>
        <w:t>. Results from this meta-analysis should be interpreted carefully as only one of the studies was conducted in a screening population.</w:t>
      </w:r>
    </w:p>
    <w:p w:rsidR="00E023D0" w:rsidRPr="004B3488" w:rsidRDefault="006A37B2" w:rsidP="004B3488">
      <w:pPr>
        <w:pStyle w:val="Heading50"/>
      </w:pPr>
      <w:r>
        <w:t xml:space="preserve">Canfell </w:t>
      </w:r>
      <w:r w:rsidR="00E023D0" w:rsidRPr="0088323A">
        <w:t>2008</w:t>
      </w:r>
    </w:p>
    <w:p w:rsidR="00E023D0" w:rsidRDefault="004B3488" w:rsidP="00E023D0">
      <w:r>
        <w:t>Canfell 2008</w:t>
      </w:r>
      <w:r w:rsidR="00E023D0">
        <w:t xml:space="preserve"> compared the prevalence of normal endometrial cells and the proportion of which were associated with significant endometrial pathology in </w:t>
      </w:r>
      <w:r w:rsidR="00C33F6E">
        <w:t>LBC versus CC</w:t>
      </w:r>
      <w:r w:rsidR="00E023D0">
        <w:t>. A systematic review was undertaken to identify literature published between 1970 and 2007. However the patient population of included st</w:t>
      </w:r>
      <w:r w:rsidR="00F0384C">
        <w:t>udies was confined to</w:t>
      </w:r>
      <w:r w:rsidR="00C33F6E">
        <w:t xml:space="preserve"> post</w:t>
      </w:r>
      <w:r w:rsidR="00E023D0">
        <w:t xml:space="preserve">menopausal women or women </w:t>
      </w:r>
      <w:r w:rsidR="00F0384C">
        <w:t xml:space="preserve">aged </w:t>
      </w:r>
      <w:r w:rsidR="00E023D0">
        <w:t xml:space="preserve">40 years or older. </w:t>
      </w:r>
      <w:r w:rsidR="00303080">
        <w:t>No new</w:t>
      </w:r>
      <w:r w:rsidR="000A7F2D">
        <w:t xml:space="preserve"> </w:t>
      </w:r>
      <w:r w:rsidR="00303080">
        <w:t>RCTs were identified from this systematic review.</w:t>
      </w:r>
    </w:p>
    <w:p w:rsidR="00E023D0" w:rsidRPr="00DA5B75" w:rsidRDefault="00E023D0" w:rsidP="00E023D0">
      <w:r>
        <w:t>In this very limited and restrictive population</w:t>
      </w:r>
      <w:r w:rsidR="00C33F6E">
        <w:t>,</w:t>
      </w:r>
      <w:r w:rsidR="006B1477">
        <w:t xml:space="preserve"> Canfell </w:t>
      </w:r>
      <w:r w:rsidR="004B3488">
        <w:t>2008</w:t>
      </w:r>
      <w:r>
        <w:t xml:space="preserve"> determined that a higher prevalence of normal endometrial cells was apparent using LBC methods c</w:t>
      </w:r>
      <w:r w:rsidR="00C33F6E">
        <w:t>ompared to CC</w:t>
      </w:r>
      <w:r>
        <w:t>. However</w:t>
      </w:r>
      <w:r w:rsidR="00C33F6E">
        <w:t>,</w:t>
      </w:r>
      <w:r>
        <w:t xml:space="preserve"> it was determined fewer of these normal cells detected with LBC were likely to be associated with endometrial pathology.</w:t>
      </w:r>
    </w:p>
    <w:p w:rsidR="00E023D0" w:rsidRPr="004B3488" w:rsidRDefault="006A37B2" w:rsidP="004B3488">
      <w:pPr>
        <w:pStyle w:val="Heading50"/>
      </w:pPr>
      <w:r>
        <w:t xml:space="preserve">Klinkhammer </w:t>
      </w:r>
      <w:r w:rsidR="00E023D0" w:rsidRPr="0088323A">
        <w:t>2003</w:t>
      </w:r>
    </w:p>
    <w:p w:rsidR="00E023D0" w:rsidRDefault="00E023D0" w:rsidP="00E023D0">
      <w:r>
        <w:t xml:space="preserve">A systematic review of all available </w:t>
      </w:r>
      <w:r w:rsidR="00AD5A4B">
        <w:t xml:space="preserve">LBC (specifically, </w:t>
      </w:r>
      <w:r w:rsidR="006B1477">
        <w:t>cell enrichment LBC</w:t>
      </w:r>
      <w:r>
        <w:t xml:space="preserve"> and </w:t>
      </w:r>
      <w:r w:rsidR="006B1477">
        <w:t>cell filtration LBC</w:t>
      </w:r>
      <w:r w:rsidR="00AD5A4B">
        <w:t>)</w:t>
      </w:r>
      <w:r>
        <w:t xml:space="preserve"> literature between 1995 and 2000 w</w:t>
      </w:r>
      <w:r w:rsidR="006A37B2">
        <w:t>as conducted by Klink</w:t>
      </w:r>
      <w:r w:rsidR="00D71DDE">
        <w:t>h</w:t>
      </w:r>
      <w:r w:rsidR="006A37B2">
        <w:t>ammer</w:t>
      </w:r>
      <w:r w:rsidR="004B3488">
        <w:t xml:space="preserve"> 2003</w:t>
      </w:r>
      <w:r>
        <w:t xml:space="preserve">. After screening and a detailed review of 60 articles, 10 studies were included for meta-analysis. Conventional cytology was compared with LBC on the detection of ASCUS, LSIL and HSIL. The study was not designed to detect glandular lesions although the review recognised that some studies have indicated </w:t>
      </w:r>
      <w:r>
        <w:lastRenderedPageBreak/>
        <w:t>increased sensitivity for glandular lesion de</w:t>
      </w:r>
      <w:r w:rsidR="006B1477">
        <w:t xml:space="preserve">tection using LBC (Ashfaq </w:t>
      </w:r>
      <w:r w:rsidR="006A37B2">
        <w:t>1999;</w:t>
      </w:r>
      <w:r w:rsidR="006B1477">
        <w:t xml:space="preserve"> Schorge </w:t>
      </w:r>
      <w:r>
        <w:t>2002).</w:t>
      </w:r>
      <w:r w:rsidR="00303080">
        <w:t xml:space="preserve"> No new RCTs were identified from this systematic review.</w:t>
      </w:r>
    </w:p>
    <w:p w:rsidR="00E023D0" w:rsidRDefault="00E023D0" w:rsidP="00E023D0">
      <w:r>
        <w:t xml:space="preserve">True and false positives, as well as true and false negatives were extracted or calculated from the results of each study. The relative sensitivities and specificities were deduced. It </w:t>
      </w:r>
      <w:r w:rsidR="00C33F6E">
        <w:t>could be concluded that cell enrichment LBC</w:t>
      </w:r>
      <w:r>
        <w:t xml:space="preserve"> ha</w:t>
      </w:r>
      <w:r w:rsidR="00C33F6E">
        <w:t>d lower sensitivity than CC</w:t>
      </w:r>
      <w:r>
        <w:t xml:space="preserve"> in the detection of ASCUS+. However</w:t>
      </w:r>
      <w:r w:rsidR="00C33F6E">
        <w:t>,</w:t>
      </w:r>
      <w:r>
        <w:t xml:space="preserve"> no comment could be made on the detection r</w:t>
      </w:r>
      <w:r w:rsidR="00C33F6E">
        <w:t>ate of LSIL and HSIL in cell enrichment LBC</w:t>
      </w:r>
      <w:r>
        <w:t xml:space="preserve"> due </w:t>
      </w:r>
      <w:r w:rsidR="00C33F6E">
        <w:t>to conflicting results. Cell filtration LBC</w:t>
      </w:r>
      <w:r>
        <w:t xml:space="preserve"> results indicated higher detection rate of ASCUS when c</w:t>
      </w:r>
      <w:r w:rsidR="00C33F6E">
        <w:t>ompared to CC</w:t>
      </w:r>
      <w:r>
        <w:t xml:space="preserve">, with slightly lower sensitivity. These results should be interpreted with caution due to the varying methodologies used between included studies and application of varied reference standards. </w:t>
      </w:r>
    </w:p>
    <w:p w:rsidR="00E023D0" w:rsidRDefault="00E023D0" w:rsidP="00E023D0">
      <w:pPr>
        <w:pStyle w:val="Heading40"/>
      </w:pPr>
      <w:r>
        <w:t xml:space="preserve">Clinical trials </w:t>
      </w:r>
    </w:p>
    <w:p w:rsidR="00E023D0" w:rsidRDefault="005A060F" w:rsidP="006A37B2">
      <w:bookmarkStart w:id="121" w:name="_Ref169666705"/>
      <w:bookmarkStart w:id="122" w:name="_Toc192319850"/>
      <w:r>
        <w:t>A c</w:t>
      </w:r>
      <w:r w:rsidRPr="005A060F">
        <w:t xml:space="preserve">omparative summary of characteristics of the included </w:t>
      </w:r>
      <w:r>
        <w:t xml:space="preserve">RCTs </w:t>
      </w:r>
      <w:r w:rsidR="00B02701">
        <w:t xml:space="preserve">is provided </w:t>
      </w:r>
      <w:r w:rsidR="00F0384C">
        <w:t>(</w:t>
      </w:r>
      <w:r w:rsidR="00086C77">
        <w:fldChar w:fldCharType="begin"/>
      </w:r>
      <w:r w:rsidR="00086C77">
        <w:instrText xml:space="preserve"> REF _Ref312340409 \h  \* MERGEFORMAT </w:instrText>
      </w:r>
      <w:r w:rsidR="00086C77">
        <w:fldChar w:fldCharType="separate"/>
      </w:r>
      <w:r w:rsidR="003361A8" w:rsidRPr="00274021">
        <w:t xml:space="preserve">Table </w:t>
      </w:r>
      <w:r w:rsidR="003361A8">
        <w:t>11</w:t>
      </w:r>
      <w:r w:rsidR="00086C77">
        <w:fldChar w:fldCharType="end"/>
      </w:r>
      <w:r w:rsidR="00F0384C">
        <w:t>)</w:t>
      </w:r>
      <w:r w:rsidR="00FE21A6">
        <w:t xml:space="preserve">. </w:t>
      </w:r>
    </w:p>
    <w:p w:rsidR="00C33F6E" w:rsidRPr="00274021" w:rsidRDefault="00C33F6E" w:rsidP="00E023D0">
      <w:pPr>
        <w:pStyle w:val="Tablecaption"/>
        <w:keepNext w:val="0"/>
        <w:rPr>
          <w:rFonts w:ascii="Californian FB" w:hAnsi="Californian FB"/>
          <w:b w:val="0"/>
          <w:bCs w:val="0"/>
          <w:sz w:val="22"/>
          <w:szCs w:val="24"/>
        </w:rPr>
      </w:pPr>
    </w:p>
    <w:p w:rsidR="00E023D0" w:rsidRPr="00274021" w:rsidRDefault="00E023D0" w:rsidP="00E023D0">
      <w:pPr>
        <w:pStyle w:val="Tablecaption"/>
        <w:keepNext w:val="0"/>
        <w:rPr>
          <w:rFonts w:ascii="Californian FB" w:hAnsi="Californian FB"/>
          <w:b w:val="0"/>
          <w:bCs w:val="0"/>
          <w:sz w:val="22"/>
          <w:szCs w:val="24"/>
        </w:rPr>
        <w:sectPr w:rsidR="00E023D0" w:rsidRPr="00274021" w:rsidSect="008846BA">
          <w:pgSz w:w="11907" w:h="16840" w:code="9"/>
          <w:pgMar w:top="1418" w:right="1418" w:bottom="1701" w:left="1701" w:header="720" w:footer="720" w:gutter="0"/>
          <w:paperSrc w:first="7" w:other="7"/>
          <w:cols w:space="720"/>
          <w:noEndnote/>
        </w:sectPr>
      </w:pPr>
    </w:p>
    <w:p w:rsidR="00E023D0" w:rsidRPr="00274021" w:rsidRDefault="00E023D0" w:rsidP="00E023D0">
      <w:pPr>
        <w:pStyle w:val="Tablecaption"/>
      </w:pPr>
      <w:bookmarkStart w:id="123" w:name="_Ref312340409"/>
      <w:bookmarkStart w:id="124" w:name="_Toc312340197"/>
      <w:bookmarkStart w:id="125" w:name="_Toc316368182"/>
      <w:bookmarkStart w:id="126" w:name="_Toc335665977"/>
      <w:bookmarkStart w:id="127" w:name="_Toc337546948"/>
      <w:r w:rsidRPr="00274021">
        <w:lastRenderedPageBreak/>
        <w:t xml:space="preserve">Table </w:t>
      </w:r>
      <w:fldSimple w:instr=" SEQ Table \* ARABIC ">
        <w:r w:rsidR="003361A8">
          <w:rPr>
            <w:noProof/>
          </w:rPr>
          <w:t>11</w:t>
        </w:r>
      </w:fldSimple>
      <w:bookmarkEnd w:id="121"/>
      <w:bookmarkEnd w:id="123"/>
      <w:r w:rsidRPr="00274021">
        <w:tab/>
        <w:t>Comparative summary of characteristics of the included direct randomised trials</w:t>
      </w:r>
      <w:bookmarkEnd w:id="122"/>
      <w:bookmarkEnd w:id="124"/>
      <w:bookmarkEnd w:id="125"/>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3"/>
        <w:gridCol w:w="1277"/>
        <w:gridCol w:w="3258"/>
        <w:gridCol w:w="2695"/>
        <w:gridCol w:w="5463"/>
      </w:tblGrid>
      <w:tr w:rsidR="00E023D0" w:rsidRPr="00274021" w:rsidTr="00D36279">
        <w:trPr>
          <w:cantSplit/>
        </w:trPr>
        <w:tc>
          <w:tcPr>
            <w:tcW w:w="446" w:type="pct"/>
          </w:tcPr>
          <w:p w:rsidR="00E023D0" w:rsidRPr="00274021" w:rsidRDefault="00E023D0" w:rsidP="00E023D0">
            <w:pPr>
              <w:pStyle w:val="Tableheading"/>
            </w:pPr>
            <w:r>
              <w:t>Author, year, setting</w:t>
            </w:r>
          </w:p>
        </w:tc>
        <w:tc>
          <w:tcPr>
            <w:tcW w:w="458" w:type="pct"/>
          </w:tcPr>
          <w:p w:rsidR="00E023D0" w:rsidRPr="00274021" w:rsidRDefault="00C33F6E" w:rsidP="00E023D0">
            <w:pPr>
              <w:pStyle w:val="Tableheading"/>
            </w:pPr>
            <w:r>
              <w:t>Population, test c</w:t>
            </w:r>
            <w:r w:rsidR="00E023D0">
              <w:t>omparisons</w:t>
            </w:r>
          </w:p>
        </w:tc>
        <w:tc>
          <w:tcPr>
            <w:tcW w:w="1169" w:type="pct"/>
          </w:tcPr>
          <w:p w:rsidR="00E023D0" w:rsidRDefault="00C33F6E" w:rsidP="00E023D0">
            <w:pPr>
              <w:pStyle w:val="Tableheading"/>
            </w:pPr>
            <w:r>
              <w:t>Study d</w:t>
            </w:r>
            <w:r w:rsidR="00E023D0">
              <w:t>esign</w:t>
            </w:r>
          </w:p>
        </w:tc>
        <w:tc>
          <w:tcPr>
            <w:tcW w:w="967" w:type="pct"/>
          </w:tcPr>
          <w:p w:rsidR="00E023D0" w:rsidRPr="00274021" w:rsidRDefault="00E023D0" w:rsidP="00E023D0">
            <w:pPr>
              <w:pStyle w:val="Tableheading"/>
            </w:pPr>
            <w:r>
              <w:t>Outcomes</w:t>
            </w:r>
          </w:p>
        </w:tc>
        <w:tc>
          <w:tcPr>
            <w:tcW w:w="1960" w:type="pct"/>
          </w:tcPr>
          <w:p w:rsidR="00E023D0" w:rsidRPr="00274021" w:rsidRDefault="000B18D8" w:rsidP="00D36279">
            <w:pPr>
              <w:pStyle w:val="Tableheading"/>
            </w:pPr>
            <w:r>
              <w:t xml:space="preserve">Authors conclusion </w:t>
            </w:r>
          </w:p>
        </w:tc>
      </w:tr>
      <w:tr w:rsidR="00E023D0" w:rsidRPr="00274021" w:rsidTr="004B3488">
        <w:trPr>
          <w:cantSplit/>
          <w:trHeight w:val="258"/>
        </w:trPr>
        <w:tc>
          <w:tcPr>
            <w:tcW w:w="5000" w:type="pct"/>
            <w:gridSpan w:val="5"/>
            <w:shd w:val="clear" w:color="auto" w:fill="D9D9D9"/>
          </w:tcPr>
          <w:p w:rsidR="00E023D0" w:rsidRPr="006C5C1F" w:rsidRDefault="00C33F6E" w:rsidP="00E023D0">
            <w:pPr>
              <w:pStyle w:val="Tabletext"/>
              <w:rPr>
                <w:b/>
                <w:bCs/>
              </w:rPr>
            </w:pPr>
            <w:r>
              <w:rPr>
                <w:b/>
              </w:rPr>
              <w:t>Cell enrichment versus conventional c</w:t>
            </w:r>
            <w:r w:rsidR="00E023D0">
              <w:rPr>
                <w:b/>
              </w:rPr>
              <w:t>ytology</w:t>
            </w:r>
          </w:p>
        </w:tc>
      </w:tr>
      <w:tr w:rsidR="00E023D0" w:rsidRPr="00274021" w:rsidTr="00D36279">
        <w:trPr>
          <w:cantSplit/>
          <w:trHeight w:val="258"/>
        </w:trPr>
        <w:tc>
          <w:tcPr>
            <w:tcW w:w="446" w:type="pct"/>
          </w:tcPr>
          <w:p w:rsidR="00E023D0" w:rsidRDefault="00E023D0" w:rsidP="00E023D0">
            <w:pPr>
              <w:pStyle w:val="Tabletext"/>
            </w:pPr>
            <w:r w:rsidRPr="00B557B5">
              <w:t>Beerman 2009</w:t>
            </w:r>
          </w:p>
          <w:p w:rsidR="00E023D0" w:rsidRDefault="00E023D0" w:rsidP="00E023D0">
            <w:pPr>
              <w:pStyle w:val="Tabletext"/>
            </w:pPr>
            <w:r>
              <w:t>Netherlands</w:t>
            </w:r>
          </w:p>
          <w:p w:rsidR="00E023D0" w:rsidRPr="00B557B5" w:rsidRDefault="00C33F6E" w:rsidP="00E023D0">
            <w:pPr>
              <w:pStyle w:val="Tabletext"/>
            </w:pPr>
            <w:r>
              <w:t>July 1997—</w:t>
            </w:r>
            <w:r w:rsidR="00E023D0">
              <w:t>June 2002</w:t>
            </w:r>
          </w:p>
        </w:tc>
        <w:tc>
          <w:tcPr>
            <w:tcW w:w="458" w:type="pct"/>
          </w:tcPr>
          <w:p w:rsidR="00E023D0" w:rsidRDefault="00E023D0" w:rsidP="00E023D0">
            <w:pPr>
              <w:pStyle w:val="Tabletext"/>
              <w:rPr>
                <w:bCs/>
              </w:rPr>
            </w:pPr>
            <w:r>
              <w:rPr>
                <w:bCs/>
              </w:rPr>
              <w:t>N</w:t>
            </w:r>
            <w:r w:rsidR="005E0D57">
              <w:rPr>
                <w:bCs/>
              </w:rPr>
              <w:t>=</w:t>
            </w:r>
            <w:r>
              <w:rPr>
                <w:bCs/>
              </w:rPr>
              <w:t>86,469</w:t>
            </w:r>
          </w:p>
          <w:p w:rsidR="00E023D0" w:rsidRPr="006C5C1F" w:rsidRDefault="00F51F2E" w:rsidP="004D5A34">
            <w:pPr>
              <w:pStyle w:val="Tabletext"/>
              <w:rPr>
                <w:bCs/>
              </w:rPr>
            </w:pPr>
            <w:r>
              <w:rPr>
                <w:bCs/>
              </w:rPr>
              <w:t>Cell enrichment</w:t>
            </w:r>
            <w:r w:rsidR="00E023D0">
              <w:rPr>
                <w:bCs/>
              </w:rPr>
              <w:t xml:space="preserve"> LBC</w:t>
            </w:r>
            <w:r>
              <w:rPr>
                <w:bCs/>
              </w:rPr>
              <w:t xml:space="preserve"> </w:t>
            </w:r>
            <w:r w:rsidR="00E023D0">
              <w:rPr>
                <w:bCs/>
              </w:rPr>
              <w:t>vs.</w:t>
            </w:r>
            <w:r w:rsidR="00C33F6E">
              <w:rPr>
                <w:bCs/>
              </w:rPr>
              <w:t xml:space="preserve"> </w:t>
            </w:r>
            <w:r>
              <w:rPr>
                <w:bCs/>
              </w:rPr>
              <w:t>CC</w:t>
            </w:r>
          </w:p>
        </w:tc>
        <w:tc>
          <w:tcPr>
            <w:tcW w:w="1169" w:type="pct"/>
          </w:tcPr>
          <w:p w:rsidR="00E023D0" w:rsidRPr="00C33F6E" w:rsidRDefault="00E023D0" w:rsidP="00E023D0">
            <w:pPr>
              <w:pStyle w:val="Tabletext"/>
              <w:rPr>
                <w:bCs/>
              </w:rPr>
            </w:pPr>
            <w:r>
              <w:rPr>
                <w:b/>
                <w:bCs/>
              </w:rPr>
              <w:t xml:space="preserve">Study design: </w:t>
            </w:r>
            <w:r w:rsidRPr="006131AC">
              <w:rPr>
                <w:bCs/>
              </w:rPr>
              <w:t>RCT</w:t>
            </w:r>
          </w:p>
          <w:p w:rsidR="00E023D0" w:rsidRPr="00C33F6E" w:rsidRDefault="00E023D0" w:rsidP="000B18D8">
            <w:pPr>
              <w:pStyle w:val="Tabletext"/>
              <w:rPr>
                <w:bCs/>
              </w:rPr>
            </w:pPr>
            <w:r>
              <w:rPr>
                <w:b/>
                <w:bCs/>
              </w:rPr>
              <w:t xml:space="preserve">Reference standard: </w:t>
            </w:r>
            <w:r w:rsidR="000B18D8">
              <w:rPr>
                <w:bCs/>
              </w:rPr>
              <w:t>NR</w:t>
            </w:r>
          </w:p>
        </w:tc>
        <w:tc>
          <w:tcPr>
            <w:tcW w:w="967" w:type="pct"/>
          </w:tcPr>
          <w:p w:rsidR="00E023D0" w:rsidRDefault="00E023D0" w:rsidP="00E023D0">
            <w:pPr>
              <w:pStyle w:val="Tabletext"/>
              <w:rPr>
                <w:bCs/>
              </w:rPr>
            </w:pPr>
            <w:r>
              <w:rPr>
                <w:bCs/>
              </w:rPr>
              <w:t>- Test yield</w:t>
            </w:r>
          </w:p>
          <w:p w:rsidR="00E023D0" w:rsidRDefault="00E023D0" w:rsidP="00E023D0">
            <w:pPr>
              <w:pStyle w:val="Tabletext"/>
              <w:rPr>
                <w:bCs/>
              </w:rPr>
            </w:pPr>
            <w:r>
              <w:rPr>
                <w:bCs/>
              </w:rPr>
              <w:t>- Unsatisfactory tests</w:t>
            </w:r>
          </w:p>
          <w:p w:rsidR="00D36279" w:rsidRDefault="00D36279" w:rsidP="00E023D0">
            <w:pPr>
              <w:pStyle w:val="Tabletext"/>
              <w:rPr>
                <w:bCs/>
              </w:rPr>
            </w:pPr>
            <w:r>
              <w:rPr>
                <w:bCs/>
              </w:rPr>
              <w:t>- Correlation for all cytology with histology results</w:t>
            </w:r>
          </w:p>
          <w:p w:rsidR="00E023D0" w:rsidRDefault="00E023D0" w:rsidP="00E023D0">
            <w:pPr>
              <w:pStyle w:val="Tabletext"/>
              <w:rPr>
                <w:bCs/>
              </w:rPr>
            </w:pPr>
            <w:r>
              <w:rPr>
                <w:bCs/>
              </w:rPr>
              <w:t>- Sensitivity and specificity</w:t>
            </w:r>
          </w:p>
          <w:p w:rsidR="00E023D0" w:rsidRPr="00AB23CE" w:rsidRDefault="00E023D0" w:rsidP="00E023D0">
            <w:pPr>
              <w:pStyle w:val="Tabletext"/>
              <w:rPr>
                <w:bCs/>
              </w:rPr>
            </w:pPr>
            <w:r>
              <w:rPr>
                <w:bCs/>
              </w:rPr>
              <w:t>- False negative and positive rates</w:t>
            </w:r>
          </w:p>
        </w:tc>
        <w:tc>
          <w:tcPr>
            <w:tcW w:w="1960" w:type="pct"/>
          </w:tcPr>
          <w:p w:rsidR="00E023D0" w:rsidRPr="00446E98" w:rsidRDefault="0025334A" w:rsidP="0025334A">
            <w:pPr>
              <w:pStyle w:val="Tabletext"/>
            </w:pPr>
            <w:r w:rsidRPr="00446E98">
              <w:t>The rate of unsatisfactory slides was significantly lower using liquid-based cytology (0.13% vs.0.89%, p&lt;0.0001). The rate of ASCUS was significantly higher using liquid-based cytology (2.07% vs.0.87%, p&lt;0.0001).</w:t>
            </w:r>
            <w:r w:rsidR="00446E98">
              <w:t xml:space="preserve"> </w:t>
            </w:r>
            <w:r w:rsidRPr="00446E98">
              <w:t xml:space="preserve">The sensitivity for detection of a histological proven lesion is significantly higher in </w:t>
            </w:r>
            <w:r w:rsidR="00140CA4" w:rsidRPr="00446E98">
              <w:t>the liquid</w:t>
            </w:r>
            <w:r w:rsidRPr="00446E98">
              <w:t xml:space="preserve"> cohort compared to the conventional cohort (96.2% vs. 92.0%), with only a slight difference </w:t>
            </w:r>
            <w:r w:rsidR="00140CA4" w:rsidRPr="00446E98">
              <w:t>in specificity</w:t>
            </w:r>
            <w:r w:rsidRPr="00446E98">
              <w:t xml:space="preserve"> (97.8% vs. 98.2%).</w:t>
            </w:r>
          </w:p>
        </w:tc>
      </w:tr>
      <w:tr w:rsidR="00E023D0" w:rsidRPr="00274021" w:rsidTr="00D36279">
        <w:trPr>
          <w:cantSplit/>
          <w:trHeight w:val="258"/>
        </w:trPr>
        <w:tc>
          <w:tcPr>
            <w:tcW w:w="446" w:type="pct"/>
          </w:tcPr>
          <w:p w:rsidR="00E023D0" w:rsidRDefault="00E023D0" w:rsidP="00E023D0">
            <w:pPr>
              <w:pStyle w:val="Tabletext"/>
            </w:pPr>
            <w:r>
              <w:t>RODEO Study</w:t>
            </w:r>
          </w:p>
          <w:p w:rsidR="00E023D0" w:rsidRDefault="00E023D0" w:rsidP="00E023D0">
            <w:pPr>
              <w:pStyle w:val="Tabletext"/>
            </w:pPr>
            <w:r>
              <w:t>Brazil</w:t>
            </w:r>
          </w:p>
          <w:p w:rsidR="00E023D0" w:rsidRPr="00B557B5" w:rsidRDefault="00C33F6E" w:rsidP="00E023D0">
            <w:pPr>
              <w:pStyle w:val="Tabletext"/>
            </w:pPr>
            <w:r>
              <w:t>May 2010–</w:t>
            </w:r>
            <w:r w:rsidR="00E023D0">
              <w:t>December 2010</w:t>
            </w:r>
          </w:p>
        </w:tc>
        <w:tc>
          <w:tcPr>
            <w:tcW w:w="458" w:type="pct"/>
          </w:tcPr>
          <w:p w:rsidR="00E023D0" w:rsidRDefault="00E023D0" w:rsidP="00E023D0">
            <w:pPr>
              <w:pStyle w:val="Tabletext"/>
              <w:rPr>
                <w:bCs/>
              </w:rPr>
            </w:pPr>
            <w:r>
              <w:rPr>
                <w:bCs/>
              </w:rPr>
              <w:t>N=12</w:t>
            </w:r>
            <w:r w:rsidR="000B18D8">
              <w:rPr>
                <w:bCs/>
              </w:rPr>
              <w:t>,</w:t>
            </w:r>
            <w:r>
              <w:rPr>
                <w:bCs/>
              </w:rPr>
              <w:t>048</w:t>
            </w:r>
          </w:p>
          <w:p w:rsidR="00E023D0" w:rsidRDefault="00F51F2E" w:rsidP="00F51F2E">
            <w:pPr>
              <w:pStyle w:val="Tabletext"/>
              <w:rPr>
                <w:bCs/>
              </w:rPr>
            </w:pPr>
            <w:r>
              <w:rPr>
                <w:bCs/>
              </w:rPr>
              <w:t>Cell enrichment LBC vs. CC</w:t>
            </w:r>
          </w:p>
        </w:tc>
        <w:tc>
          <w:tcPr>
            <w:tcW w:w="1169" w:type="pct"/>
          </w:tcPr>
          <w:p w:rsidR="00E023D0" w:rsidRPr="00C33F6E" w:rsidRDefault="00E023D0" w:rsidP="00C33F6E">
            <w:pPr>
              <w:pStyle w:val="Tabletext"/>
              <w:ind w:left="720" w:hanging="720"/>
              <w:rPr>
                <w:bCs/>
              </w:rPr>
            </w:pPr>
            <w:r>
              <w:rPr>
                <w:b/>
                <w:bCs/>
              </w:rPr>
              <w:t xml:space="preserve">Study design: </w:t>
            </w:r>
            <w:r w:rsidRPr="0056142B">
              <w:rPr>
                <w:bCs/>
              </w:rPr>
              <w:t>RCT</w:t>
            </w:r>
          </w:p>
          <w:p w:rsidR="00E023D0" w:rsidRPr="0056142B" w:rsidRDefault="00E023D0" w:rsidP="00E023D0">
            <w:pPr>
              <w:pStyle w:val="Tabletext"/>
              <w:ind w:left="720" w:hanging="720"/>
              <w:rPr>
                <w:bCs/>
              </w:rPr>
            </w:pPr>
            <w:r w:rsidRPr="00BA5CAE">
              <w:rPr>
                <w:b/>
                <w:bCs/>
              </w:rPr>
              <w:t>Reference standard</w:t>
            </w:r>
            <w:r>
              <w:rPr>
                <w:bCs/>
              </w:rPr>
              <w:t>: NR</w:t>
            </w:r>
          </w:p>
        </w:tc>
        <w:tc>
          <w:tcPr>
            <w:tcW w:w="967" w:type="pct"/>
          </w:tcPr>
          <w:p w:rsidR="00E023D0" w:rsidRPr="00BA5CAE" w:rsidRDefault="00E023D0" w:rsidP="00E023D0">
            <w:pPr>
              <w:pStyle w:val="Tabletext"/>
              <w:rPr>
                <w:bCs/>
              </w:rPr>
            </w:pPr>
            <w:r w:rsidRPr="00BA5CAE">
              <w:rPr>
                <w:bCs/>
              </w:rPr>
              <w:t>- Test yield</w:t>
            </w:r>
          </w:p>
        </w:tc>
        <w:tc>
          <w:tcPr>
            <w:tcW w:w="1960" w:type="pct"/>
          </w:tcPr>
          <w:p w:rsidR="00E023D0" w:rsidRPr="00446E98" w:rsidRDefault="0025334A" w:rsidP="0025334A">
            <w:pPr>
              <w:pStyle w:val="Tabletext"/>
            </w:pPr>
            <w:r w:rsidRPr="00446E98">
              <w:t>Dichotomic analyses of LBC versus conventional smears have showed 5,872 (97</w:t>
            </w:r>
            <w:proofErr w:type="gramStart"/>
            <w:r w:rsidRPr="00446E98">
              <w:t>,9</w:t>
            </w:r>
            <w:proofErr w:type="gramEnd"/>
            <w:r w:rsidRPr="00446E98">
              <w:t>%) and 5,981 (98,9%) negative cases; and 127 (2.1%) and 61 (1.0%) abnormal cases respectively (p=0.001). Data strongly support the superior performance of LBC to detect intraepithelial lesions.</w:t>
            </w:r>
          </w:p>
        </w:tc>
      </w:tr>
      <w:tr w:rsidR="00E023D0" w:rsidRPr="00274021" w:rsidTr="004B3488">
        <w:trPr>
          <w:cantSplit/>
          <w:trHeight w:val="258"/>
        </w:trPr>
        <w:tc>
          <w:tcPr>
            <w:tcW w:w="5000" w:type="pct"/>
            <w:gridSpan w:val="5"/>
            <w:shd w:val="clear" w:color="auto" w:fill="BFBFBF"/>
          </w:tcPr>
          <w:p w:rsidR="00E023D0" w:rsidRDefault="00EC5206" w:rsidP="00E023D0">
            <w:pPr>
              <w:pStyle w:val="Tabletext"/>
              <w:rPr>
                <w:b/>
                <w:bCs/>
              </w:rPr>
            </w:pPr>
            <w:r>
              <w:rPr>
                <w:b/>
                <w:bCs/>
              </w:rPr>
              <w:t>Cell filtration versus conventional c</w:t>
            </w:r>
            <w:r w:rsidR="00E023D0">
              <w:rPr>
                <w:b/>
                <w:bCs/>
              </w:rPr>
              <w:t>ytology</w:t>
            </w:r>
          </w:p>
        </w:tc>
      </w:tr>
      <w:tr w:rsidR="00E023D0" w:rsidRPr="00274021" w:rsidTr="00D36279">
        <w:trPr>
          <w:cantSplit/>
          <w:trHeight w:val="258"/>
        </w:trPr>
        <w:tc>
          <w:tcPr>
            <w:tcW w:w="446" w:type="pct"/>
          </w:tcPr>
          <w:p w:rsidR="00E023D0" w:rsidRDefault="00E023D0" w:rsidP="00E023D0">
            <w:pPr>
              <w:pStyle w:val="Tabletext"/>
            </w:pPr>
            <w:r>
              <w:t xml:space="preserve">NTCC trial </w:t>
            </w:r>
          </w:p>
          <w:p w:rsidR="00E023D0" w:rsidRDefault="00E023D0" w:rsidP="00E023D0">
            <w:pPr>
              <w:pStyle w:val="Tabletext"/>
            </w:pPr>
            <w:r>
              <w:t>(</w:t>
            </w:r>
            <w:r w:rsidR="006B1477">
              <w:t>Ronco</w:t>
            </w:r>
            <w:r>
              <w:t xml:space="preserve"> </w:t>
            </w:r>
            <w:r w:rsidRPr="00B557B5">
              <w:t>2006</w:t>
            </w:r>
            <w:r w:rsidR="00C33F6E">
              <w:t xml:space="preserve">a, </w:t>
            </w:r>
            <w:r>
              <w:t>b</w:t>
            </w:r>
            <w:r w:rsidR="0025334A">
              <w:t>, 2007</w:t>
            </w:r>
            <w:r>
              <w:t xml:space="preserve">) </w:t>
            </w:r>
          </w:p>
          <w:p w:rsidR="00E023D0" w:rsidRDefault="00E023D0" w:rsidP="00E023D0">
            <w:pPr>
              <w:pStyle w:val="Tabletext"/>
            </w:pPr>
            <w:r>
              <w:t>Italy</w:t>
            </w:r>
          </w:p>
          <w:p w:rsidR="00E023D0" w:rsidRPr="00B557B5" w:rsidRDefault="00C33F6E" w:rsidP="00E023D0">
            <w:pPr>
              <w:pStyle w:val="Tabletext"/>
            </w:pPr>
            <w:r>
              <w:t>2002–</w:t>
            </w:r>
            <w:r w:rsidR="00E023D0">
              <w:t>2003</w:t>
            </w:r>
          </w:p>
        </w:tc>
        <w:tc>
          <w:tcPr>
            <w:tcW w:w="458" w:type="pct"/>
          </w:tcPr>
          <w:p w:rsidR="00E023D0" w:rsidRDefault="00E023D0" w:rsidP="00E023D0">
            <w:pPr>
              <w:pStyle w:val="Tabletext"/>
              <w:rPr>
                <w:bCs/>
              </w:rPr>
            </w:pPr>
            <w:r w:rsidRPr="00AA31A2">
              <w:rPr>
                <w:bCs/>
              </w:rPr>
              <w:t>N</w:t>
            </w:r>
            <w:r w:rsidR="005E0D57">
              <w:rPr>
                <w:bCs/>
              </w:rPr>
              <w:t>=</w:t>
            </w:r>
            <w:r>
              <w:rPr>
                <w:bCs/>
              </w:rPr>
              <w:t>45,174</w:t>
            </w:r>
          </w:p>
          <w:p w:rsidR="00E023D0" w:rsidRPr="006131AC" w:rsidRDefault="00F51F2E" w:rsidP="00F51F2E">
            <w:pPr>
              <w:pStyle w:val="Tabletext"/>
              <w:rPr>
                <w:bCs/>
              </w:rPr>
            </w:pPr>
            <w:r>
              <w:rPr>
                <w:bCs/>
              </w:rPr>
              <w:t>Cell filtration LBC vs. CC</w:t>
            </w:r>
          </w:p>
        </w:tc>
        <w:tc>
          <w:tcPr>
            <w:tcW w:w="1169" w:type="pct"/>
          </w:tcPr>
          <w:p w:rsidR="00E023D0" w:rsidRPr="00C33F6E" w:rsidRDefault="00E023D0" w:rsidP="00E023D0">
            <w:pPr>
              <w:pStyle w:val="Tabletext"/>
              <w:rPr>
                <w:bCs/>
              </w:rPr>
            </w:pPr>
            <w:r>
              <w:rPr>
                <w:b/>
                <w:bCs/>
              </w:rPr>
              <w:t xml:space="preserve">Study design: </w:t>
            </w:r>
            <w:r w:rsidRPr="006131AC">
              <w:rPr>
                <w:bCs/>
              </w:rPr>
              <w:t>RCT</w:t>
            </w:r>
            <w:r>
              <w:rPr>
                <w:bCs/>
              </w:rPr>
              <w:t xml:space="preserve"> conducted in two </w:t>
            </w:r>
            <w:r w:rsidR="00C33F6E">
              <w:rPr>
                <w:bCs/>
              </w:rPr>
              <w:t>separate age groups (&lt;</w:t>
            </w:r>
            <w:r w:rsidR="004F3378">
              <w:rPr>
                <w:bCs/>
              </w:rPr>
              <w:t xml:space="preserve"> </w:t>
            </w:r>
            <w:r w:rsidR="00C33F6E">
              <w:rPr>
                <w:bCs/>
              </w:rPr>
              <w:t>35 and 35–</w:t>
            </w:r>
            <w:r>
              <w:rPr>
                <w:bCs/>
              </w:rPr>
              <w:t>60) with varying procedures (HPV testing was conducted in the LBC arm only)</w:t>
            </w:r>
          </w:p>
          <w:p w:rsidR="00E023D0" w:rsidRPr="00DB32A0" w:rsidRDefault="00E023D0" w:rsidP="00B02701">
            <w:pPr>
              <w:pStyle w:val="Tabletext"/>
              <w:rPr>
                <w:b/>
                <w:bCs/>
              </w:rPr>
            </w:pPr>
            <w:r>
              <w:rPr>
                <w:b/>
                <w:bCs/>
              </w:rPr>
              <w:t xml:space="preserve">Reference standard: </w:t>
            </w:r>
            <w:r w:rsidRPr="00360382">
              <w:rPr>
                <w:bCs/>
              </w:rPr>
              <w:t>ASCUS+ went for colposcopy; convention</w:t>
            </w:r>
            <w:r w:rsidR="00EC5206">
              <w:rPr>
                <w:bCs/>
              </w:rPr>
              <w:t>al group protocol was for LSIL+</w:t>
            </w:r>
            <w:r w:rsidRPr="00360382">
              <w:rPr>
                <w:bCs/>
              </w:rPr>
              <w:t xml:space="preserve"> to go for colposcopy but 7/9 centres referred for colposcopy based on ASCUS+ and 2/9centres sent ASCUS+ for repeat cytology and then if LSIL referred for colposcopy</w:t>
            </w:r>
            <w:r w:rsidR="00B02701">
              <w:rPr>
                <w:bCs/>
              </w:rPr>
              <w:t>. Normal slides that were HPV positive could also be referred for colposcopy</w:t>
            </w:r>
          </w:p>
        </w:tc>
        <w:tc>
          <w:tcPr>
            <w:tcW w:w="967" w:type="pct"/>
          </w:tcPr>
          <w:p w:rsidR="00E023D0" w:rsidRDefault="00E023D0" w:rsidP="00E023D0">
            <w:pPr>
              <w:pStyle w:val="Tabletext"/>
              <w:rPr>
                <w:bCs/>
              </w:rPr>
            </w:pPr>
            <w:r>
              <w:rPr>
                <w:bCs/>
              </w:rPr>
              <w:t>- Test yield (including HPV)</w:t>
            </w:r>
          </w:p>
          <w:p w:rsidR="00E023D0" w:rsidRDefault="00E023D0" w:rsidP="00E023D0">
            <w:pPr>
              <w:pStyle w:val="Tabletext"/>
              <w:rPr>
                <w:bCs/>
              </w:rPr>
            </w:pPr>
            <w:r>
              <w:rPr>
                <w:bCs/>
              </w:rPr>
              <w:t>- Unsatisfactory test</w:t>
            </w:r>
          </w:p>
          <w:p w:rsidR="00E023D0" w:rsidRDefault="00E023D0" w:rsidP="00E023D0">
            <w:pPr>
              <w:pStyle w:val="Tabletext"/>
              <w:rPr>
                <w:bCs/>
              </w:rPr>
            </w:pPr>
            <w:r>
              <w:rPr>
                <w:bCs/>
              </w:rPr>
              <w:t>- 1 year follow-up test yield</w:t>
            </w:r>
          </w:p>
          <w:p w:rsidR="00E023D0" w:rsidRDefault="00E023D0" w:rsidP="00E023D0">
            <w:pPr>
              <w:pStyle w:val="Tabletext"/>
              <w:rPr>
                <w:bCs/>
              </w:rPr>
            </w:pPr>
            <w:r>
              <w:rPr>
                <w:bCs/>
              </w:rPr>
              <w:t>- Sensitivity and specificity</w:t>
            </w:r>
          </w:p>
          <w:p w:rsidR="00E023D0" w:rsidRPr="00802960" w:rsidRDefault="00E023D0" w:rsidP="00E023D0">
            <w:pPr>
              <w:pStyle w:val="Tabletext"/>
              <w:rPr>
                <w:bCs/>
              </w:rPr>
            </w:pPr>
            <w:r>
              <w:rPr>
                <w:bCs/>
              </w:rPr>
              <w:t>- Positive predictive value</w:t>
            </w:r>
          </w:p>
        </w:tc>
        <w:tc>
          <w:tcPr>
            <w:tcW w:w="1960" w:type="pct"/>
          </w:tcPr>
          <w:p w:rsidR="00E023D0" w:rsidRPr="00274021" w:rsidRDefault="0025334A" w:rsidP="00446E98">
            <w:pPr>
              <w:pStyle w:val="Tabletext"/>
              <w:rPr>
                <w:b/>
                <w:bCs/>
              </w:rPr>
            </w:pPr>
            <w:r w:rsidRPr="00446E98">
              <w:rPr>
                <w:bCs/>
              </w:rPr>
              <w:t>Liquid based cytology showed no statistically</w:t>
            </w:r>
            <w:r w:rsidR="00446E98" w:rsidRPr="00446E98">
              <w:rPr>
                <w:bCs/>
              </w:rPr>
              <w:t xml:space="preserve"> </w:t>
            </w:r>
            <w:r w:rsidRPr="00446E98">
              <w:rPr>
                <w:bCs/>
              </w:rPr>
              <w:t>significant difference in sensitivity to conventional</w:t>
            </w:r>
            <w:r w:rsidR="00446E98" w:rsidRPr="00446E98">
              <w:rPr>
                <w:bCs/>
              </w:rPr>
              <w:t xml:space="preserve"> </w:t>
            </w:r>
            <w:r w:rsidRPr="00446E98">
              <w:rPr>
                <w:bCs/>
              </w:rPr>
              <w:t>cytology for detection of cervical intraepithelial neoplasia</w:t>
            </w:r>
            <w:r w:rsidR="00446E98" w:rsidRPr="00446E98">
              <w:rPr>
                <w:bCs/>
              </w:rPr>
              <w:t xml:space="preserve"> </w:t>
            </w:r>
            <w:r w:rsidRPr="00446E98">
              <w:rPr>
                <w:bCs/>
              </w:rPr>
              <w:t>of grade 2 or more. More positive results were found,</w:t>
            </w:r>
            <w:r w:rsidR="00446E98" w:rsidRPr="00446E98">
              <w:rPr>
                <w:bCs/>
              </w:rPr>
              <w:t xml:space="preserve"> </w:t>
            </w:r>
            <w:r w:rsidRPr="00446E98">
              <w:rPr>
                <w:bCs/>
              </w:rPr>
              <w:t>however, leading to a lower positive predictive value. A</w:t>
            </w:r>
            <w:r w:rsidR="00446E98" w:rsidRPr="00446E98">
              <w:rPr>
                <w:bCs/>
              </w:rPr>
              <w:t xml:space="preserve"> </w:t>
            </w:r>
            <w:r w:rsidRPr="00446E98">
              <w:rPr>
                <w:bCs/>
              </w:rPr>
              <w:t>large reduction in unsatisfactory smears was evident.</w:t>
            </w:r>
          </w:p>
        </w:tc>
      </w:tr>
      <w:tr w:rsidR="00E023D0" w:rsidRPr="00274021" w:rsidTr="00D36279">
        <w:trPr>
          <w:cantSplit/>
          <w:trHeight w:val="258"/>
        </w:trPr>
        <w:tc>
          <w:tcPr>
            <w:tcW w:w="446" w:type="pct"/>
          </w:tcPr>
          <w:p w:rsidR="00E023D0" w:rsidRDefault="00E023D0" w:rsidP="00E023D0">
            <w:pPr>
              <w:pStyle w:val="Tabletext"/>
            </w:pPr>
            <w:r>
              <w:lastRenderedPageBreak/>
              <w:t xml:space="preserve">NETHCON Trial </w:t>
            </w:r>
          </w:p>
          <w:p w:rsidR="00E023D0" w:rsidRDefault="00E023D0" w:rsidP="00E023D0">
            <w:pPr>
              <w:pStyle w:val="Tabletext"/>
            </w:pPr>
            <w:r>
              <w:t>(</w:t>
            </w:r>
            <w:r w:rsidR="00EC5206">
              <w:t>Siebers 2008,</w:t>
            </w:r>
            <w:r>
              <w:t xml:space="preserve"> 2009)</w:t>
            </w:r>
          </w:p>
          <w:p w:rsidR="00E023D0" w:rsidRDefault="00E023D0" w:rsidP="00E023D0">
            <w:pPr>
              <w:pStyle w:val="Tabletext"/>
            </w:pPr>
            <w:r>
              <w:t>Netherlands</w:t>
            </w:r>
          </w:p>
          <w:p w:rsidR="00E023D0" w:rsidRPr="00B557B5" w:rsidRDefault="00EC5206" w:rsidP="00E023D0">
            <w:pPr>
              <w:pStyle w:val="Tabletext"/>
            </w:pPr>
            <w:r>
              <w:t>April 2003–</w:t>
            </w:r>
            <w:r w:rsidR="00E023D0">
              <w:t>July 2006</w:t>
            </w:r>
          </w:p>
        </w:tc>
        <w:tc>
          <w:tcPr>
            <w:tcW w:w="458" w:type="pct"/>
          </w:tcPr>
          <w:p w:rsidR="00E023D0" w:rsidRDefault="00E023D0" w:rsidP="00E023D0">
            <w:pPr>
              <w:pStyle w:val="Tabletext"/>
              <w:rPr>
                <w:bCs/>
              </w:rPr>
            </w:pPr>
            <w:r w:rsidRPr="00673EC8">
              <w:rPr>
                <w:bCs/>
              </w:rPr>
              <w:t>N</w:t>
            </w:r>
            <w:r w:rsidR="005E0D57">
              <w:rPr>
                <w:bCs/>
              </w:rPr>
              <w:t>=</w:t>
            </w:r>
            <w:r w:rsidRPr="00673EC8">
              <w:rPr>
                <w:bCs/>
              </w:rPr>
              <w:t>8</w:t>
            </w:r>
            <w:r w:rsidR="00673EC8" w:rsidRPr="00673EC8">
              <w:rPr>
                <w:bCs/>
              </w:rPr>
              <w:t>5,076</w:t>
            </w:r>
          </w:p>
          <w:p w:rsidR="00E023D0" w:rsidRPr="006131AC" w:rsidRDefault="00F51F2E" w:rsidP="004D5A34">
            <w:pPr>
              <w:pStyle w:val="Tabletext"/>
              <w:rPr>
                <w:bCs/>
              </w:rPr>
            </w:pPr>
            <w:r>
              <w:rPr>
                <w:bCs/>
              </w:rPr>
              <w:t>Cell filtration LBC vs. CC</w:t>
            </w:r>
          </w:p>
        </w:tc>
        <w:tc>
          <w:tcPr>
            <w:tcW w:w="1169" w:type="pct"/>
          </w:tcPr>
          <w:p w:rsidR="00E023D0" w:rsidRPr="00EC5206" w:rsidRDefault="00E023D0" w:rsidP="00E023D0">
            <w:pPr>
              <w:pStyle w:val="Tabletext"/>
              <w:rPr>
                <w:bCs/>
              </w:rPr>
            </w:pPr>
            <w:r>
              <w:rPr>
                <w:b/>
                <w:bCs/>
              </w:rPr>
              <w:t xml:space="preserve">Study design: </w:t>
            </w:r>
            <w:r w:rsidRPr="006131AC">
              <w:rPr>
                <w:bCs/>
              </w:rPr>
              <w:t>RCT</w:t>
            </w:r>
          </w:p>
          <w:p w:rsidR="00E023D0" w:rsidRPr="006131AC" w:rsidRDefault="00E023D0" w:rsidP="007508D9">
            <w:pPr>
              <w:pStyle w:val="Tabletext"/>
              <w:rPr>
                <w:bCs/>
              </w:rPr>
            </w:pPr>
            <w:r>
              <w:rPr>
                <w:b/>
                <w:bCs/>
              </w:rPr>
              <w:t xml:space="preserve">Reference standard: </w:t>
            </w:r>
            <w:r w:rsidR="004F3378">
              <w:rPr>
                <w:bCs/>
              </w:rPr>
              <w:t>colposcopy:</w:t>
            </w:r>
            <w:r>
              <w:rPr>
                <w:bCs/>
              </w:rPr>
              <w:t xml:space="preserve"> </w:t>
            </w:r>
            <w:r w:rsidR="007508D9">
              <w:rPr>
                <w:bCs/>
              </w:rPr>
              <w:t>LSIL</w:t>
            </w:r>
            <w:r w:rsidRPr="006131AC">
              <w:rPr>
                <w:bCs/>
              </w:rPr>
              <w:t xml:space="preserve"> repeat cytology and col</w:t>
            </w:r>
            <w:r>
              <w:rPr>
                <w:bCs/>
              </w:rPr>
              <w:t>p</w:t>
            </w:r>
            <w:r w:rsidRPr="006131AC">
              <w:rPr>
                <w:bCs/>
              </w:rPr>
              <w:t>oscopy only if repeate</w:t>
            </w:r>
            <w:r>
              <w:rPr>
                <w:bCs/>
              </w:rPr>
              <w:t>d</w:t>
            </w:r>
            <w:r w:rsidRPr="006131AC">
              <w:rPr>
                <w:bCs/>
              </w:rPr>
              <w:t xml:space="preserve"> abnormal, high grades colposcopy</w:t>
            </w:r>
          </w:p>
        </w:tc>
        <w:tc>
          <w:tcPr>
            <w:tcW w:w="967" w:type="pct"/>
          </w:tcPr>
          <w:p w:rsidR="00E023D0" w:rsidRDefault="00E023D0" w:rsidP="00E023D0">
            <w:pPr>
              <w:pStyle w:val="Tabletext"/>
              <w:rPr>
                <w:bCs/>
              </w:rPr>
            </w:pPr>
            <w:r w:rsidRPr="002C5D43">
              <w:rPr>
                <w:bCs/>
              </w:rPr>
              <w:t>- Test yield</w:t>
            </w:r>
          </w:p>
          <w:p w:rsidR="00E023D0" w:rsidRPr="002C5D43" w:rsidRDefault="00E023D0" w:rsidP="00E023D0">
            <w:pPr>
              <w:pStyle w:val="Tabletext"/>
              <w:rPr>
                <w:bCs/>
              </w:rPr>
            </w:pPr>
            <w:r>
              <w:rPr>
                <w:bCs/>
              </w:rPr>
              <w:t>- Relative sensitivity</w:t>
            </w:r>
          </w:p>
          <w:p w:rsidR="00E023D0" w:rsidRPr="002C5D43" w:rsidRDefault="00E023D0" w:rsidP="00E023D0">
            <w:pPr>
              <w:pStyle w:val="Tabletext"/>
              <w:rPr>
                <w:bCs/>
              </w:rPr>
            </w:pPr>
            <w:r w:rsidRPr="002C5D43">
              <w:rPr>
                <w:bCs/>
              </w:rPr>
              <w:t>- Positive predictive values</w:t>
            </w:r>
          </w:p>
        </w:tc>
        <w:tc>
          <w:tcPr>
            <w:tcW w:w="1960" w:type="pct"/>
          </w:tcPr>
          <w:p w:rsidR="00E023D0" w:rsidRPr="00274021" w:rsidRDefault="00446E98" w:rsidP="00446E98">
            <w:pPr>
              <w:pStyle w:val="Tabletext"/>
              <w:rPr>
                <w:b/>
                <w:bCs/>
              </w:rPr>
            </w:pPr>
            <w:r>
              <w:rPr>
                <w:bCs/>
              </w:rPr>
              <w:t>The</w:t>
            </w:r>
            <w:r w:rsidRPr="00446E98">
              <w:rPr>
                <w:bCs/>
              </w:rPr>
              <w:t xml:space="preserve"> study found no statistically significant</w:t>
            </w:r>
            <w:r>
              <w:rPr>
                <w:bCs/>
              </w:rPr>
              <w:t xml:space="preserve"> </w:t>
            </w:r>
            <w:r w:rsidRPr="00446E98">
              <w:rPr>
                <w:bCs/>
              </w:rPr>
              <w:t>difference in cytologic test positivity rates between</w:t>
            </w:r>
            <w:r>
              <w:rPr>
                <w:bCs/>
              </w:rPr>
              <w:t xml:space="preserve"> </w:t>
            </w:r>
            <w:r w:rsidRPr="00446E98">
              <w:rPr>
                <w:bCs/>
              </w:rPr>
              <w:t>liquid-based and conventional cytology. However, liquid-</w:t>
            </w:r>
            <w:r>
              <w:rPr>
                <w:bCs/>
              </w:rPr>
              <w:t xml:space="preserve"> </w:t>
            </w:r>
            <w:r w:rsidRPr="00446E98">
              <w:rPr>
                <w:bCs/>
              </w:rPr>
              <w:t>based cytology resulted in significantly fewer unsatisfactory</w:t>
            </w:r>
            <w:r>
              <w:rPr>
                <w:bCs/>
              </w:rPr>
              <w:t xml:space="preserve"> </w:t>
            </w:r>
            <w:r w:rsidR="00140CA4" w:rsidRPr="00446E98">
              <w:rPr>
                <w:bCs/>
              </w:rPr>
              <w:t>tests. Liquid</w:t>
            </w:r>
            <w:r w:rsidRPr="00446E98">
              <w:rPr>
                <w:bCs/>
              </w:rPr>
              <w:t>-based cytology does not perform better</w:t>
            </w:r>
            <w:r>
              <w:rPr>
                <w:bCs/>
              </w:rPr>
              <w:t xml:space="preserve"> </w:t>
            </w:r>
            <w:r w:rsidRPr="00446E98">
              <w:rPr>
                <w:bCs/>
              </w:rPr>
              <w:t>than conventional Pap tests in terms of relative sensitivity and PPV for detection of</w:t>
            </w:r>
            <w:r>
              <w:rPr>
                <w:bCs/>
              </w:rPr>
              <w:t xml:space="preserve"> </w:t>
            </w:r>
            <w:r w:rsidRPr="00446E98">
              <w:rPr>
                <w:bCs/>
              </w:rPr>
              <w:t>cervical cancer precursors.</w:t>
            </w:r>
          </w:p>
        </w:tc>
      </w:tr>
      <w:tr w:rsidR="00E023D0" w:rsidRPr="00274021" w:rsidTr="00D36279">
        <w:trPr>
          <w:cantSplit/>
          <w:trHeight w:val="258"/>
        </w:trPr>
        <w:tc>
          <w:tcPr>
            <w:tcW w:w="446" w:type="pct"/>
          </w:tcPr>
          <w:p w:rsidR="00E023D0" w:rsidRDefault="00E023D0" w:rsidP="00E023D0">
            <w:pPr>
              <w:pStyle w:val="Tabletext"/>
            </w:pPr>
            <w:r w:rsidRPr="00B557B5">
              <w:t>Strander 2007</w:t>
            </w:r>
          </w:p>
          <w:p w:rsidR="00E023D0" w:rsidRDefault="00E023D0" w:rsidP="00E023D0">
            <w:pPr>
              <w:pStyle w:val="Tabletext"/>
            </w:pPr>
            <w:r>
              <w:t>Sweden</w:t>
            </w:r>
          </w:p>
          <w:p w:rsidR="00E023D0" w:rsidRPr="00B557B5" w:rsidRDefault="00E023D0" w:rsidP="00E023D0">
            <w:pPr>
              <w:pStyle w:val="Tabletext"/>
            </w:pPr>
            <w:r>
              <w:t>May 2002</w:t>
            </w:r>
            <w:r w:rsidR="005E0D57">
              <w:t>–</w:t>
            </w:r>
            <w:r>
              <w:t>Dec 2003</w:t>
            </w:r>
          </w:p>
        </w:tc>
        <w:tc>
          <w:tcPr>
            <w:tcW w:w="458" w:type="pct"/>
          </w:tcPr>
          <w:p w:rsidR="00E023D0" w:rsidRDefault="00E023D0" w:rsidP="00E023D0">
            <w:pPr>
              <w:pStyle w:val="Tabletext"/>
              <w:rPr>
                <w:bCs/>
              </w:rPr>
            </w:pPr>
            <w:r w:rsidRPr="00AA31A2">
              <w:rPr>
                <w:bCs/>
              </w:rPr>
              <w:t>N</w:t>
            </w:r>
            <w:r w:rsidR="005E0D57">
              <w:rPr>
                <w:bCs/>
              </w:rPr>
              <w:t>=</w:t>
            </w:r>
            <w:r>
              <w:rPr>
                <w:bCs/>
              </w:rPr>
              <w:t>13,484</w:t>
            </w:r>
          </w:p>
          <w:p w:rsidR="00E023D0" w:rsidRPr="006131AC" w:rsidRDefault="00F51F2E" w:rsidP="004D5A34">
            <w:pPr>
              <w:pStyle w:val="Tabletext"/>
              <w:rPr>
                <w:bCs/>
              </w:rPr>
            </w:pPr>
            <w:r>
              <w:rPr>
                <w:bCs/>
              </w:rPr>
              <w:t>Cell filtration LBC vs. CC</w:t>
            </w:r>
          </w:p>
        </w:tc>
        <w:tc>
          <w:tcPr>
            <w:tcW w:w="1169" w:type="pct"/>
          </w:tcPr>
          <w:p w:rsidR="00E023D0" w:rsidRDefault="00E023D0" w:rsidP="00E023D0">
            <w:pPr>
              <w:pStyle w:val="Tabletext"/>
              <w:rPr>
                <w:b/>
                <w:bCs/>
              </w:rPr>
            </w:pPr>
            <w:r>
              <w:rPr>
                <w:b/>
                <w:bCs/>
              </w:rPr>
              <w:t>Study design:</w:t>
            </w:r>
            <w:r w:rsidRPr="006131AC">
              <w:rPr>
                <w:bCs/>
              </w:rPr>
              <w:t xml:space="preserve"> RCT</w:t>
            </w:r>
          </w:p>
          <w:p w:rsidR="00E023D0" w:rsidRPr="006C5C1F" w:rsidRDefault="00E023D0" w:rsidP="00E023D0">
            <w:pPr>
              <w:pStyle w:val="Tabletext"/>
              <w:rPr>
                <w:bCs/>
              </w:rPr>
            </w:pPr>
            <w:r>
              <w:rPr>
                <w:b/>
                <w:bCs/>
              </w:rPr>
              <w:t xml:space="preserve">Reference standard: </w:t>
            </w:r>
            <w:r w:rsidRPr="006131AC">
              <w:rPr>
                <w:bCs/>
              </w:rPr>
              <w:t>ASCUS and CIN</w:t>
            </w:r>
            <w:r w:rsidR="004F3378">
              <w:rPr>
                <w:bCs/>
              </w:rPr>
              <w:t xml:space="preserve"> </w:t>
            </w:r>
            <w:r w:rsidRPr="006131AC">
              <w:rPr>
                <w:bCs/>
              </w:rPr>
              <w:t>1 repeat smear or colposcopy</w:t>
            </w:r>
            <w:r>
              <w:rPr>
                <w:bCs/>
              </w:rPr>
              <w:t xml:space="preserve"> after 4 months</w:t>
            </w:r>
            <w:r w:rsidRPr="006131AC">
              <w:rPr>
                <w:bCs/>
              </w:rPr>
              <w:t>, CIN</w:t>
            </w:r>
            <w:r w:rsidR="004F3378">
              <w:rPr>
                <w:bCs/>
              </w:rPr>
              <w:t xml:space="preserve"> </w:t>
            </w:r>
            <w:r w:rsidRPr="006131AC">
              <w:rPr>
                <w:bCs/>
              </w:rPr>
              <w:t>2/3 for colposcopy</w:t>
            </w:r>
          </w:p>
        </w:tc>
        <w:tc>
          <w:tcPr>
            <w:tcW w:w="967" w:type="pct"/>
          </w:tcPr>
          <w:p w:rsidR="00E023D0" w:rsidRDefault="00E023D0" w:rsidP="00E023D0">
            <w:pPr>
              <w:pStyle w:val="Tabletext"/>
              <w:rPr>
                <w:bCs/>
              </w:rPr>
            </w:pPr>
            <w:r w:rsidRPr="002616F6">
              <w:rPr>
                <w:bCs/>
              </w:rPr>
              <w:t>- Test yield</w:t>
            </w:r>
          </w:p>
          <w:p w:rsidR="00E023D0" w:rsidRPr="002616F6" w:rsidRDefault="00E023D0" w:rsidP="00E023D0">
            <w:pPr>
              <w:pStyle w:val="Tabletext"/>
              <w:rPr>
                <w:bCs/>
              </w:rPr>
            </w:pPr>
            <w:r>
              <w:rPr>
                <w:bCs/>
              </w:rPr>
              <w:t xml:space="preserve">- Correlation </w:t>
            </w:r>
            <w:r w:rsidR="00D36279">
              <w:rPr>
                <w:bCs/>
              </w:rPr>
              <w:t xml:space="preserve">for all </w:t>
            </w:r>
            <w:r>
              <w:rPr>
                <w:bCs/>
              </w:rPr>
              <w:t xml:space="preserve">cytology </w:t>
            </w:r>
            <w:r w:rsidR="00D36279">
              <w:rPr>
                <w:bCs/>
              </w:rPr>
              <w:t xml:space="preserve">with </w:t>
            </w:r>
            <w:r>
              <w:rPr>
                <w:bCs/>
              </w:rPr>
              <w:t>histology results</w:t>
            </w:r>
          </w:p>
          <w:p w:rsidR="00E023D0" w:rsidRPr="00EC5206" w:rsidRDefault="00E023D0" w:rsidP="00E023D0">
            <w:pPr>
              <w:pStyle w:val="Tabletext"/>
              <w:rPr>
                <w:bCs/>
              </w:rPr>
            </w:pPr>
            <w:r w:rsidRPr="002616F6">
              <w:rPr>
                <w:bCs/>
              </w:rPr>
              <w:t>- Inadequate tests</w:t>
            </w:r>
          </w:p>
        </w:tc>
        <w:tc>
          <w:tcPr>
            <w:tcW w:w="1960" w:type="pct"/>
          </w:tcPr>
          <w:p w:rsidR="00E023D0" w:rsidRPr="00446E98" w:rsidRDefault="00446E98" w:rsidP="00446E98">
            <w:pPr>
              <w:pStyle w:val="Tabletext"/>
              <w:rPr>
                <w:bCs/>
              </w:rPr>
            </w:pPr>
            <w:r w:rsidRPr="00446E98">
              <w:rPr>
                <w:bCs/>
              </w:rPr>
              <w:t>Liquid cytology produced a significantly higher yield of histologic high-grade lesions compared with conventional Pap smears</w:t>
            </w:r>
            <w:r>
              <w:rPr>
                <w:bCs/>
              </w:rPr>
              <w:t>.</w:t>
            </w:r>
          </w:p>
        </w:tc>
      </w:tr>
      <w:tr w:rsidR="00E023D0" w:rsidRPr="00274021" w:rsidTr="00D36279">
        <w:trPr>
          <w:cantSplit/>
          <w:trHeight w:val="258"/>
        </w:trPr>
        <w:tc>
          <w:tcPr>
            <w:tcW w:w="446" w:type="pct"/>
          </w:tcPr>
          <w:p w:rsidR="00E023D0" w:rsidRDefault="00E023D0" w:rsidP="00E023D0">
            <w:pPr>
              <w:pStyle w:val="Tabletext"/>
            </w:pPr>
            <w:r w:rsidRPr="00B557B5">
              <w:t>Mac</w:t>
            </w:r>
            <w:r>
              <w:t>c</w:t>
            </w:r>
            <w:r w:rsidRPr="00B557B5">
              <w:t>allini 2008</w:t>
            </w:r>
          </w:p>
          <w:p w:rsidR="00E023D0" w:rsidRDefault="00E023D0" w:rsidP="00E023D0">
            <w:pPr>
              <w:pStyle w:val="Tabletext"/>
            </w:pPr>
            <w:r>
              <w:t>Italy</w:t>
            </w:r>
          </w:p>
          <w:p w:rsidR="00E023D0" w:rsidRPr="00B557B5" w:rsidRDefault="00EC5206" w:rsidP="00E023D0">
            <w:pPr>
              <w:pStyle w:val="Tabletext"/>
            </w:pPr>
            <w:r>
              <w:t>2001–</w:t>
            </w:r>
            <w:r w:rsidR="00E023D0">
              <w:t>2002</w:t>
            </w:r>
          </w:p>
        </w:tc>
        <w:tc>
          <w:tcPr>
            <w:tcW w:w="458" w:type="pct"/>
          </w:tcPr>
          <w:p w:rsidR="00E023D0" w:rsidRDefault="00E023D0" w:rsidP="00E023D0">
            <w:pPr>
              <w:pStyle w:val="Tabletext"/>
              <w:rPr>
                <w:bCs/>
              </w:rPr>
            </w:pPr>
            <w:r w:rsidRPr="00AA31A2">
              <w:rPr>
                <w:bCs/>
              </w:rPr>
              <w:t>N</w:t>
            </w:r>
            <w:r w:rsidR="005E0D57">
              <w:rPr>
                <w:bCs/>
              </w:rPr>
              <w:t>=</w:t>
            </w:r>
            <w:r w:rsidR="00EC5206">
              <w:rPr>
                <w:bCs/>
              </w:rPr>
              <w:t>8</w:t>
            </w:r>
            <w:r w:rsidR="000B18D8">
              <w:rPr>
                <w:bCs/>
              </w:rPr>
              <w:t>,</w:t>
            </w:r>
            <w:r>
              <w:rPr>
                <w:bCs/>
              </w:rPr>
              <w:t>654</w:t>
            </w:r>
          </w:p>
          <w:p w:rsidR="00E023D0" w:rsidRPr="006131AC" w:rsidRDefault="00F51F2E" w:rsidP="004D5A34">
            <w:pPr>
              <w:pStyle w:val="Tabletext"/>
              <w:rPr>
                <w:bCs/>
              </w:rPr>
            </w:pPr>
            <w:r>
              <w:rPr>
                <w:bCs/>
              </w:rPr>
              <w:t>Cell filtration LBC vs. CC</w:t>
            </w:r>
          </w:p>
        </w:tc>
        <w:tc>
          <w:tcPr>
            <w:tcW w:w="1169" w:type="pct"/>
          </w:tcPr>
          <w:p w:rsidR="00E023D0" w:rsidRDefault="00E023D0" w:rsidP="00E023D0">
            <w:pPr>
              <w:pStyle w:val="Tabletext"/>
              <w:rPr>
                <w:b/>
                <w:bCs/>
              </w:rPr>
            </w:pPr>
            <w:r>
              <w:rPr>
                <w:b/>
                <w:bCs/>
              </w:rPr>
              <w:t xml:space="preserve">Study design: </w:t>
            </w:r>
            <w:r w:rsidRPr="006131AC">
              <w:rPr>
                <w:bCs/>
              </w:rPr>
              <w:t>RCT</w:t>
            </w:r>
          </w:p>
          <w:p w:rsidR="00E023D0" w:rsidRPr="006C5C1F" w:rsidRDefault="00E023D0" w:rsidP="00E023D0">
            <w:pPr>
              <w:pStyle w:val="Tabletext"/>
              <w:rPr>
                <w:bCs/>
              </w:rPr>
            </w:pPr>
            <w:r>
              <w:rPr>
                <w:b/>
                <w:bCs/>
              </w:rPr>
              <w:t xml:space="preserve">Reference standard: </w:t>
            </w:r>
            <w:r w:rsidRPr="006131AC">
              <w:rPr>
                <w:bCs/>
              </w:rPr>
              <w:t>colposcopy ASCUS+ or higher</w:t>
            </w:r>
          </w:p>
        </w:tc>
        <w:tc>
          <w:tcPr>
            <w:tcW w:w="967" w:type="pct"/>
          </w:tcPr>
          <w:p w:rsidR="00E023D0" w:rsidRPr="00D169FB" w:rsidRDefault="00E023D0" w:rsidP="00E023D0">
            <w:pPr>
              <w:pStyle w:val="Tabletext"/>
              <w:rPr>
                <w:bCs/>
              </w:rPr>
            </w:pPr>
            <w:r>
              <w:rPr>
                <w:bCs/>
              </w:rPr>
              <w:t>- Test yield</w:t>
            </w:r>
          </w:p>
          <w:p w:rsidR="00E023D0" w:rsidRDefault="00E023D0" w:rsidP="00E023D0">
            <w:pPr>
              <w:pStyle w:val="Tabletext"/>
              <w:rPr>
                <w:bCs/>
              </w:rPr>
            </w:pPr>
            <w:r w:rsidRPr="00D169FB">
              <w:rPr>
                <w:bCs/>
              </w:rPr>
              <w:t>- Frequency of inadequate</w:t>
            </w:r>
            <w:r>
              <w:rPr>
                <w:bCs/>
              </w:rPr>
              <w:t xml:space="preserve"> reports</w:t>
            </w:r>
          </w:p>
          <w:p w:rsidR="00E023D0" w:rsidRDefault="00E023D0" w:rsidP="00E023D0">
            <w:pPr>
              <w:pStyle w:val="Tabletext"/>
              <w:rPr>
                <w:bCs/>
              </w:rPr>
            </w:pPr>
            <w:r>
              <w:rPr>
                <w:bCs/>
              </w:rPr>
              <w:t>- Referral rate to colposcopy</w:t>
            </w:r>
          </w:p>
          <w:p w:rsidR="00E023D0" w:rsidRDefault="00E023D0" w:rsidP="00E023D0">
            <w:pPr>
              <w:pStyle w:val="Tabletext"/>
              <w:rPr>
                <w:bCs/>
              </w:rPr>
            </w:pPr>
            <w:r>
              <w:rPr>
                <w:bCs/>
              </w:rPr>
              <w:t>- CIN2+ detection rate</w:t>
            </w:r>
          </w:p>
          <w:p w:rsidR="00E023D0" w:rsidRPr="00EC5206" w:rsidRDefault="00E023D0" w:rsidP="00E023D0">
            <w:pPr>
              <w:pStyle w:val="Tabletext"/>
              <w:rPr>
                <w:bCs/>
              </w:rPr>
            </w:pPr>
            <w:r>
              <w:rPr>
                <w:bCs/>
              </w:rPr>
              <w:t>- Referral PPV for CIN</w:t>
            </w:r>
            <w:r w:rsidR="00D71DDE">
              <w:rPr>
                <w:bCs/>
              </w:rPr>
              <w:t xml:space="preserve"> </w:t>
            </w:r>
            <w:r>
              <w:rPr>
                <w:bCs/>
              </w:rPr>
              <w:t>2+</w:t>
            </w:r>
          </w:p>
        </w:tc>
        <w:tc>
          <w:tcPr>
            <w:tcW w:w="1960" w:type="pct"/>
          </w:tcPr>
          <w:p w:rsidR="00E023D0" w:rsidRPr="00274021" w:rsidRDefault="00446E98" w:rsidP="00446E98">
            <w:pPr>
              <w:pStyle w:val="Tabletext"/>
              <w:rPr>
                <w:b/>
                <w:bCs/>
              </w:rPr>
            </w:pPr>
            <w:r w:rsidRPr="00446E98">
              <w:rPr>
                <w:bCs/>
              </w:rPr>
              <w:t xml:space="preserve">LBC reduced the inadequacy rate and decreased reading and was </w:t>
            </w:r>
            <w:r w:rsidR="00140CA4" w:rsidRPr="00446E98">
              <w:rPr>
                <w:bCs/>
              </w:rPr>
              <w:t>at least</w:t>
            </w:r>
            <w:r w:rsidRPr="00446E98">
              <w:rPr>
                <w:bCs/>
              </w:rPr>
              <w:t xml:space="preserve"> as sensitive as and more specific than conventional cytology.</w:t>
            </w:r>
          </w:p>
        </w:tc>
      </w:tr>
      <w:tr w:rsidR="00E023D0" w:rsidRPr="00274021" w:rsidTr="00D36279">
        <w:trPr>
          <w:cantSplit/>
          <w:trHeight w:val="258"/>
        </w:trPr>
        <w:tc>
          <w:tcPr>
            <w:tcW w:w="446" w:type="pct"/>
          </w:tcPr>
          <w:p w:rsidR="00E023D0" w:rsidRDefault="00E023D0" w:rsidP="00E023D0">
            <w:pPr>
              <w:pStyle w:val="Tabletext"/>
            </w:pPr>
            <w:r w:rsidRPr="00AF6012">
              <w:t>Obwegeser 2001</w:t>
            </w:r>
          </w:p>
          <w:p w:rsidR="00E023D0" w:rsidRDefault="00E023D0" w:rsidP="00E023D0">
            <w:pPr>
              <w:pStyle w:val="Tabletext"/>
            </w:pPr>
            <w:r>
              <w:t>Switzerland</w:t>
            </w:r>
          </w:p>
          <w:p w:rsidR="00E023D0" w:rsidRPr="00B557B5" w:rsidRDefault="00EC5206" w:rsidP="00E023D0">
            <w:pPr>
              <w:pStyle w:val="Tabletext"/>
            </w:pPr>
            <w:r>
              <w:t>July 1998–</w:t>
            </w:r>
            <w:r w:rsidR="00E023D0">
              <w:t>Sep 1998</w:t>
            </w:r>
          </w:p>
        </w:tc>
        <w:tc>
          <w:tcPr>
            <w:tcW w:w="458" w:type="pct"/>
          </w:tcPr>
          <w:p w:rsidR="00E023D0" w:rsidRDefault="00E023D0" w:rsidP="00E023D0">
            <w:pPr>
              <w:pStyle w:val="Tabletext"/>
              <w:rPr>
                <w:bCs/>
              </w:rPr>
            </w:pPr>
            <w:r w:rsidRPr="00AA31A2">
              <w:rPr>
                <w:bCs/>
              </w:rPr>
              <w:t>N</w:t>
            </w:r>
            <w:r w:rsidR="005E0D57">
              <w:rPr>
                <w:bCs/>
              </w:rPr>
              <w:t>=</w:t>
            </w:r>
            <w:r w:rsidR="00EC5206">
              <w:rPr>
                <w:bCs/>
              </w:rPr>
              <w:t>1</w:t>
            </w:r>
            <w:r>
              <w:rPr>
                <w:bCs/>
              </w:rPr>
              <w:t>999</w:t>
            </w:r>
          </w:p>
          <w:p w:rsidR="00E023D0" w:rsidRPr="006131AC" w:rsidRDefault="00F51F2E" w:rsidP="004D5A34">
            <w:pPr>
              <w:pStyle w:val="Tabletext"/>
              <w:rPr>
                <w:bCs/>
              </w:rPr>
            </w:pPr>
            <w:r>
              <w:rPr>
                <w:bCs/>
              </w:rPr>
              <w:t>Cell filtration LBC vs. CC</w:t>
            </w:r>
          </w:p>
        </w:tc>
        <w:tc>
          <w:tcPr>
            <w:tcW w:w="1169" w:type="pct"/>
          </w:tcPr>
          <w:p w:rsidR="00E023D0" w:rsidRDefault="00E023D0" w:rsidP="00E023D0">
            <w:pPr>
              <w:pStyle w:val="Tabletext"/>
              <w:rPr>
                <w:b/>
                <w:bCs/>
              </w:rPr>
            </w:pPr>
            <w:r>
              <w:rPr>
                <w:b/>
                <w:bCs/>
              </w:rPr>
              <w:t xml:space="preserve">Study design: </w:t>
            </w:r>
            <w:r>
              <w:rPr>
                <w:bCs/>
              </w:rPr>
              <w:t>RCT</w:t>
            </w:r>
          </w:p>
          <w:p w:rsidR="00E023D0" w:rsidRPr="006C5C1F" w:rsidRDefault="00E023D0" w:rsidP="00E023D0">
            <w:pPr>
              <w:pStyle w:val="Tabletext"/>
              <w:rPr>
                <w:bCs/>
              </w:rPr>
            </w:pPr>
            <w:r>
              <w:rPr>
                <w:b/>
                <w:bCs/>
              </w:rPr>
              <w:t xml:space="preserve">Reference standard: </w:t>
            </w:r>
            <w:r w:rsidRPr="00FD06D8">
              <w:rPr>
                <w:bCs/>
              </w:rPr>
              <w:t>Not reported. Only histological follow up of HSIL was performed in this study</w:t>
            </w:r>
          </w:p>
        </w:tc>
        <w:tc>
          <w:tcPr>
            <w:tcW w:w="967" w:type="pct"/>
          </w:tcPr>
          <w:p w:rsidR="00E023D0" w:rsidRDefault="00E023D0" w:rsidP="00E023D0">
            <w:pPr>
              <w:pStyle w:val="Tabletext"/>
              <w:rPr>
                <w:bCs/>
              </w:rPr>
            </w:pPr>
            <w:r>
              <w:rPr>
                <w:bCs/>
              </w:rPr>
              <w:t>- Test yield</w:t>
            </w:r>
          </w:p>
          <w:p w:rsidR="00E023D0" w:rsidRDefault="00E023D0" w:rsidP="00E023D0">
            <w:pPr>
              <w:pStyle w:val="Tabletext"/>
              <w:rPr>
                <w:bCs/>
              </w:rPr>
            </w:pPr>
            <w:r>
              <w:rPr>
                <w:bCs/>
              </w:rPr>
              <w:t>- Unsatisfactory tests</w:t>
            </w:r>
          </w:p>
          <w:p w:rsidR="00E023D0" w:rsidRPr="00444425" w:rsidRDefault="00E023D0" w:rsidP="00E023D0">
            <w:pPr>
              <w:pStyle w:val="Tabletext"/>
              <w:rPr>
                <w:bCs/>
              </w:rPr>
            </w:pPr>
            <w:r>
              <w:rPr>
                <w:bCs/>
              </w:rPr>
              <w:t>- Specimen adequacy (sensitivity and specificity)</w:t>
            </w:r>
          </w:p>
        </w:tc>
        <w:tc>
          <w:tcPr>
            <w:tcW w:w="1960" w:type="pct"/>
          </w:tcPr>
          <w:p w:rsidR="00E023D0" w:rsidRPr="00274021" w:rsidRDefault="00446E98" w:rsidP="00446E98">
            <w:pPr>
              <w:pStyle w:val="Tabletext"/>
              <w:rPr>
                <w:b/>
                <w:bCs/>
              </w:rPr>
            </w:pPr>
            <w:r w:rsidRPr="00446E98">
              <w:rPr>
                <w:bCs/>
              </w:rPr>
              <w:t>No statistically significant differences in diagnostic categories. Specimen adequacy was superior with CC (p&lt;0.001).</w:t>
            </w:r>
            <w:r>
              <w:rPr>
                <w:b/>
                <w:bCs/>
              </w:rPr>
              <w:t xml:space="preserve"> </w:t>
            </w:r>
          </w:p>
        </w:tc>
      </w:tr>
      <w:tr w:rsidR="00E023D0" w:rsidRPr="00274021" w:rsidTr="00D36279">
        <w:trPr>
          <w:cantSplit/>
          <w:trHeight w:val="258"/>
        </w:trPr>
        <w:tc>
          <w:tcPr>
            <w:tcW w:w="446" w:type="pct"/>
          </w:tcPr>
          <w:p w:rsidR="00E023D0" w:rsidRDefault="00E023D0" w:rsidP="00E023D0">
            <w:pPr>
              <w:pStyle w:val="Tabletext"/>
            </w:pPr>
            <w:r>
              <w:t>RHINE-SAAR Study</w:t>
            </w:r>
          </w:p>
          <w:p w:rsidR="00E023D0" w:rsidRDefault="00E023D0" w:rsidP="00E023D0">
            <w:pPr>
              <w:pStyle w:val="Tabletext"/>
            </w:pPr>
            <w:r>
              <w:t>Germany</w:t>
            </w:r>
          </w:p>
          <w:p w:rsidR="00E023D0" w:rsidRPr="00AF6012" w:rsidRDefault="00EC5206" w:rsidP="00E023D0">
            <w:pPr>
              <w:pStyle w:val="Tabletext"/>
            </w:pPr>
            <w:r>
              <w:t>August 2007 –</w:t>
            </w:r>
            <w:r w:rsidR="00E023D0">
              <w:t>October 2008</w:t>
            </w:r>
          </w:p>
        </w:tc>
        <w:tc>
          <w:tcPr>
            <w:tcW w:w="458" w:type="pct"/>
          </w:tcPr>
          <w:p w:rsidR="00E023D0" w:rsidRDefault="00E023D0" w:rsidP="00E023D0">
            <w:pPr>
              <w:pStyle w:val="Tabletext"/>
              <w:rPr>
                <w:bCs/>
              </w:rPr>
            </w:pPr>
            <w:r>
              <w:rPr>
                <w:bCs/>
              </w:rPr>
              <w:t>N=21,081</w:t>
            </w:r>
          </w:p>
          <w:p w:rsidR="00E023D0" w:rsidRPr="00AA31A2" w:rsidRDefault="00F51F2E" w:rsidP="004D5A34">
            <w:pPr>
              <w:pStyle w:val="Tabletext"/>
              <w:rPr>
                <w:bCs/>
              </w:rPr>
            </w:pPr>
            <w:r>
              <w:rPr>
                <w:bCs/>
              </w:rPr>
              <w:t>Cell filtration LBC vs. CC</w:t>
            </w:r>
          </w:p>
        </w:tc>
        <w:tc>
          <w:tcPr>
            <w:tcW w:w="1169" w:type="pct"/>
          </w:tcPr>
          <w:p w:rsidR="00E023D0" w:rsidRDefault="00E023D0" w:rsidP="00E023D0">
            <w:pPr>
              <w:pStyle w:val="Tabletext"/>
              <w:rPr>
                <w:bCs/>
              </w:rPr>
            </w:pPr>
            <w:r>
              <w:rPr>
                <w:b/>
                <w:bCs/>
              </w:rPr>
              <w:t>Study design:</w:t>
            </w:r>
            <w:r>
              <w:rPr>
                <w:bCs/>
              </w:rPr>
              <w:t xml:space="preserve"> RCT</w:t>
            </w:r>
          </w:p>
          <w:p w:rsidR="00E023D0" w:rsidRPr="00B86C2F" w:rsidRDefault="00E023D0" w:rsidP="00E023D0">
            <w:pPr>
              <w:pStyle w:val="Tabletext"/>
              <w:rPr>
                <w:bCs/>
              </w:rPr>
            </w:pPr>
            <w:r>
              <w:rPr>
                <w:b/>
                <w:bCs/>
              </w:rPr>
              <w:t>Reference standard:</w:t>
            </w:r>
            <w:r>
              <w:rPr>
                <w:bCs/>
              </w:rPr>
              <w:t xml:space="preserve"> NR</w:t>
            </w:r>
          </w:p>
        </w:tc>
        <w:tc>
          <w:tcPr>
            <w:tcW w:w="967" w:type="pct"/>
          </w:tcPr>
          <w:p w:rsidR="00E023D0" w:rsidRDefault="00E023D0" w:rsidP="00E023D0">
            <w:pPr>
              <w:pStyle w:val="Tabletext"/>
              <w:rPr>
                <w:bCs/>
              </w:rPr>
            </w:pPr>
            <w:r>
              <w:rPr>
                <w:bCs/>
              </w:rPr>
              <w:t>Relative sensitivity for histologically confirmed CIN</w:t>
            </w:r>
            <w:r w:rsidR="00EC5206">
              <w:rPr>
                <w:bCs/>
              </w:rPr>
              <w:t xml:space="preserve"> </w:t>
            </w:r>
            <w:r>
              <w:rPr>
                <w:bCs/>
              </w:rPr>
              <w:t>2+</w:t>
            </w:r>
          </w:p>
        </w:tc>
        <w:tc>
          <w:tcPr>
            <w:tcW w:w="1960" w:type="pct"/>
          </w:tcPr>
          <w:p w:rsidR="00E023D0" w:rsidRPr="00274021" w:rsidRDefault="00D36279" w:rsidP="00446E98">
            <w:pPr>
              <w:pStyle w:val="Tabletext"/>
              <w:rPr>
                <w:b/>
                <w:bCs/>
              </w:rPr>
            </w:pPr>
            <w:r w:rsidRPr="00D36279">
              <w:rPr>
                <w:bCs/>
              </w:rPr>
              <w:t>LBC without and with thin prep imaging system compared to CC had a significantly higher sensitivity for the detection of CIN without deterioration of PPVs</w:t>
            </w:r>
            <w:r>
              <w:rPr>
                <w:bCs/>
              </w:rPr>
              <w:t>.</w:t>
            </w:r>
          </w:p>
        </w:tc>
      </w:tr>
      <w:tr w:rsidR="00E023D0" w:rsidRPr="00274021" w:rsidTr="004B3488">
        <w:trPr>
          <w:cantSplit/>
          <w:trHeight w:val="258"/>
        </w:trPr>
        <w:tc>
          <w:tcPr>
            <w:tcW w:w="5000" w:type="pct"/>
            <w:gridSpan w:val="5"/>
            <w:shd w:val="clear" w:color="auto" w:fill="D9D9D9"/>
          </w:tcPr>
          <w:p w:rsidR="00E023D0" w:rsidRPr="00274021" w:rsidRDefault="00EC5206" w:rsidP="00E023D0">
            <w:pPr>
              <w:pStyle w:val="Tabletext"/>
              <w:rPr>
                <w:b/>
                <w:bCs/>
              </w:rPr>
            </w:pPr>
            <w:r>
              <w:rPr>
                <w:b/>
              </w:rPr>
              <w:t>Manual verses a</w:t>
            </w:r>
            <w:r w:rsidR="00E023D0">
              <w:rPr>
                <w:b/>
              </w:rPr>
              <w:t>utomated</w:t>
            </w:r>
            <w:r w:rsidR="00E023D0" w:rsidRPr="00B13497">
              <w:rPr>
                <w:b/>
              </w:rPr>
              <w:t xml:space="preserve"> </w:t>
            </w:r>
          </w:p>
        </w:tc>
      </w:tr>
      <w:tr w:rsidR="00E023D0" w:rsidRPr="00274021" w:rsidTr="00D36279">
        <w:trPr>
          <w:cantSplit/>
          <w:trHeight w:val="258"/>
        </w:trPr>
        <w:tc>
          <w:tcPr>
            <w:tcW w:w="446" w:type="pct"/>
          </w:tcPr>
          <w:p w:rsidR="00E023D0" w:rsidRDefault="00EC5206" w:rsidP="00E023D0">
            <w:pPr>
              <w:pStyle w:val="Tabletext"/>
            </w:pPr>
            <w:r>
              <w:lastRenderedPageBreak/>
              <w:t>MAVARIC S</w:t>
            </w:r>
            <w:r w:rsidR="00E023D0">
              <w:t>tudy</w:t>
            </w:r>
          </w:p>
          <w:p w:rsidR="00E023D0" w:rsidRDefault="00EC5206" w:rsidP="00E023D0">
            <w:pPr>
              <w:pStyle w:val="Tabletext"/>
            </w:pPr>
            <w:r>
              <w:t xml:space="preserve">(Kitchener 2011a, </w:t>
            </w:r>
            <w:r w:rsidR="00E023D0">
              <w:t>b)</w:t>
            </w:r>
          </w:p>
          <w:p w:rsidR="00E023D0" w:rsidRDefault="00E023D0" w:rsidP="00E023D0">
            <w:pPr>
              <w:pStyle w:val="Tabletext"/>
            </w:pPr>
            <w:r>
              <w:t>UK</w:t>
            </w:r>
          </w:p>
          <w:p w:rsidR="00E023D0" w:rsidRPr="00274021" w:rsidRDefault="00EC5206" w:rsidP="00E023D0">
            <w:pPr>
              <w:pStyle w:val="Tabletext"/>
            </w:pPr>
            <w:r>
              <w:t>Mar 2006–</w:t>
            </w:r>
            <w:r w:rsidR="00E023D0">
              <w:t>Feb 2009</w:t>
            </w:r>
          </w:p>
        </w:tc>
        <w:tc>
          <w:tcPr>
            <w:tcW w:w="458" w:type="pct"/>
          </w:tcPr>
          <w:p w:rsidR="00E023D0" w:rsidRDefault="00E023D0" w:rsidP="00E023D0">
            <w:pPr>
              <w:pStyle w:val="Tabletext"/>
              <w:rPr>
                <w:bCs/>
              </w:rPr>
            </w:pPr>
            <w:r>
              <w:rPr>
                <w:bCs/>
              </w:rPr>
              <w:t>N</w:t>
            </w:r>
            <w:r w:rsidR="005E0D57">
              <w:rPr>
                <w:bCs/>
              </w:rPr>
              <w:t>=</w:t>
            </w:r>
            <w:r>
              <w:rPr>
                <w:bCs/>
              </w:rPr>
              <w:t>73,266</w:t>
            </w:r>
          </w:p>
          <w:p w:rsidR="00E023D0" w:rsidRPr="006C5C1F" w:rsidRDefault="00F51F2E" w:rsidP="00E023D0">
            <w:pPr>
              <w:pStyle w:val="Tabletext"/>
              <w:rPr>
                <w:bCs/>
              </w:rPr>
            </w:pPr>
            <w:r>
              <w:rPr>
                <w:bCs/>
              </w:rPr>
              <w:t>Cell filtration</w:t>
            </w:r>
            <w:r w:rsidR="00E023D0">
              <w:rPr>
                <w:bCs/>
              </w:rPr>
              <w:t xml:space="preserve"> manual LBC</w:t>
            </w:r>
            <w:r>
              <w:rPr>
                <w:bCs/>
              </w:rPr>
              <w:t xml:space="preserve"> </w:t>
            </w:r>
            <w:r w:rsidR="00E023D0">
              <w:rPr>
                <w:bCs/>
              </w:rPr>
              <w:t>vs.</w:t>
            </w:r>
            <w:r>
              <w:rPr>
                <w:bCs/>
              </w:rPr>
              <w:t xml:space="preserve"> cell enrichment</w:t>
            </w:r>
            <w:r w:rsidR="00E023D0">
              <w:rPr>
                <w:bCs/>
              </w:rPr>
              <w:t xml:space="preserve"> manual LBC</w:t>
            </w:r>
            <w:r>
              <w:rPr>
                <w:bCs/>
              </w:rPr>
              <w:t xml:space="preserve"> </w:t>
            </w:r>
            <w:r w:rsidR="00E023D0">
              <w:rPr>
                <w:bCs/>
              </w:rPr>
              <w:t>vs.</w:t>
            </w:r>
            <w:r w:rsidR="00EC5206">
              <w:rPr>
                <w:bCs/>
              </w:rPr>
              <w:t xml:space="preserve"> </w:t>
            </w:r>
            <w:r>
              <w:rPr>
                <w:bCs/>
              </w:rPr>
              <w:t>cell filtration</w:t>
            </w:r>
            <w:r w:rsidR="00E023D0">
              <w:rPr>
                <w:bCs/>
              </w:rPr>
              <w:t xml:space="preserve"> automated and manual LBC</w:t>
            </w:r>
            <w:r>
              <w:rPr>
                <w:bCs/>
              </w:rPr>
              <w:t xml:space="preserve"> </w:t>
            </w:r>
            <w:r w:rsidR="00E023D0">
              <w:rPr>
                <w:bCs/>
              </w:rPr>
              <w:t xml:space="preserve">vs. </w:t>
            </w:r>
            <w:r>
              <w:rPr>
                <w:bCs/>
              </w:rPr>
              <w:t>cell enrichment</w:t>
            </w:r>
            <w:r w:rsidR="00E023D0">
              <w:rPr>
                <w:bCs/>
              </w:rPr>
              <w:t xml:space="preserve"> automated and manual LBC</w:t>
            </w:r>
          </w:p>
        </w:tc>
        <w:tc>
          <w:tcPr>
            <w:tcW w:w="1169" w:type="pct"/>
          </w:tcPr>
          <w:p w:rsidR="00E023D0" w:rsidRPr="008B2837" w:rsidRDefault="00E023D0" w:rsidP="00E023D0">
            <w:pPr>
              <w:pStyle w:val="Tabletext"/>
              <w:rPr>
                <w:bCs/>
              </w:rPr>
            </w:pPr>
            <w:r>
              <w:rPr>
                <w:b/>
                <w:bCs/>
              </w:rPr>
              <w:t xml:space="preserve">Study design: </w:t>
            </w:r>
            <w:r>
              <w:rPr>
                <w:bCs/>
              </w:rPr>
              <w:t>RCT</w:t>
            </w:r>
          </w:p>
          <w:p w:rsidR="00E023D0" w:rsidRPr="00EC5206" w:rsidRDefault="00E023D0" w:rsidP="00E023D0">
            <w:pPr>
              <w:pStyle w:val="Tabletext"/>
              <w:rPr>
                <w:bCs/>
              </w:rPr>
            </w:pPr>
            <w:r>
              <w:rPr>
                <w:bCs/>
              </w:rPr>
              <w:t>Manual only arm compared with manual reading paired with automated reading. Both cell enrichment and cell filtration methodologies evaluated.</w:t>
            </w:r>
          </w:p>
          <w:p w:rsidR="00E023D0" w:rsidRPr="006C5C1F" w:rsidRDefault="00E023D0" w:rsidP="00E023D0">
            <w:pPr>
              <w:pStyle w:val="Tabletext"/>
              <w:rPr>
                <w:bCs/>
              </w:rPr>
            </w:pPr>
            <w:r>
              <w:rPr>
                <w:b/>
                <w:bCs/>
              </w:rPr>
              <w:t xml:space="preserve">Reference standard: </w:t>
            </w:r>
            <w:r w:rsidR="00EC5206">
              <w:rPr>
                <w:bCs/>
              </w:rPr>
              <w:t>colposcopy—</w:t>
            </w:r>
            <w:r w:rsidRPr="008B2837">
              <w:rPr>
                <w:bCs/>
              </w:rPr>
              <w:t>high grade abnormality and HPV positive cases referred</w:t>
            </w:r>
          </w:p>
        </w:tc>
        <w:tc>
          <w:tcPr>
            <w:tcW w:w="967" w:type="pct"/>
          </w:tcPr>
          <w:p w:rsidR="00E023D0" w:rsidRDefault="00E023D0" w:rsidP="00E023D0">
            <w:pPr>
              <w:pStyle w:val="Tabletext"/>
              <w:rPr>
                <w:bCs/>
              </w:rPr>
            </w:pPr>
            <w:r w:rsidRPr="00BA06A6">
              <w:rPr>
                <w:bCs/>
              </w:rPr>
              <w:t>- Test yield</w:t>
            </w:r>
          </w:p>
          <w:p w:rsidR="00E023D0" w:rsidRDefault="00E023D0" w:rsidP="00E023D0">
            <w:pPr>
              <w:pStyle w:val="Tabletext"/>
              <w:rPr>
                <w:bCs/>
              </w:rPr>
            </w:pPr>
            <w:r>
              <w:rPr>
                <w:bCs/>
              </w:rPr>
              <w:t>- Sensitivity and specificity</w:t>
            </w:r>
          </w:p>
          <w:p w:rsidR="00E023D0" w:rsidRPr="00BA06A6" w:rsidRDefault="00E023D0" w:rsidP="00E023D0">
            <w:pPr>
              <w:pStyle w:val="Tabletext"/>
              <w:rPr>
                <w:bCs/>
              </w:rPr>
            </w:pPr>
            <w:r>
              <w:rPr>
                <w:bCs/>
              </w:rPr>
              <w:t xml:space="preserve">- </w:t>
            </w:r>
            <w:r w:rsidRPr="00D94024">
              <w:rPr>
                <w:bCs/>
              </w:rPr>
              <w:t>Cost effectiveness of manual vs. automated reading to detect CIN</w:t>
            </w:r>
            <w:r w:rsidR="00EC5206">
              <w:rPr>
                <w:bCs/>
              </w:rPr>
              <w:t xml:space="preserve"> </w:t>
            </w:r>
            <w:r w:rsidRPr="00D94024">
              <w:rPr>
                <w:bCs/>
              </w:rPr>
              <w:t>2+</w:t>
            </w:r>
          </w:p>
        </w:tc>
        <w:tc>
          <w:tcPr>
            <w:tcW w:w="1960" w:type="pct"/>
          </w:tcPr>
          <w:p w:rsidR="00E023D0" w:rsidRPr="00274021" w:rsidRDefault="00D36279" w:rsidP="00D36279">
            <w:pPr>
              <w:pStyle w:val="Tabletext"/>
              <w:rPr>
                <w:b/>
                <w:bCs/>
              </w:rPr>
            </w:pPr>
            <w:r w:rsidRPr="00D36279">
              <w:rPr>
                <w:bCs/>
              </w:rPr>
              <w:t>Automation-assisted reading was 8% less sensitive than manual in the detection of CIN2+ and 5% less sensitive for CIN3+.</w:t>
            </w:r>
          </w:p>
        </w:tc>
      </w:tr>
      <w:tr w:rsidR="00E023D0" w:rsidRPr="00274021" w:rsidTr="00D36279">
        <w:trPr>
          <w:cantSplit/>
          <w:trHeight w:val="258"/>
        </w:trPr>
        <w:tc>
          <w:tcPr>
            <w:tcW w:w="446" w:type="pct"/>
          </w:tcPr>
          <w:p w:rsidR="00E023D0" w:rsidRDefault="00E023D0" w:rsidP="00E023D0">
            <w:pPr>
              <w:pStyle w:val="Tabletext"/>
            </w:pPr>
            <w:r>
              <w:t>Palmer 2012</w:t>
            </w:r>
          </w:p>
          <w:p w:rsidR="00E023D0" w:rsidRDefault="00E023D0" w:rsidP="00E023D0">
            <w:pPr>
              <w:pStyle w:val="Tabletext"/>
            </w:pPr>
            <w:r>
              <w:t>Scotland</w:t>
            </w:r>
          </w:p>
        </w:tc>
        <w:tc>
          <w:tcPr>
            <w:tcW w:w="458" w:type="pct"/>
          </w:tcPr>
          <w:p w:rsidR="00E023D0" w:rsidRDefault="00E023D0" w:rsidP="00E023D0">
            <w:pPr>
              <w:pStyle w:val="Tabletext"/>
              <w:rPr>
                <w:bCs/>
              </w:rPr>
            </w:pPr>
            <w:r>
              <w:rPr>
                <w:bCs/>
              </w:rPr>
              <w:t>N=169,917</w:t>
            </w:r>
          </w:p>
          <w:p w:rsidR="00E023D0" w:rsidRPr="006C5C1F" w:rsidRDefault="00F51F2E" w:rsidP="00E023D0">
            <w:pPr>
              <w:pStyle w:val="Tabletext"/>
              <w:rPr>
                <w:bCs/>
              </w:rPr>
            </w:pPr>
            <w:r>
              <w:rPr>
                <w:bCs/>
              </w:rPr>
              <w:t>Cell filtration</w:t>
            </w:r>
            <w:r w:rsidR="00E023D0">
              <w:rPr>
                <w:bCs/>
              </w:rPr>
              <w:t xml:space="preserve"> manual LBC</w:t>
            </w:r>
            <w:r>
              <w:rPr>
                <w:bCs/>
              </w:rPr>
              <w:t xml:space="preserve"> </w:t>
            </w:r>
            <w:r w:rsidR="00E023D0">
              <w:rPr>
                <w:bCs/>
              </w:rPr>
              <w:t>vs.</w:t>
            </w:r>
            <w:r w:rsidR="00EC5206">
              <w:rPr>
                <w:bCs/>
              </w:rPr>
              <w:t xml:space="preserve"> </w:t>
            </w:r>
            <w:r>
              <w:rPr>
                <w:bCs/>
              </w:rPr>
              <w:t>cell filtration</w:t>
            </w:r>
            <w:r w:rsidR="00E023D0">
              <w:rPr>
                <w:bCs/>
              </w:rPr>
              <w:t xml:space="preserve"> automated LBC</w:t>
            </w:r>
          </w:p>
        </w:tc>
        <w:tc>
          <w:tcPr>
            <w:tcW w:w="1169" w:type="pct"/>
          </w:tcPr>
          <w:p w:rsidR="00E023D0" w:rsidRDefault="00E023D0" w:rsidP="00E023D0">
            <w:pPr>
              <w:pStyle w:val="Tabletext"/>
              <w:rPr>
                <w:b/>
                <w:bCs/>
              </w:rPr>
            </w:pPr>
            <w:r>
              <w:rPr>
                <w:b/>
                <w:bCs/>
              </w:rPr>
              <w:t xml:space="preserve">Study design: </w:t>
            </w:r>
            <w:r w:rsidRPr="001A56FA">
              <w:rPr>
                <w:bCs/>
              </w:rPr>
              <w:t>RCT</w:t>
            </w:r>
          </w:p>
          <w:p w:rsidR="00E023D0" w:rsidRPr="00EC5206" w:rsidRDefault="00E023D0" w:rsidP="00E023D0">
            <w:pPr>
              <w:pStyle w:val="Tabletext"/>
              <w:rPr>
                <w:bCs/>
              </w:rPr>
            </w:pPr>
            <w:r>
              <w:rPr>
                <w:b/>
                <w:bCs/>
              </w:rPr>
              <w:t xml:space="preserve">Reference standard: </w:t>
            </w:r>
            <w:r w:rsidRPr="00FC5CAA">
              <w:rPr>
                <w:bCs/>
              </w:rPr>
              <w:t>referral to</w:t>
            </w:r>
            <w:r>
              <w:rPr>
                <w:b/>
                <w:bCs/>
              </w:rPr>
              <w:t xml:space="preserve"> </w:t>
            </w:r>
            <w:r>
              <w:rPr>
                <w:bCs/>
              </w:rPr>
              <w:t xml:space="preserve">colposcopy for all cytology results classified as </w:t>
            </w:r>
            <w:r w:rsidRPr="00360382">
              <w:rPr>
                <w:bCs/>
              </w:rPr>
              <w:t>ASCUS+</w:t>
            </w:r>
          </w:p>
        </w:tc>
        <w:tc>
          <w:tcPr>
            <w:tcW w:w="967" w:type="pct"/>
          </w:tcPr>
          <w:p w:rsidR="00E023D0" w:rsidRDefault="00E023D0" w:rsidP="00E023D0">
            <w:pPr>
              <w:pStyle w:val="Tabletext"/>
            </w:pPr>
            <w:r>
              <w:t>- Test yield</w:t>
            </w:r>
          </w:p>
          <w:p w:rsidR="00E023D0" w:rsidRDefault="00E023D0" w:rsidP="00E023D0">
            <w:pPr>
              <w:pStyle w:val="Tabletext"/>
            </w:pPr>
            <w:r>
              <w:t>- Inadequate rates</w:t>
            </w:r>
          </w:p>
          <w:p w:rsidR="00E023D0" w:rsidRDefault="00E023D0" w:rsidP="00E023D0">
            <w:pPr>
              <w:pStyle w:val="Tabletext"/>
            </w:pPr>
            <w:r>
              <w:t>- Sensitivity, specificity and predictive value for final cytology report</w:t>
            </w:r>
          </w:p>
          <w:p w:rsidR="00E023D0" w:rsidRDefault="00E023D0" w:rsidP="00E023D0">
            <w:pPr>
              <w:pStyle w:val="Tabletext"/>
            </w:pPr>
            <w:r>
              <w:t>- Correlation between cytology and histology (CIN</w:t>
            </w:r>
            <w:r w:rsidR="00F51F2E">
              <w:t xml:space="preserve"> </w:t>
            </w:r>
            <w:r>
              <w:t>2+ and CIN</w:t>
            </w:r>
            <w:r w:rsidR="00F51F2E">
              <w:t xml:space="preserve"> </w:t>
            </w:r>
            <w:r>
              <w:t>3+ detection rates)</w:t>
            </w:r>
          </w:p>
          <w:p w:rsidR="00E023D0" w:rsidRPr="00EC5206" w:rsidRDefault="00E023D0" w:rsidP="00E023D0">
            <w:pPr>
              <w:pStyle w:val="Tabletext"/>
            </w:pPr>
            <w:r>
              <w:t>- Productivity data</w:t>
            </w:r>
          </w:p>
        </w:tc>
        <w:tc>
          <w:tcPr>
            <w:tcW w:w="1960" w:type="pct"/>
          </w:tcPr>
          <w:p w:rsidR="00E023D0" w:rsidRPr="00274021" w:rsidRDefault="00140CA4" w:rsidP="00D36279">
            <w:pPr>
              <w:pStyle w:val="Tabletext"/>
              <w:rPr>
                <w:b/>
                <w:bCs/>
              </w:rPr>
            </w:pPr>
            <w:r w:rsidRPr="00D36279">
              <w:rPr>
                <w:bCs/>
              </w:rPr>
              <w:t>There was</w:t>
            </w:r>
            <w:r w:rsidR="00D36279" w:rsidRPr="00D36279">
              <w:rPr>
                <w:bCs/>
              </w:rPr>
              <w:t xml:space="preserve"> no evidence of a significant difference in the detection of CIN2 + or CIN3 </w:t>
            </w:r>
            <w:proofErr w:type="gramStart"/>
            <w:r w:rsidR="00D36279" w:rsidRPr="00D36279">
              <w:rPr>
                <w:bCs/>
              </w:rPr>
              <w:t>+ .</w:t>
            </w:r>
            <w:proofErr w:type="gramEnd"/>
            <w:r w:rsidR="00D36279" w:rsidRPr="00D36279">
              <w:rPr>
                <w:bCs/>
              </w:rPr>
              <w:t xml:space="preserve"> Positive, abnormal and total predictive values (high-grade, low-grade and all abnormal cytology found to be CIN2 </w:t>
            </w:r>
            <w:proofErr w:type="gramStart"/>
            <w:r w:rsidR="00D36279" w:rsidRPr="00D36279">
              <w:rPr>
                <w:bCs/>
              </w:rPr>
              <w:t>+ ,</w:t>
            </w:r>
            <w:proofErr w:type="gramEnd"/>
            <w:r w:rsidR="00D36279" w:rsidRPr="00D36279">
              <w:rPr>
                <w:bCs/>
              </w:rPr>
              <w:t xml:space="preserve"> respectively) were similar in both arms. Productivity was significantly higher in the imager arm.</w:t>
            </w:r>
          </w:p>
        </w:tc>
      </w:tr>
    </w:tbl>
    <w:p w:rsidR="00416B1C" w:rsidRDefault="006E72DC" w:rsidP="006E72DC">
      <w:pPr>
        <w:pStyle w:val="Tabletext"/>
      </w:pPr>
      <w:r w:rsidRPr="00206FA0">
        <w:t>Abbreviations:</w:t>
      </w:r>
      <w:r>
        <w:t xml:space="preserve"> </w:t>
      </w:r>
      <w:r w:rsidR="00D71DDE">
        <w:t xml:space="preserve">CC, conventional cytology; </w:t>
      </w:r>
      <w:r w:rsidR="00206FA0">
        <w:t xml:space="preserve">CIN, cervical intraepithelial neoplasia; </w:t>
      </w:r>
      <w:r w:rsidR="00F0384C">
        <w:t xml:space="preserve">HPV, human papilloma virus; </w:t>
      </w:r>
      <w:r w:rsidR="00D71DDE">
        <w:t>LBC, liquid-based cytology;</w:t>
      </w:r>
      <w:r w:rsidR="00206FA0">
        <w:t xml:space="preserve"> LSIL low-grade squamous intraepithelial lesion; </w:t>
      </w:r>
      <w:r w:rsidR="00D71DDE">
        <w:t>NR</w:t>
      </w:r>
      <w:r w:rsidR="00206FA0">
        <w:t>, not reported;</w:t>
      </w:r>
      <w:r w:rsidR="00206FA0" w:rsidRPr="00206FA0">
        <w:t xml:space="preserve"> </w:t>
      </w:r>
      <w:r w:rsidR="00206FA0">
        <w:t>PPV, positive predictive value; RCT, randomised controlled trial</w:t>
      </w:r>
    </w:p>
    <w:p w:rsidR="006E72DC" w:rsidRDefault="006E72DC" w:rsidP="00E023D0">
      <w:pPr>
        <w:pStyle w:val="Tablenotes"/>
      </w:pPr>
    </w:p>
    <w:p w:rsidR="006E72DC" w:rsidRPr="00274021" w:rsidRDefault="006E72DC" w:rsidP="00E023D0">
      <w:pPr>
        <w:pStyle w:val="Tablenotes"/>
        <w:sectPr w:rsidR="006E72DC" w:rsidRPr="00274021" w:rsidSect="008846BA">
          <w:pgSz w:w="16839" w:h="11907" w:orient="landscape" w:code="9"/>
          <w:pgMar w:top="1701" w:right="1418" w:bottom="1418" w:left="1701" w:header="720" w:footer="720" w:gutter="0"/>
          <w:paperSrc w:first="4035" w:other="4035"/>
          <w:cols w:space="720"/>
          <w:noEndnote/>
          <w:docGrid w:linePitch="299"/>
        </w:sectPr>
      </w:pPr>
    </w:p>
    <w:p w:rsidR="0035157F" w:rsidRDefault="00416B1C">
      <w:bookmarkStart w:id="128" w:name="_Toc191822154"/>
      <w:bookmarkStart w:id="129" w:name="_Toc191822204"/>
      <w:bookmarkStart w:id="130" w:name="_Toc191822254"/>
      <w:bookmarkStart w:id="131" w:name="_Toc258501775"/>
      <w:bookmarkStart w:id="132" w:name="_Toc312340154"/>
      <w:r w:rsidRPr="00416B1C">
        <w:lastRenderedPageBreak/>
        <w:t>As recommended by the MSAC secretariat the format of the submission aligns with the template provided in the PBAC guidelines (Version 4.3 December 2008). Particular attention will be focused on the following study characteristics which potentially influence test validity estimation for cervical screening derived from the Standards for Reporting of Diagnostic Accuracy (Arbyn et al. 2008</w:t>
      </w:r>
      <w:r>
        <w:t>)</w:t>
      </w:r>
      <w:r w:rsidRPr="00416B1C">
        <w:t xml:space="preserve">. The following study quality properties and population characteristics are checked and summarized in comprehensive tables: </w:t>
      </w:r>
    </w:p>
    <w:p w:rsidR="0035157F" w:rsidRDefault="00416B1C">
      <w:r w:rsidRPr="00416B1C">
        <w:t>•</w:t>
      </w:r>
      <w:r w:rsidRPr="00416B1C">
        <w:tab/>
      </w:r>
      <w:proofErr w:type="gramStart"/>
      <w:r w:rsidRPr="00416B1C">
        <w:t>service</w:t>
      </w:r>
      <w:proofErr w:type="gramEnd"/>
      <w:r w:rsidRPr="00416B1C">
        <w:t xml:space="preserve"> properties (geographical area, type of health service, professional groups taking the smears); </w:t>
      </w:r>
    </w:p>
    <w:p w:rsidR="0035157F" w:rsidRDefault="00416B1C">
      <w:r w:rsidRPr="00416B1C">
        <w:t>•</w:t>
      </w:r>
      <w:r w:rsidRPr="00416B1C">
        <w:tab/>
      </w:r>
      <w:proofErr w:type="gramStart"/>
      <w:r w:rsidRPr="00416B1C">
        <w:t>clinical</w:t>
      </w:r>
      <w:proofErr w:type="gramEnd"/>
      <w:r w:rsidRPr="00416B1C">
        <w:t xml:space="preserve"> setting (screening population, women examined for clinical indications, or mixed population); </w:t>
      </w:r>
    </w:p>
    <w:p w:rsidR="0035157F" w:rsidRDefault="00416B1C">
      <w:r w:rsidRPr="00416B1C">
        <w:t>•</w:t>
      </w:r>
      <w:r w:rsidRPr="00416B1C">
        <w:tab/>
      </w:r>
      <w:proofErr w:type="gramStart"/>
      <w:r w:rsidRPr="00416B1C">
        <w:t>inclusion</w:t>
      </w:r>
      <w:proofErr w:type="gramEnd"/>
      <w:r w:rsidRPr="00416B1C">
        <w:t xml:space="preserve"> and exclusion criteria; </w:t>
      </w:r>
    </w:p>
    <w:p w:rsidR="0035157F" w:rsidRDefault="00416B1C">
      <w:r w:rsidRPr="00416B1C">
        <w:t>•</w:t>
      </w:r>
      <w:r w:rsidRPr="00416B1C">
        <w:tab/>
      </w:r>
      <w:proofErr w:type="gramStart"/>
      <w:r w:rsidRPr="00416B1C">
        <w:t>age</w:t>
      </w:r>
      <w:proofErr w:type="gramEnd"/>
      <w:r w:rsidRPr="00416B1C">
        <w:t xml:space="preserve"> range; </w:t>
      </w:r>
    </w:p>
    <w:p w:rsidR="0035157F" w:rsidRDefault="00416B1C">
      <w:r w:rsidRPr="00416B1C">
        <w:t>•</w:t>
      </w:r>
      <w:r w:rsidRPr="00416B1C">
        <w:tab/>
        <w:t xml:space="preserve">blinding of interpreters to results; </w:t>
      </w:r>
    </w:p>
    <w:p w:rsidR="0035157F" w:rsidRDefault="00416B1C">
      <w:r w:rsidRPr="00416B1C">
        <w:t>•</w:t>
      </w:r>
      <w:r w:rsidRPr="00416B1C">
        <w:tab/>
        <w:t xml:space="preserve">applied quality system to assure reliability of the test and outcome result (selective or systematic rereading of cytologic and histologic samples by expert cytologists or cytopathologists); </w:t>
      </w:r>
    </w:p>
    <w:p w:rsidR="0035157F" w:rsidRDefault="00416B1C">
      <w:r w:rsidRPr="00416B1C">
        <w:t>•</w:t>
      </w:r>
      <w:r w:rsidRPr="00416B1C">
        <w:tab/>
      </w:r>
      <w:proofErr w:type="gramStart"/>
      <w:r w:rsidRPr="00416B1C">
        <w:t>collection</w:t>
      </w:r>
      <w:proofErr w:type="gramEnd"/>
      <w:r w:rsidRPr="00416B1C">
        <w:t xml:space="preserve"> device used to sample cervical cells; and </w:t>
      </w:r>
    </w:p>
    <w:p w:rsidR="0035157F" w:rsidRDefault="00416B1C">
      <w:r w:rsidRPr="00416B1C">
        <w:t>•</w:t>
      </w:r>
      <w:r w:rsidRPr="00416B1C">
        <w:tab/>
      </w:r>
      <w:proofErr w:type="gramStart"/>
      <w:r w:rsidRPr="00416B1C">
        <w:t>the</w:t>
      </w:r>
      <w:proofErr w:type="gramEnd"/>
      <w:r w:rsidRPr="00416B1C">
        <w:t xml:space="preserve"> level of experience of cytotechnologists in liquid-based cytology.</w:t>
      </w:r>
    </w:p>
    <w:p w:rsidR="004347D3" w:rsidRPr="00274021" w:rsidRDefault="004347D3" w:rsidP="00136D50">
      <w:pPr>
        <w:pStyle w:val="Heading20"/>
      </w:pPr>
      <w:bookmarkStart w:id="133" w:name="_Toc337546882"/>
      <w:r w:rsidRPr="00274021">
        <w:t>B.3</w:t>
      </w:r>
      <w:r w:rsidRPr="00274021">
        <w:tab/>
        <w:t>Assessment of the measures taken by investigators to minimise bias in the direct randomised trials</w:t>
      </w:r>
      <w:bookmarkEnd w:id="128"/>
      <w:bookmarkEnd w:id="129"/>
      <w:bookmarkEnd w:id="130"/>
      <w:bookmarkEnd w:id="131"/>
      <w:bookmarkEnd w:id="132"/>
      <w:bookmarkEnd w:id="13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1"/>
      </w:tblGrid>
      <w:tr w:rsidR="00F333F8" w:rsidTr="006E72DC">
        <w:tc>
          <w:tcPr>
            <w:tcW w:w="5000" w:type="pct"/>
          </w:tcPr>
          <w:p w:rsidR="00F333F8" w:rsidRDefault="00FA5639" w:rsidP="00116E5D">
            <w:r>
              <w:br/>
            </w:r>
            <w:r w:rsidR="00116E5D">
              <w:t>Various randomisation procedures were used across the trials</w:t>
            </w:r>
            <w:r w:rsidR="00217C21">
              <w:t>. A</w:t>
            </w:r>
            <w:r w:rsidR="00116E5D">
              <w:t xml:space="preserve">n uneven distribution of patients between the arms of the </w:t>
            </w:r>
            <w:r w:rsidR="00217C21">
              <w:t xml:space="preserve">Beerman 2009, NETHCON , Strander 2007,  </w:t>
            </w:r>
            <w:r w:rsidR="00B275CE">
              <w:t>R</w:t>
            </w:r>
            <w:r w:rsidR="00217C21">
              <w:t xml:space="preserve">HINE-SAAR l and Palmer 2012 </w:t>
            </w:r>
            <w:r w:rsidR="00116E5D">
              <w:t xml:space="preserve">trials </w:t>
            </w:r>
            <w:r w:rsidR="00217C21">
              <w:t>.</w:t>
            </w:r>
            <w:r w:rsidR="00116E5D">
              <w:t xml:space="preserve"> Whether the differences were significant or whether statistical adjustments o</w:t>
            </w:r>
            <w:r w:rsidR="00A158CF">
              <w:t>f results were</w:t>
            </w:r>
            <w:r w:rsidR="00116E5D">
              <w:t xml:space="preserve"> conducted was reported in few trials. </w:t>
            </w:r>
          </w:p>
          <w:p w:rsidR="00416B1C" w:rsidRDefault="00416B1C" w:rsidP="00416B1C">
            <w:r>
              <w:t>For trials that reported information on the reference standards applied,</w:t>
            </w:r>
            <w:r w:rsidRPr="00C32C5C">
              <w:t xml:space="preserve"> colposcopy and/or biopsy </w:t>
            </w:r>
            <w:r>
              <w:t xml:space="preserve">was used </w:t>
            </w:r>
            <w:r w:rsidRPr="00C32C5C">
              <w:t>as the reference standard.</w:t>
            </w:r>
            <w:r>
              <w:t xml:space="preserve"> The NTCC and MAVARIC performed HPV triage on LBC samples only which went on to inform the application of the reference standard.  The test </w:t>
            </w:r>
            <w:r>
              <w:lastRenderedPageBreak/>
              <w:t>threshold at which the reference standard was uniformly applied was either ASCUS+ or HSIL+.</w:t>
            </w:r>
          </w:p>
          <w:p w:rsidR="00116E5D" w:rsidRDefault="00116E5D" w:rsidP="00A158CF">
            <w:r>
              <w:t>The outcome assessor, co</w:t>
            </w:r>
            <w:r w:rsidR="006E72DC">
              <w:t>l</w:t>
            </w:r>
            <w:r>
              <w:t>poscopist and where relevant histologist, were not blinded to the index/screening test result</w:t>
            </w:r>
            <w:r w:rsidR="00A158CF">
              <w:t xml:space="preserve">. </w:t>
            </w:r>
            <w:r w:rsidR="00622FF8">
              <w:t xml:space="preserve">Although in </w:t>
            </w:r>
            <w:r w:rsidR="006E72DC">
              <w:t>four trials—NETHCON;</w:t>
            </w:r>
            <w:r w:rsidR="004F3378">
              <w:t xml:space="preserve"> Strander</w:t>
            </w:r>
            <w:r w:rsidR="00A158CF">
              <w:t xml:space="preserve"> 2009</w:t>
            </w:r>
            <w:r w:rsidR="004F3378">
              <w:t xml:space="preserve">, Maccallini </w:t>
            </w:r>
            <w:r w:rsidR="004B3488">
              <w:t>2008</w:t>
            </w:r>
            <w:r w:rsidR="006E72DC">
              <w:t>; MAVARIC—</w:t>
            </w:r>
            <w:r w:rsidR="00622FF8">
              <w:t xml:space="preserve">the outcome assessors </w:t>
            </w:r>
            <w:r w:rsidR="00A158CF">
              <w:t xml:space="preserve">were blinded to the cytology test type. </w:t>
            </w:r>
          </w:p>
          <w:p w:rsidR="00A158CF" w:rsidRDefault="00A158CF" w:rsidP="00A158CF">
            <w:r>
              <w:t>There were similarities between individual trials in the application of the reference standard and outcome assessed. Generally:</w:t>
            </w:r>
          </w:p>
          <w:p w:rsidR="00A158CF" w:rsidRDefault="006E72DC" w:rsidP="006E72DC">
            <w:pPr>
              <w:pStyle w:val="Bulletedbodytext"/>
            </w:pPr>
            <w:r>
              <w:t>Maccal</w:t>
            </w:r>
            <w:r w:rsidR="004F3378">
              <w:t xml:space="preserve">lini </w:t>
            </w:r>
            <w:r w:rsidR="00A158CF">
              <w:t>2008</w:t>
            </w:r>
            <w:r>
              <w:t>;</w:t>
            </w:r>
            <w:r w:rsidR="00BB6102">
              <w:t xml:space="preserve"> </w:t>
            </w:r>
            <w:r w:rsidR="00A158CF">
              <w:t>RHINE-SAAR</w:t>
            </w:r>
            <w:r>
              <w:t>;</w:t>
            </w:r>
            <w:r w:rsidR="004F3378">
              <w:t xml:space="preserve"> and Palmer</w:t>
            </w:r>
            <w:r w:rsidR="00BB6102">
              <w:t xml:space="preserve"> 2012</w:t>
            </w:r>
            <w:r w:rsidR="00A158CF">
              <w:t xml:space="preserve"> referred all ASCUS+ for colposcopy </w:t>
            </w:r>
            <w:r w:rsidR="00A158CF" w:rsidRPr="00791EC7">
              <w:rPr>
                <w:rFonts w:ascii="Garamond" w:hAnsi="Garamond"/>
              </w:rPr>
              <w:t>±</w:t>
            </w:r>
            <w:r w:rsidR="00A158CF">
              <w:t xml:space="preserve"> histology.</w:t>
            </w:r>
          </w:p>
          <w:p w:rsidR="00A158CF" w:rsidRDefault="004F3378" w:rsidP="006E72DC">
            <w:pPr>
              <w:pStyle w:val="Bulletedbodytext"/>
            </w:pPr>
            <w:r>
              <w:t xml:space="preserve">NETHCON and Strander </w:t>
            </w:r>
            <w:r w:rsidR="00A158CF">
              <w:t>2009 referred all ASCUS and CIN</w:t>
            </w:r>
            <w:r w:rsidR="006E72DC">
              <w:t xml:space="preserve"> </w:t>
            </w:r>
            <w:r w:rsidR="00A158CF">
              <w:t>1+/LSIL for repeat smear or colposcopy and CIN</w:t>
            </w:r>
            <w:r w:rsidR="006E72DC">
              <w:t xml:space="preserve"> </w:t>
            </w:r>
            <w:r w:rsidR="00BB6102">
              <w:t xml:space="preserve">2+/HSIL for colposcopy </w:t>
            </w:r>
            <w:r w:rsidR="00BB6102" w:rsidRPr="00791EC7">
              <w:rPr>
                <w:rFonts w:ascii="Garamond" w:hAnsi="Garamond"/>
              </w:rPr>
              <w:t>±</w:t>
            </w:r>
            <w:r w:rsidR="00BB6102">
              <w:t xml:space="preserve"> histology. </w:t>
            </w:r>
          </w:p>
          <w:p w:rsidR="00BB6102" w:rsidRDefault="004F3378" w:rsidP="006E72DC">
            <w:pPr>
              <w:pStyle w:val="Bulletedbodytext"/>
            </w:pPr>
            <w:r>
              <w:t xml:space="preserve">Obwegeser </w:t>
            </w:r>
            <w:r w:rsidR="00BB6102">
              <w:t>2001 and the MAVARIC trial referred HSIL+ for colposcopy</w:t>
            </w:r>
            <w:r w:rsidR="00206FA0">
              <w:t xml:space="preserve"> </w:t>
            </w:r>
            <w:r w:rsidR="00BB6102" w:rsidRPr="00791EC7">
              <w:rPr>
                <w:rFonts w:ascii="Garamond" w:hAnsi="Garamond"/>
              </w:rPr>
              <w:t>±</w:t>
            </w:r>
            <w:r w:rsidR="00BB6102">
              <w:t xml:space="preserve"> histology</w:t>
            </w:r>
            <w:r w:rsidR="006E72DC">
              <w:t>.</w:t>
            </w:r>
          </w:p>
          <w:p w:rsidR="00BB6102" w:rsidRDefault="00BB6102" w:rsidP="00A158CF">
            <w:r>
              <w:t>The NTCC trial was unique in the application of different reference standards between the arms of the trial. ASCUS+ in the LBC arm was referred for colposcopy</w:t>
            </w:r>
            <w:r w:rsidRPr="00791EC7">
              <w:rPr>
                <w:rFonts w:ascii="Garamond" w:hAnsi="Garamond"/>
              </w:rPr>
              <w:t>±</w:t>
            </w:r>
            <w:r w:rsidR="004B3488">
              <w:t xml:space="preserve"> histology, where</w:t>
            </w:r>
            <w:r>
              <w:t>as LSIL+ in the conventional arm was referred for colposcopy</w:t>
            </w:r>
            <w:r w:rsidRPr="00791EC7">
              <w:rPr>
                <w:rFonts w:ascii="Garamond" w:hAnsi="Garamond"/>
              </w:rPr>
              <w:t>±</w:t>
            </w:r>
            <w:r>
              <w:t xml:space="preserve"> histology. </w:t>
            </w:r>
          </w:p>
          <w:p w:rsidR="00BB6102" w:rsidRDefault="00BB6102" w:rsidP="00BB6102">
            <w:r>
              <w:t>Where reported the proportion of patients with histological follow up ranged from 0.6% to 1.53% and was balanced between the arms within each trial. Only 70% of th</w:t>
            </w:r>
            <w:r w:rsidR="006E72DC">
              <w:t>e histological follow up data were</w:t>
            </w:r>
            <w:r w:rsidR="004F3378">
              <w:t xml:space="preserve"> reported for Obwegeser </w:t>
            </w:r>
            <w:r>
              <w:t xml:space="preserve">2001. </w:t>
            </w:r>
          </w:p>
          <w:p w:rsidR="008B03AB" w:rsidRDefault="004F3378" w:rsidP="00B01CC8">
            <w:r>
              <w:t xml:space="preserve">Beerman </w:t>
            </w:r>
            <w:r w:rsidR="008B03AB">
              <w:t>2009</w:t>
            </w:r>
            <w:r>
              <w:t xml:space="preserve"> and Strander</w:t>
            </w:r>
            <w:r w:rsidR="004B3488">
              <w:t xml:space="preserve"> </w:t>
            </w:r>
            <w:r w:rsidR="008B03AB">
              <w:t>2007</w:t>
            </w:r>
            <w:r w:rsidR="006E72DC">
              <w:t xml:space="preserve"> w</w:t>
            </w:r>
            <w:r w:rsidR="008B03AB">
              <w:t>ere the only trials to</w:t>
            </w:r>
            <w:r w:rsidR="00B01CC8">
              <w:t xml:space="preserve"> report the histological follow up </w:t>
            </w:r>
            <w:r w:rsidR="00140CA4">
              <w:t>from all</w:t>
            </w:r>
            <w:r w:rsidR="008B03AB">
              <w:t xml:space="preserve"> randomised patients by review of a national database</w:t>
            </w:r>
            <w:r w:rsidR="00902BC8">
              <w:t xml:space="preserve"> and report true false negative rates</w:t>
            </w:r>
            <w:r w:rsidR="00864BC9">
              <w:t>.</w:t>
            </w:r>
          </w:p>
        </w:tc>
      </w:tr>
    </w:tbl>
    <w:p w:rsidR="00FA5639" w:rsidRDefault="00FA5639" w:rsidP="009C4D0C"/>
    <w:p w:rsidR="009C4D0C" w:rsidRDefault="009C4D0C" w:rsidP="009C4D0C">
      <w:r w:rsidRPr="00274021">
        <w:t xml:space="preserve">A summary of measures undertaken to minimise bias in the direct randomised trials is provided in </w:t>
      </w:r>
      <w:r w:rsidR="00086C77">
        <w:fldChar w:fldCharType="begin"/>
      </w:r>
      <w:r w:rsidR="00086C77">
        <w:instrText xml:space="preserve"> REF _Ref155083060 \h  \* MERGEFORMAT </w:instrText>
      </w:r>
      <w:r w:rsidR="00086C77">
        <w:fldChar w:fldCharType="separate"/>
      </w:r>
      <w:r w:rsidR="003361A8" w:rsidRPr="00274021">
        <w:t xml:space="preserve">Table </w:t>
      </w:r>
      <w:r w:rsidR="003361A8">
        <w:rPr>
          <w:noProof/>
        </w:rPr>
        <w:t>12</w:t>
      </w:r>
      <w:r w:rsidR="00086C77">
        <w:fldChar w:fldCharType="end"/>
      </w:r>
      <w:r w:rsidRPr="004A0666">
        <w:t>.</w:t>
      </w:r>
      <w:r w:rsidRPr="00274021">
        <w:t xml:space="preserve"> </w:t>
      </w:r>
    </w:p>
    <w:p w:rsidR="00B02701" w:rsidRPr="006E72DC" w:rsidRDefault="004B3488" w:rsidP="004B3488">
      <w:pPr>
        <w:pStyle w:val="Heading50"/>
      </w:pPr>
      <w:r>
        <w:t>C</w:t>
      </w:r>
      <w:r w:rsidR="00206FA0">
        <w:t>oncealment</w:t>
      </w:r>
      <w:r w:rsidR="009C4D0C" w:rsidRPr="006E72DC">
        <w:t xml:space="preserve"> of randomisation varied wide</w:t>
      </w:r>
      <w:r w:rsidR="00C54D30">
        <w:t>ly between the included trials</w:t>
      </w:r>
    </w:p>
    <w:p w:rsidR="00345355" w:rsidRDefault="00C54D30" w:rsidP="00B02701">
      <w:r>
        <w:t>Allocation i</w:t>
      </w:r>
      <w:r w:rsidR="009C4D0C">
        <w:t xml:space="preserve">n Beerman 2009 was </w:t>
      </w:r>
      <w:r>
        <w:t>based on clusters rather than</w:t>
      </w:r>
      <w:r w:rsidR="009C4D0C">
        <w:t xml:space="preserve"> individuals, with family </w:t>
      </w:r>
      <w:r>
        <w:t>practice as the unit of randomis</w:t>
      </w:r>
      <w:r w:rsidR="009C4D0C">
        <w:t xml:space="preserve">ation. This was done to prevent contamination by patient preference (selection bias) and for other practical reasons. </w:t>
      </w:r>
      <w:r>
        <w:t xml:space="preserve">The method </w:t>
      </w:r>
      <w:r w:rsidR="00D31C04">
        <w:t>was not successful in achieving an even distribution of patients b</w:t>
      </w:r>
      <w:r w:rsidR="009F55FE">
        <w:t>etween the interventions. The implications</w:t>
      </w:r>
      <w:r w:rsidR="00D31C04">
        <w:t xml:space="preserve"> of this or a possible explanation were not provided</w:t>
      </w:r>
      <w:r>
        <w:t>,</w:t>
      </w:r>
      <w:r w:rsidR="009F55FE">
        <w:t xml:space="preserve"> although varying attendance rates at the practices randomised could justify the difference</w:t>
      </w:r>
      <w:r w:rsidR="00531807">
        <w:t xml:space="preserve">. </w:t>
      </w:r>
    </w:p>
    <w:p w:rsidR="00B02701" w:rsidRDefault="00B02701" w:rsidP="00B02701">
      <w:r>
        <w:lastRenderedPageBreak/>
        <w:t>Whilst the RODEO study abstracts outline that patients were randomised to either LBC or CC, the methods use</w:t>
      </w:r>
      <w:r w:rsidR="00531807">
        <w:t xml:space="preserve">d for randomisation and the </w:t>
      </w:r>
      <w:r>
        <w:t>measures undertaken to minimise bias are not reported.</w:t>
      </w:r>
    </w:p>
    <w:p w:rsidR="003521B1" w:rsidRDefault="00B02701" w:rsidP="009C4D0C">
      <w:r>
        <w:t xml:space="preserve">In </w:t>
      </w:r>
      <w:r w:rsidR="00531807">
        <w:t>the NETHCON trial</w:t>
      </w:r>
      <w:r>
        <w:t xml:space="preserve">, allocation was based on clusters with family </w:t>
      </w:r>
      <w:r w:rsidR="00C54D30">
        <w:t>practice as the unit of randomis</w:t>
      </w:r>
      <w:r>
        <w:t>ation. This prevent</w:t>
      </w:r>
      <w:r w:rsidR="00345355">
        <w:t>s</w:t>
      </w:r>
      <w:r>
        <w:t xml:space="preserve"> contamination by patient preference (selection bias). </w:t>
      </w:r>
      <w:r w:rsidR="00C54D30">
        <w:t>The method</w:t>
      </w:r>
      <w:r w:rsidR="003521B1">
        <w:t xml:space="preserve"> was not successful in achieving an even distribution of patients between the interventions. </w:t>
      </w:r>
      <w:r w:rsidR="00C54D30">
        <w:t>By chance, six</w:t>
      </w:r>
      <w:r w:rsidR="00FE02C5">
        <w:t xml:space="preserve"> of the largest centres were a</w:t>
      </w:r>
      <w:r w:rsidR="00C54D30">
        <w:t>ll randomised to LBC with only one randomised to CC</w:t>
      </w:r>
      <w:r w:rsidR="00FE02C5">
        <w:t>. Possible confounding due to these cluster effects were controlled for by multivariate logistic regression.</w:t>
      </w:r>
    </w:p>
    <w:p w:rsidR="009C4D0C" w:rsidRDefault="009C4D0C" w:rsidP="009C4D0C">
      <w:r>
        <w:t>The RHINE-SAAR study, Maccallini</w:t>
      </w:r>
      <w:r w:rsidR="004B3488">
        <w:t xml:space="preserve"> </w:t>
      </w:r>
      <w:r>
        <w:t>2008 and Strander 2007 used a weekly alternation method of randomisation, whereby each participating centre switched bet</w:t>
      </w:r>
      <w:r w:rsidR="00C54D30">
        <w:t>ween LBC and CC</w:t>
      </w:r>
      <w:r>
        <w:t xml:space="preserve"> every </w:t>
      </w:r>
      <w:r w:rsidR="00C54D30">
        <w:t>seven</w:t>
      </w:r>
      <w:r>
        <w:t xml:space="preserve"> days. </w:t>
      </w:r>
      <w:r w:rsidR="0050014D">
        <w:t xml:space="preserve">Randomisation for all three trials was unsuccessful in achieving a 1:1 ratio between interventions. </w:t>
      </w:r>
      <w:r>
        <w:t xml:space="preserve">Maccallini 2008 </w:t>
      </w:r>
      <w:r w:rsidR="0050014D">
        <w:t xml:space="preserve">further </w:t>
      </w:r>
      <w:r>
        <w:t>demonstrated the faults in this method, whereby patients switched between the modality of sampling they were randomised to due to either patient refusal for the specified intervention or because a mistake was made by the smear taker.</w:t>
      </w:r>
      <w:r w:rsidR="00531807">
        <w:t xml:space="preserve"> </w:t>
      </w:r>
      <w:r w:rsidR="0050014D">
        <w:t xml:space="preserve">Uneven patient distribution in </w:t>
      </w:r>
      <w:r w:rsidR="00531807" w:rsidRPr="0050014D">
        <w:t>Strander</w:t>
      </w:r>
      <w:r w:rsidR="0050014D">
        <w:t xml:space="preserve"> 2007 was due to clinics forgetting to shift to the alternate method as well as distribution errors of LBC materials</w:t>
      </w:r>
      <w:r w:rsidR="00531807">
        <w:t>.</w:t>
      </w:r>
      <w:r w:rsidR="0050014D">
        <w:t xml:space="preserve"> These mistakes randomly occurred and were adjusted for in statistical analyses.</w:t>
      </w:r>
      <w:r w:rsidR="00531807">
        <w:t xml:space="preserve"> An explanation for the uneven distribution of patients was not provided for the RHINE-SAAR study.</w:t>
      </w:r>
    </w:p>
    <w:p w:rsidR="009C4D0C" w:rsidRDefault="009C4D0C" w:rsidP="009C4D0C">
      <w:r>
        <w:t>Obwegeser 2001 used</w:t>
      </w:r>
      <w:r w:rsidRPr="00BB4B3F">
        <w:t xml:space="preserve"> sequenti</w:t>
      </w:r>
      <w:r>
        <w:t>ally labelled, sealed envelopes to randomise participants, as did the NTCC trials with the exception of two centres</w:t>
      </w:r>
      <w:r w:rsidRPr="00BB4B3F">
        <w:t xml:space="preserve"> </w:t>
      </w:r>
      <w:r>
        <w:t>that used</w:t>
      </w:r>
      <w:r w:rsidRPr="00BB4B3F">
        <w:t xml:space="preserve"> </w:t>
      </w:r>
      <w:r>
        <w:t xml:space="preserve">a </w:t>
      </w:r>
      <w:r w:rsidRPr="00BB4B3F">
        <w:t xml:space="preserve">computer </w:t>
      </w:r>
      <w:r>
        <w:t xml:space="preserve">to </w:t>
      </w:r>
      <w:r w:rsidRPr="00BB4B3F">
        <w:t>access</w:t>
      </w:r>
      <w:r>
        <w:t xml:space="preserve"> the </w:t>
      </w:r>
      <w:r w:rsidRPr="00BB4B3F">
        <w:t>sequential numbering</w:t>
      </w:r>
      <w:r>
        <w:t xml:space="preserve">. </w:t>
      </w:r>
    </w:p>
    <w:p w:rsidR="00345355" w:rsidRDefault="009C4D0C" w:rsidP="00B416F6">
      <w:r>
        <w:t xml:space="preserve">Due to the multiple interventions examined in the MAVARIC study, a complex concealment of randomisation was implemented. The first stage of randomisation required a sequence of random digits to evenly distribute the six combinations of the two technologies between each practice. Then within the laboratory, samples were randomised to either manual only or the paired </w:t>
      </w:r>
      <w:r w:rsidR="00C54D30">
        <w:t xml:space="preserve">arm using a </w:t>
      </w:r>
      <w:r>
        <w:t>prepared spread</w:t>
      </w:r>
      <w:r w:rsidR="00F51F2E">
        <w:t xml:space="preserve"> </w:t>
      </w:r>
      <w:r>
        <w:t>sheet.</w:t>
      </w:r>
      <w:r w:rsidR="00531807">
        <w:t xml:space="preserve"> </w:t>
      </w:r>
      <w:r w:rsidR="00B416F6">
        <w:t>I</w:t>
      </w:r>
      <w:r w:rsidR="00C54D30">
        <w:t>nitially randomisation was 1:</w:t>
      </w:r>
      <w:r w:rsidR="00B416F6">
        <w:t>1, but after a third of the samples had been obtained, at a slower than expected rate of accrual</w:t>
      </w:r>
      <w:r w:rsidR="00C54D30">
        <w:t>, the ratio was changed to 1:</w:t>
      </w:r>
      <w:r w:rsidR="00B416F6">
        <w:t>3 in favour of the paired arm to accelerate the accrual of samples for paired reading.</w:t>
      </w:r>
      <w:r w:rsidR="00C54D30">
        <w:t xml:space="preserve"> Non</w:t>
      </w:r>
      <w:r w:rsidR="00206FA0">
        <w:t>-</w:t>
      </w:r>
      <w:r w:rsidR="000A3B68">
        <w:t xml:space="preserve">randomised methods were used to achieve these changes and any adjustment was not reported. </w:t>
      </w:r>
    </w:p>
    <w:p w:rsidR="009C4D0C" w:rsidRDefault="00EC2A43" w:rsidP="00B416F6">
      <w:r>
        <w:t>Palmer 2012 achieved randomisation by laboratory accession number</w:t>
      </w:r>
      <w:r w:rsidR="00DC5788">
        <w:t xml:space="preserve"> whereby slide </w:t>
      </w:r>
      <w:r w:rsidR="00DC5788" w:rsidRPr="00C6117C">
        <w:t>number</w:t>
      </w:r>
      <w:r w:rsidR="00C54D30">
        <w:t xml:space="preserve">s 1 to </w:t>
      </w:r>
      <w:r w:rsidR="00DC5788">
        <w:t>50 were processed using automated methods, slides</w:t>
      </w:r>
      <w:r w:rsidR="00C54D30">
        <w:t xml:space="preserve"> 51 to </w:t>
      </w:r>
      <w:r w:rsidR="00DC5788" w:rsidRPr="00C6117C">
        <w:t xml:space="preserve">100 </w:t>
      </w:r>
      <w:r w:rsidR="00DC5788">
        <w:t xml:space="preserve">were </w:t>
      </w:r>
      <w:r w:rsidR="00DC5788" w:rsidRPr="00C6117C">
        <w:t>manually read</w:t>
      </w:r>
      <w:r w:rsidR="00C54D30">
        <w:t>,</w:t>
      </w:r>
      <w:r w:rsidR="00DC5788">
        <w:t xml:space="preserve"> and so on.</w:t>
      </w:r>
      <w:r>
        <w:t xml:space="preserve"> An </w:t>
      </w:r>
      <w:r>
        <w:lastRenderedPageBreak/>
        <w:t>uneven distribution in patients resulted due to one laboratory temporarily stopping imaging for technical reasons and some slides that failed imaging.</w:t>
      </w:r>
    </w:p>
    <w:p w:rsidR="00B02701" w:rsidRPr="00C54D30" w:rsidRDefault="00B02701" w:rsidP="004B3488">
      <w:pPr>
        <w:pStyle w:val="Heading50"/>
      </w:pPr>
      <w:r w:rsidRPr="00C54D30">
        <w:t>Blinding vari</w:t>
      </w:r>
      <w:r w:rsidR="00C54D30">
        <w:t>ed among the included trials</w:t>
      </w:r>
    </w:p>
    <w:p w:rsidR="009C4D0C" w:rsidRDefault="009C4D0C" w:rsidP="009C4D0C">
      <w:r>
        <w:t>Study inve</w:t>
      </w:r>
      <w:r w:rsidR="00C54D30">
        <w:t>stigators—</w:t>
      </w:r>
      <w:r>
        <w:t>G</w:t>
      </w:r>
      <w:r w:rsidR="00C54D30">
        <w:t>Ps, midwives and gynaecologists—</w:t>
      </w:r>
      <w:r>
        <w:t xml:space="preserve">who collected the index </w:t>
      </w:r>
      <w:r w:rsidR="00DB2AA1">
        <w:t xml:space="preserve">or screening </w:t>
      </w:r>
      <w:r>
        <w:t>cytology were trained on the</w:t>
      </w:r>
      <w:r w:rsidR="00C54D30">
        <w:t xml:space="preserve"> varying collection methods to which</w:t>
      </w:r>
      <w:r>
        <w:t xml:space="preserve"> either their patient or</w:t>
      </w:r>
      <w:r w:rsidR="00C54D30">
        <w:t xml:space="preserve"> the practice were randomised. E</w:t>
      </w:r>
      <w:r>
        <w:t>xperience level</w:t>
      </w:r>
      <w:r w:rsidR="00C54D30">
        <w:t>s</w:t>
      </w:r>
      <w:r>
        <w:t xml:space="preserve"> of each investigator varied across all trials</w:t>
      </w:r>
      <w:r w:rsidR="002B62D4">
        <w:t xml:space="preserve"> (discussed further in section B.4.3)</w:t>
      </w:r>
      <w:r>
        <w:t xml:space="preserve">. Blinding of investigators </w:t>
      </w:r>
      <w:r w:rsidR="00622FF8">
        <w:t xml:space="preserve">who collected the samples </w:t>
      </w:r>
      <w:r>
        <w:t xml:space="preserve">to the cytology method was not possible for any of the studies due to the different </w:t>
      </w:r>
      <w:r w:rsidR="00CD48EA">
        <w:t>sample preparation</w:t>
      </w:r>
      <w:r>
        <w:t xml:space="preserve"> method</w:t>
      </w:r>
      <w:r w:rsidR="00030DC1">
        <w:t>s required for CC</w:t>
      </w:r>
      <w:r w:rsidR="00235AC3">
        <w:t xml:space="preserve"> </w:t>
      </w:r>
      <w:r>
        <w:t xml:space="preserve">and </w:t>
      </w:r>
      <w:r w:rsidR="00235AC3">
        <w:t>LBC</w:t>
      </w:r>
      <w:r>
        <w:t>.</w:t>
      </w:r>
    </w:p>
    <w:p w:rsidR="00DC5788" w:rsidRDefault="00F177DC" w:rsidP="002E4C52">
      <w:r>
        <w:t>The trials were performed in a screening population in which index test results led to possible application of reference standard</w:t>
      </w:r>
      <w:r w:rsidR="00030DC1">
        <w:t>. T</w:t>
      </w:r>
      <w:r>
        <w:t>herefore</w:t>
      </w:r>
      <w:r w:rsidR="00030DC1">
        <w:t>,</w:t>
      </w:r>
      <w:r>
        <w:t xml:space="preserve"> </w:t>
      </w:r>
      <w:r w:rsidRPr="007972D0">
        <w:t xml:space="preserve">the index test results </w:t>
      </w:r>
      <w:r>
        <w:t xml:space="preserve">were </w:t>
      </w:r>
      <w:r w:rsidRPr="007972D0">
        <w:t>interpreted without knowledge of the reference standard</w:t>
      </w:r>
      <w:r>
        <w:t xml:space="preserve">. </w:t>
      </w:r>
      <w:r w:rsidR="0071102A">
        <w:t xml:space="preserve">Blinding </w:t>
      </w:r>
      <w:r w:rsidR="00AA7242">
        <w:t xml:space="preserve">outcome assessors (colposcopists and histologists) to the </w:t>
      </w:r>
      <w:r w:rsidR="007972D0">
        <w:t xml:space="preserve">index test result and </w:t>
      </w:r>
      <w:r w:rsidR="00AA7242">
        <w:t>cytology method</w:t>
      </w:r>
      <w:r w:rsidR="007972D0">
        <w:t xml:space="preserve"> is possible but was not always the case. B</w:t>
      </w:r>
      <w:r w:rsidR="009C4D0C">
        <w:t xml:space="preserve">linding </w:t>
      </w:r>
      <w:r w:rsidR="0071102A">
        <w:t xml:space="preserve">methods </w:t>
      </w:r>
      <w:r w:rsidR="009C4D0C">
        <w:t xml:space="preserve">of outcome assessors are detailed in </w:t>
      </w:r>
      <w:r w:rsidR="00086C77">
        <w:fldChar w:fldCharType="begin"/>
      </w:r>
      <w:r w:rsidR="009C4D0C">
        <w:instrText xml:space="preserve"> REF _Ref155083060 \h </w:instrText>
      </w:r>
      <w:r w:rsidR="00086C77">
        <w:fldChar w:fldCharType="separate"/>
      </w:r>
      <w:r w:rsidR="003361A8" w:rsidRPr="00274021">
        <w:t xml:space="preserve">Table </w:t>
      </w:r>
      <w:r w:rsidR="003361A8">
        <w:rPr>
          <w:noProof/>
        </w:rPr>
        <w:t>12</w:t>
      </w:r>
      <w:r w:rsidR="00086C77">
        <w:fldChar w:fldCharType="end"/>
      </w:r>
      <w:r w:rsidR="009C4D0C">
        <w:t xml:space="preserve">. </w:t>
      </w:r>
    </w:p>
    <w:p w:rsidR="00DB2AA1" w:rsidRDefault="00030DC1" w:rsidP="002E4C52">
      <w:r>
        <w:t>B</w:t>
      </w:r>
      <w:r w:rsidR="007972D0">
        <w:t xml:space="preserve">linding the outcome assessor to the result of the index test </w:t>
      </w:r>
      <w:r w:rsidR="00DC5788">
        <w:t xml:space="preserve">result or cytology method </w:t>
      </w:r>
      <w:r w:rsidR="007972D0">
        <w:t>is not reported</w:t>
      </w:r>
      <w:r>
        <w:t xml:space="preserve"> in the majority of trials</w:t>
      </w:r>
      <w:r w:rsidR="007972D0">
        <w:t xml:space="preserve">. </w:t>
      </w:r>
      <w:r w:rsidR="00DB2AA1">
        <w:t>The blinding of outcome assessors is not reported in the two cell enrich</w:t>
      </w:r>
      <w:r>
        <w:t xml:space="preserve">ment LBC trials—Beerman </w:t>
      </w:r>
      <w:r w:rsidR="004B3488">
        <w:t>2006</w:t>
      </w:r>
      <w:r w:rsidR="00DB2AA1">
        <w:t xml:space="preserve"> and the RODEO study.</w:t>
      </w:r>
    </w:p>
    <w:p w:rsidR="009C4D0C" w:rsidRDefault="00DB2AA1" w:rsidP="002E4C52">
      <w:r>
        <w:t xml:space="preserve">The blinding of outcome assessors was not blinded to the result of the index test in all of the cell </w:t>
      </w:r>
      <w:r w:rsidR="00622FF8">
        <w:t xml:space="preserve">filtration </w:t>
      </w:r>
      <w:r>
        <w:t xml:space="preserve">LBC trials with the possible exception of the NETHCON trial. </w:t>
      </w:r>
      <w:r w:rsidRPr="00DB2AA1">
        <w:t xml:space="preserve">The </w:t>
      </w:r>
      <w:r>
        <w:t xml:space="preserve">NETHCON trial publication </w:t>
      </w:r>
      <w:r w:rsidRPr="00DB2AA1">
        <w:t xml:space="preserve">states </w:t>
      </w:r>
      <w:r w:rsidR="00030DC1">
        <w:t>that the primary outcome wa</w:t>
      </w:r>
      <w:r w:rsidRPr="00DB2AA1">
        <w:t>s based on the blinded review of histological follow-up</w:t>
      </w:r>
      <w:r w:rsidR="00030DC1">
        <w:t>,</w:t>
      </w:r>
      <w:r w:rsidRPr="00DB2AA1">
        <w:t xml:space="preserve"> and whilst we know that histology is blinded to cytology method</w:t>
      </w:r>
      <w:r w:rsidR="00030DC1">
        <w:t>,</w:t>
      </w:r>
      <w:r w:rsidRPr="00DB2AA1">
        <w:t xml:space="preserve"> it is unclear from the paper if assessors were also blinded to the cytology results</w:t>
      </w:r>
      <w:r>
        <w:t xml:space="preserve">. </w:t>
      </w:r>
      <w:r w:rsidR="009C4D0C">
        <w:t xml:space="preserve">The </w:t>
      </w:r>
      <w:r w:rsidR="007972D0">
        <w:t xml:space="preserve">outcome assessment </w:t>
      </w:r>
      <w:r w:rsidR="00B02701">
        <w:t xml:space="preserve">in </w:t>
      </w:r>
      <w:r w:rsidR="009C4D0C">
        <w:t>the NETHCON trial, Strander 2007, Maccallini 2008 and the MAVARIC study</w:t>
      </w:r>
      <w:r w:rsidR="00B02701">
        <w:t xml:space="preserve"> was performed with</w:t>
      </w:r>
      <w:r>
        <w:t xml:space="preserve"> no</w:t>
      </w:r>
      <w:r w:rsidR="00B02701">
        <w:t xml:space="preserve"> knowledge of the cytology method</w:t>
      </w:r>
      <w:r w:rsidR="009C4D0C">
        <w:t xml:space="preserve">. </w:t>
      </w:r>
    </w:p>
    <w:p w:rsidR="009C4D0C" w:rsidRPr="00274021" w:rsidRDefault="009C4D0C" w:rsidP="009C4D0C">
      <w:pPr>
        <w:pStyle w:val="Tablecaption"/>
      </w:pPr>
      <w:bookmarkStart w:id="134" w:name="_Ref155083060"/>
      <w:bookmarkStart w:id="135" w:name="_Toc312340198"/>
      <w:bookmarkStart w:id="136" w:name="_Toc316368183"/>
      <w:bookmarkStart w:id="137" w:name="_Toc335665978"/>
      <w:bookmarkStart w:id="138" w:name="_Toc192319851"/>
      <w:bookmarkStart w:id="139" w:name="_Toc337546949"/>
      <w:r w:rsidRPr="00274021">
        <w:lastRenderedPageBreak/>
        <w:t xml:space="preserve">Table </w:t>
      </w:r>
      <w:fldSimple w:instr=" SEQ Table \* ARABIC ">
        <w:r w:rsidR="003361A8">
          <w:rPr>
            <w:noProof/>
          </w:rPr>
          <w:t>12</w:t>
        </w:r>
      </w:fldSimple>
      <w:bookmarkEnd w:id="134"/>
      <w:r w:rsidRPr="00274021">
        <w:tab/>
        <w:t>Summary of the measures undertaken to minimise bias</w:t>
      </w:r>
      <w:bookmarkEnd w:id="135"/>
      <w:bookmarkEnd w:id="136"/>
      <w:bookmarkEnd w:id="137"/>
      <w:bookmarkEnd w:id="139"/>
      <w:r w:rsidRPr="00274021">
        <w:t xml:space="preserve"> </w:t>
      </w:r>
      <w:bookmarkEnd w:id="1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3288"/>
        <w:gridCol w:w="1061"/>
        <w:gridCol w:w="1135"/>
        <w:gridCol w:w="1050"/>
        <w:gridCol w:w="1088"/>
      </w:tblGrid>
      <w:tr w:rsidR="009C4D0C" w:rsidRPr="00274021" w:rsidTr="00552AF2">
        <w:tc>
          <w:tcPr>
            <w:tcW w:w="0" w:type="auto"/>
            <w:vMerge w:val="restart"/>
          </w:tcPr>
          <w:p w:rsidR="009C4D0C" w:rsidRPr="00274021" w:rsidRDefault="009C4D0C" w:rsidP="00904BA0">
            <w:pPr>
              <w:pStyle w:val="Tableheading"/>
            </w:pPr>
            <w:r w:rsidRPr="00274021">
              <w:t>Trial ID</w:t>
            </w:r>
          </w:p>
        </w:tc>
        <w:tc>
          <w:tcPr>
            <w:tcW w:w="0" w:type="auto"/>
            <w:vMerge w:val="restart"/>
          </w:tcPr>
          <w:p w:rsidR="009C4D0C" w:rsidRPr="000C0B02" w:rsidRDefault="009C4D0C" w:rsidP="00904BA0">
            <w:pPr>
              <w:pStyle w:val="Tableheading"/>
            </w:pPr>
            <w:r w:rsidRPr="00274021">
              <w:t>Concealment of randomisation</w:t>
            </w:r>
          </w:p>
        </w:tc>
        <w:tc>
          <w:tcPr>
            <w:tcW w:w="0" w:type="auto"/>
            <w:gridSpan w:val="4"/>
          </w:tcPr>
          <w:p w:rsidR="009C4D0C" w:rsidRPr="00274021" w:rsidRDefault="009C4D0C" w:rsidP="00206FA0">
            <w:pPr>
              <w:pStyle w:val="Tableheading"/>
              <w:jc w:val="center"/>
            </w:pPr>
            <w:r w:rsidRPr="00274021">
              <w:t>Blinding</w:t>
            </w:r>
          </w:p>
        </w:tc>
      </w:tr>
      <w:tr w:rsidR="009C4D0C" w:rsidRPr="00274021" w:rsidTr="00552AF2">
        <w:tc>
          <w:tcPr>
            <w:tcW w:w="0" w:type="auto"/>
            <w:vMerge/>
          </w:tcPr>
          <w:p w:rsidR="009C4D0C" w:rsidRPr="00274021" w:rsidRDefault="009C4D0C" w:rsidP="00904BA0">
            <w:pPr>
              <w:pStyle w:val="Tableheading"/>
            </w:pPr>
          </w:p>
        </w:tc>
        <w:tc>
          <w:tcPr>
            <w:tcW w:w="0" w:type="auto"/>
            <w:vMerge/>
          </w:tcPr>
          <w:p w:rsidR="009C4D0C" w:rsidRPr="00274021" w:rsidRDefault="009C4D0C" w:rsidP="00904BA0">
            <w:pPr>
              <w:pStyle w:val="Tableheading"/>
            </w:pPr>
          </w:p>
        </w:tc>
        <w:tc>
          <w:tcPr>
            <w:tcW w:w="0" w:type="auto"/>
            <w:vMerge w:val="restart"/>
          </w:tcPr>
          <w:p w:rsidR="009C4D0C" w:rsidRPr="00805515" w:rsidRDefault="009C4D0C" w:rsidP="00904BA0">
            <w:pPr>
              <w:pStyle w:val="Tableheading"/>
              <w:rPr>
                <w:sz w:val="18"/>
                <w:szCs w:val="18"/>
              </w:rPr>
            </w:pPr>
            <w:r>
              <w:rPr>
                <w:sz w:val="18"/>
                <w:szCs w:val="18"/>
              </w:rPr>
              <w:t>Participants</w:t>
            </w:r>
          </w:p>
        </w:tc>
        <w:tc>
          <w:tcPr>
            <w:tcW w:w="0" w:type="auto"/>
            <w:vMerge w:val="restart"/>
          </w:tcPr>
          <w:p w:rsidR="009C4D0C" w:rsidRPr="00805515" w:rsidRDefault="009C4D0C" w:rsidP="00904BA0">
            <w:pPr>
              <w:pStyle w:val="Tableheading"/>
              <w:rPr>
                <w:sz w:val="18"/>
                <w:szCs w:val="18"/>
              </w:rPr>
            </w:pPr>
            <w:r w:rsidRPr="00805515">
              <w:rPr>
                <w:sz w:val="18"/>
                <w:szCs w:val="18"/>
              </w:rPr>
              <w:t>Investigators</w:t>
            </w:r>
          </w:p>
        </w:tc>
        <w:tc>
          <w:tcPr>
            <w:tcW w:w="0" w:type="auto"/>
            <w:gridSpan w:val="2"/>
            <w:tcBorders>
              <w:bottom w:val="single" w:sz="4" w:space="0" w:color="auto"/>
            </w:tcBorders>
          </w:tcPr>
          <w:p w:rsidR="009C4D0C" w:rsidRPr="00805515" w:rsidRDefault="00C3774C" w:rsidP="00206FA0">
            <w:pPr>
              <w:pStyle w:val="Tableheading"/>
              <w:jc w:val="center"/>
              <w:rPr>
                <w:sz w:val="18"/>
                <w:szCs w:val="18"/>
              </w:rPr>
            </w:pPr>
            <w:r>
              <w:rPr>
                <w:sz w:val="18"/>
                <w:szCs w:val="18"/>
              </w:rPr>
              <w:t>Outcome a</w:t>
            </w:r>
            <w:r w:rsidR="009C4D0C" w:rsidRPr="00805515">
              <w:rPr>
                <w:sz w:val="18"/>
                <w:szCs w:val="18"/>
              </w:rPr>
              <w:t>ssessors</w:t>
            </w:r>
          </w:p>
        </w:tc>
      </w:tr>
      <w:tr w:rsidR="00F177DC" w:rsidRPr="00274021" w:rsidTr="00552AF2">
        <w:tc>
          <w:tcPr>
            <w:tcW w:w="0" w:type="auto"/>
            <w:vMerge/>
            <w:tcBorders>
              <w:bottom w:val="single" w:sz="4" w:space="0" w:color="auto"/>
            </w:tcBorders>
          </w:tcPr>
          <w:p w:rsidR="00F177DC" w:rsidRPr="00274021" w:rsidRDefault="00F177DC" w:rsidP="00904BA0">
            <w:pPr>
              <w:pStyle w:val="Tableheading"/>
            </w:pPr>
          </w:p>
        </w:tc>
        <w:tc>
          <w:tcPr>
            <w:tcW w:w="0" w:type="auto"/>
            <w:vMerge/>
            <w:tcBorders>
              <w:bottom w:val="single" w:sz="4" w:space="0" w:color="auto"/>
            </w:tcBorders>
          </w:tcPr>
          <w:p w:rsidR="00F177DC" w:rsidRPr="00274021" w:rsidRDefault="00F177DC" w:rsidP="00904BA0">
            <w:pPr>
              <w:pStyle w:val="Tableheading"/>
            </w:pPr>
          </w:p>
        </w:tc>
        <w:tc>
          <w:tcPr>
            <w:tcW w:w="0" w:type="auto"/>
            <w:vMerge/>
            <w:tcBorders>
              <w:bottom w:val="single" w:sz="4" w:space="0" w:color="auto"/>
            </w:tcBorders>
          </w:tcPr>
          <w:p w:rsidR="00F177DC" w:rsidRDefault="00F177DC" w:rsidP="00904BA0">
            <w:pPr>
              <w:pStyle w:val="Tableheading"/>
              <w:rPr>
                <w:sz w:val="18"/>
                <w:szCs w:val="18"/>
              </w:rPr>
            </w:pPr>
          </w:p>
        </w:tc>
        <w:tc>
          <w:tcPr>
            <w:tcW w:w="0" w:type="auto"/>
            <w:vMerge/>
            <w:tcBorders>
              <w:bottom w:val="single" w:sz="4" w:space="0" w:color="auto"/>
            </w:tcBorders>
          </w:tcPr>
          <w:p w:rsidR="00F177DC" w:rsidRPr="00805515" w:rsidRDefault="00F177DC" w:rsidP="00904BA0">
            <w:pPr>
              <w:pStyle w:val="Tableheading"/>
              <w:rPr>
                <w:sz w:val="18"/>
                <w:szCs w:val="18"/>
              </w:rPr>
            </w:pPr>
          </w:p>
        </w:tc>
        <w:tc>
          <w:tcPr>
            <w:tcW w:w="0" w:type="auto"/>
            <w:tcBorders>
              <w:bottom w:val="single" w:sz="4" w:space="0" w:color="auto"/>
            </w:tcBorders>
          </w:tcPr>
          <w:p w:rsidR="00F177DC" w:rsidRPr="00805515" w:rsidRDefault="00C3774C" w:rsidP="00904BA0">
            <w:pPr>
              <w:pStyle w:val="Tableheading"/>
              <w:rPr>
                <w:sz w:val="18"/>
                <w:szCs w:val="18"/>
              </w:rPr>
            </w:pPr>
            <w:r>
              <w:rPr>
                <w:sz w:val="18"/>
                <w:szCs w:val="18"/>
              </w:rPr>
              <w:t>Cytology m</w:t>
            </w:r>
            <w:r w:rsidR="00F177DC">
              <w:rPr>
                <w:sz w:val="18"/>
                <w:szCs w:val="18"/>
              </w:rPr>
              <w:t>ethod</w:t>
            </w:r>
          </w:p>
        </w:tc>
        <w:tc>
          <w:tcPr>
            <w:tcW w:w="0" w:type="auto"/>
            <w:tcBorders>
              <w:bottom w:val="single" w:sz="4" w:space="0" w:color="auto"/>
            </w:tcBorders>
          </w:tcPr>
          <w:p w:rsidR="00F177DC" w:rsidRPr="00805515" w:rsidRDefault="00F177DC" w:rsidP="00F177DC">
            <w:pPr>
              <w:pStyle w:val="Tableheading"/>
              <w:rPr>
                <w:sz w:val="18"/>
                <w:szCs w:val="18"/>
              </w:rPr>
            </w:pPr>
            <w:r>
              <w:rPr>
                <w:sz w:val="18"/>
                <w:szCs w:val="18"/>
              </w:rPr>
              <w:t>Result index test</w:t>
            </w:r>
            <w:r>
              <w:rPr>
                <w:sz w:val="18"/>
                <w:szCs w:val="18"/>
                <w:vertAlign w:val="superscript"/>
              </w:rPr>
              <w:t>†</w:t>
            </w:r>
          </w:p>
        </w:tc>
      </w:tr>
      <w:tr w:rsidR="009C4D0C" w:rsidRPr="00274021"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C3774C" w:rsidP="00904BA0">
            <w:pPr>
              <w:pStyle w:val="Tableheading"/>
            </w:pPr>
            <w:r>
              <w:t>Cell e</w:t>
            </w:r>
            <w:r w:rsidR="009C4D0C">
              <w:t>nric</w:t>
            </w:r>
            <w:r>
              <w:t>hment versus conventional c</w:t>
            </w:r>
            <w:r w:rsidR="009C4D0C">
              <w:t>ytology</w:t>
            </w:r>
          </w:p>
        </w:tc>
      </w:tr>
      <w:tr w:rsidR="00F177DC" w:rsidRPr="00274021" w:rsidTr="00552AF2">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B557B5" w:rsidRDefault="00F177DC" w:rsidP="00904BA0">
            <w:pPr>
              <w:pStyle w:val="Tabletext"/>
            </w:pPr>
            <w:r w:rsidRPr="00B557B5">
              <w:t>Beerman 2009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A</w:t>
            </w:r>
            <w:r w:rsidR="005E0D57">
              <w:rPr>
                <w:b w:val="0"/>
              </w:rPr>
              <w:t>–</w:t>
            </w:r>
            <w:r>
              <w:rPr>
                <w:b w:val="0"/>
              </w:rPr>
              <w:t>randomisation by GP</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r w:rsidRPr="00EF1094">
              <w:rPr>
                <w:b w:val="0"/>
                <w:vertAlign w:val="superscript"/>
              </w:rPr>
              <w:t>a</w:t>
            </w:r>
          </w:p>
        </w:tc>
      </w:tr>
      <w:tr w:rsidR="009C4D0C" w:rsidRPr="00274021"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9C4D0C" w:rsidRPr="005F717C" w:rsidRDefault="006B1477" w:rsidP="004F3378">
            <w:pPr>
              <w:pStyle w:val="Tabletext"/>
            </w:pPr>
            <w:r>
              <w:t xml:space="preserve">Source: Beerman </w:t>
            </w:r>
            <w:r w:rsidR="004B3488">
              <w:t>2009</w:t>
            </w:r>
            <w:r w:rsidR="00C3774C">
              <w:t>,</w:t>
            </w:r>
            <w:r w:rsidR="009C4D0C">
              <w:t xml:space="preserve"> Materials and Methods p. 573</w:t>
            </w:r>
          </w:p>
        </w:tc>
      </w:tr>
      <w:tr w:rsidR="00F177DC" w:rsidRPr="00274021" w:rsidTr="00552AF2">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B557B5" w:rsidRDefault="00F177DC" w:rsidP="00904BA0">
            <w:pPr>
              <w:pStyle w:val="Tabletext"/>
            </w:pPr>
            <w:r>
              <w:t>RODEO study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r>
      <w:tr w:rsidR="009C4D0C" w:rsidRPr="00274021"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9C4D0C" w:rsidRPr="005F717C" w:rsidRDefault="006B1477" w:rsidP="004F3378">
            <w:pPr>
              <w:pStyle w:val="Tabletext"/>
            </w:pPr>
            <w:r>
              <w:t xml:space="preserve">Source: Longatto-Filho </w:t>
            </w:r>
            <w:r w:rsidR="009C4D0C">
              <w:t>2011</w:t>
            </w:r>
            <w:r w:rsidR="00F51F2E">
              <w:t>;</w:t>
            </w:r>
            <w:r>
              <w:t xml:space="preserve"> Fregnani </w:t>
            </w:r>
            <w:r w:rsidR="009C4D0C">
              <w:t>2012</w:t>
            </w:r>
          </w:p>
        </w:tc>
      </w:tr>
      <w:tr w:rsidR="009C4D0C" w:rsidRPr="00274021"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D9D9D9"/>
          </w:tcPr>
          <w:p w:rsidR="009C4D0C" w:rsidRPr="00064B0A" w:rsidRDefault="00552AF2" w:rsidP="00904BA0">
            <w:pPr>
              <w:pStyle w:val="Tabletext"/>
              <w:rPr>
                <w:b/>
              </w:rPr>
            </w:pPr>
            <w:r>
              <w:rPr>
                <w:b/>
              </w:rPr>
              <w:t>Cell f</w:t>
            </w:r>
            <w:r w:rsidR="009C4D0C">
              <w:rPr>
                <w:b/>
              </w:rPr>
              <w:t>iltration ve</w:t>
            </w:r>
            <w:r>
              <w:rPr>
                <w:b/>
              </w:rPr>
              <w:t>rsus conventional c</w:t>
            </w:r>
            <w:r w:rsidR="009C4D0C">
              <w:rPr>
                <w:b/>
              </w:rPr>
              <w:t>ytology</w:t>
            </w:r>
          </w:p>
        </w:tc>
      </w:tr>
      <w:tr w:rsidR="00F177DC" w:rsidRPr="00274021" w:rsidTr="00552AF2">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Default="00F177DC" w:rsidP="00904BA0">
            <w:pPr>
              <w:pStyle w:val="Tabletext"/>
            </w:pPr>
            <w:r>
              <w:t>NTCC trial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C &amp; D</w:t>
            </w:r>
            <w:r w:rsidR="005E0D57">
              <w:t>–</w:t>
            </w:r>
            <w:r>
              <w:t xml:space="preserve">2 centres using method D and all remaining centres using method C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No</w:t>
            </w:r>
            <w:r w:rsidRPr="00494EDA">
              <w:rPr>
                <w:vertAlign w:val="superscript"/>
              </w:rPr>
              <w:t>b</w:t>
            </w:r>
          </w:p>
        </w:tc>
      </w:tr>
      <w:tr w:rsidR="009C4D0C" w:rsidRPr="004F3378"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9C4D0C" w:rsidRPr="004F3378" w:rsidRDefault="006B1477" w:rsidP="004F3378">
            <w:pPr>
              <w:pStyle w:val="Tabletext"/>
            </w:pPr>
            <w:r>
              <w:t xml:space="preserve">Source: Ronco </w:t>
            </w:r>
            <w:r w:rsidR="009C4D0C" w:rsidRPr="004F3378">
              <w:t>2007</w:t>
            </w:r>
            <w:r>
              <w:t xml:space="preserve"> Methods p.2; Ronco </w:t>
            </w:r>
            <w:r w:rsidR="009C4D0C" w:rsidRPr="004F3378">
              <w:t>2006</w:t>
            </w:r>
            <w:r w:rsidR="00C3774C" w:rsidRPr="004F3378">
              <w:t xml:space="preserve"> </w:t>
            </w:r>
            <w:r w:rsidR="009C4D0C" w:rsidRPr="004F3378">
              <w:t>Methods p.548</w:t>
            </w:r>
          </w:p>
        </w:tc>
      </w:tr>
      <w:tr w:rsidR="00F177DC" w:rsidRPr="00274021" w:rsidTr="00552AF2">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B557B5" w:rsidRDefault="00F177DC" w:rsidP="00904BA0">
            <w:pPr>
              <w:pStyle w:val="Tabletext"/>
            </w:pPr>
            <w:r>
              <w:t>NETHCON trial</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C3774C" w:rsidP="00C3774C">
            <w:pPr>
              <w:pStyle w:val="Tabletext"/>
            </w:pPr>
            <w:r>
              <w:t>A</w:t>
            </w:r>
            <w:r w:rsidR="005E0D57">
              <w:t>–</w:t>
            </w:r>
            <w:r w:rsidR="00F177DC">
              <w:t>randomised by family practice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DC5788" w:rsidP="00904BA0">
            <w:pPr>
              <w:pStyle w:val="Tabletext"/>
            </w:pPr>
            <w:r>
              <w:t>Possible</w:t>
            </w:r>
            <w:r w:rsidR="00F177DC" w:rsidRPr="00494EDA">
              <w:rPr>
                <w:vertAlign w:val="superscript"/>
              </w:rPr>
              <w:t>c</w:t>
            </w:r>
          </w:p>
        </w:tc>
      </w:tr>
      <w:tr w:rsidR="009C4D0C" w:rsidRPr="004F3378"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9C4D0C" w:rsidRPr="004F3378" w:rsidRDefault="006B1477" w:rsidP="004F3378">
            <w:pPr>
              <w:pStyle w:val="Tabletext"/>
            </w:pPr>
            <w:r>
              <w:t xml:space="preserve">Source: Siebers </w:t>
            </w:r>
            <w:r w:rsidR="009C4D0C" w:rsidRPr="004F3378">
              <w:t>2009 Methods p</w:t>
            </w:r>
            <w:r w:rsidR="00C3774C" w:rsidRPr="004F3378">
              <w:t>p.1758–60; Si</w:t>
            </w:r>
            <w:r>
              <w:t xml:space="preserve">ebers </w:t>
            </w:r>
            <w:r w:rsidR="009C4D0C" w:rsidRPr="004F3378">
              <w:t>2008 Materials and methods p.1328</w:t>
            </w:r>
          </w:p>
        </w:tc>
      </w:tr>
      <w:tr w:rsidR="00F177DC" w:rsidRPr="00274021" w:rsidTr="00552AF2">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B557B5" w:rsidRDefault="00F177DC" w:rsidP="00904BA0">
            <w:pPr>
              <w:pStyle w:val="Tabletext"/>
            </w:pPr>
            <w:r w:rsidRPr="00B557B5">
              <w:t>Strander 2007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B</w:t>
            </w:r>
            <w:r w:rsidR="005E0D57">
              <w:t>–</w:t>
            </w:r>
            <w:r>
              <w:t>alternation of collection method every other week by centre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text"/>
            </w:pPr>
            <w:r>
              <w:t>No</w:t>
            </w:r>
          </w:p>
        </w:tc>
      </w:tr>
      <w:tr w:rsidR="009C4D0C" w:rsidRPr="004F3378"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9C4D0C" w:rsidRPr="004F3378" w:rsidRDefault="00390469" w:rsidP="004F3378">
            <w:pPr>
              <w:pStyle w:val="Tabletext"/>
            </w:pPr>
            <w:r>
              <w:t xml:space="preserve">Source: Strander </w:t>
            </w:r>
            <w:r w:rsidR="009C4D0C" w:rsidRPr="004F3378">
              <w:t>2007</w:t>
            </w:r>
            <w:r w:rsidR="00552AF2" w:rsidRPr="004F3378">
              <w:t xml:space="preserve"> </w:t>
            </w:r>
            <w:r w:rsidR="009C4D0C" w:rsidRPr="004F3378">
              <w:t>M</w:t>
            </w:r>
            <w:r w:rsidR="00C3774C" w:rsidRPr="004F3378">
              <w:t>aterials and methods pp. 286–</w:t>
            </w:r>
            <w:r w:rsidR="009C4D0C" w:rsidRPr="004F3378">
              <w:t>7</w:t>
            </w:r>
          </w:p>
        </w:tc>
      </w:tr>
      <w:tr w:rsidR="00F177DC" w:rsidRPr="00274021" w:rsidTr="00552AF2">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B557B5" w:rsidRDefault="00F177DC" w:rsidP="00904BA0">
            <w:pPr>
              <w:pStyle w:val="Tabletext"/>
            </w:pPr>
            <w:r w:rsidRPr="00B557B5">
              <w:t>Mac</w:t>
            </w:r>
            <w:r>
              <w:t>c</w:t>
            </w:r>
            <w:r w:rsidRPr="00B557B5">
              <w:t>allini 2008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B</w:t>
            </w:r>
            <w:r w:rsidR="005E0D57">
              <w:rPr>
                <w:b w:val="0"/>
              </w:rPr>
              <w:t>–</w:t>
            </w:r>
            <w:r w:rsidRPr="00D27EEA">
              <w:rPr>
                <w:b w:val="0"/>
              </w:rPr>
              <w:t xml:space="preserve">alternation </w:t>
            </w:r>
            <w:r w:rsidRPr="00C375D0">
              <w:rPr>
                <w:b w:val="0"/>
              </w:rPr>
              <w:t xml:space="preserve">of collection method </w:t>
            </w:r>
            <w:r w:rsidRPr="00D27EEA">
              <w:rPr>
                <w:b w:val="0"/>
              </w:rPr>
              <w:t>every other week by centre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Yes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No</w:t>
            </w:r>
          </w:p>
        </w:tc>
      </w:tr>
      <w:tr w:rsidR="009C4D0C" w:rsidRPr="00274021"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9C4D0C" w:rsidRPr="005F717C" w:rsidRDefault="00390469" w:rsidP="004F3378">
            <w:pPr>
              <w:pStyle w:val="Tabletext"/>
            </w:pPr>
            <w:r>
              <w:t>Source: Maccallini</w:t>
            </w:r>
            <w:r w:rsidR="004B3488">
              <w:t xml:space="preserve"> </w:t>
            </w:r>
            <w:r w:rsidR="009C4D0C">
              <w:t>2008 Material and methods p.570 and Results p.571</w:t>
            </w:r>
          </w:p>
        </w:tc>
      </w:tr>
      <w:tr w:rsidR="00F177DC" w:rsidRPr="00274021" w:rsidTr="00552AF2">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B557B5" w:rsidRDefault="00F177DC" w:rsidP="00904BA0">
            <w:pPr>
              <w:pStyle w:val="Tabletext"/>
            </w:pPr>
            <w:r w:rsidRPr="00AF6012">
              <w:t>Obwegeser 2001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C</w:t>
            </w:r>
            <w:r w:rsidR="005E0D57">
              <w:rPr>
                <w:b w:val="0"/>
              </w:rPr>
              <w:t>–</w:t>
            </w:r>
            <w:r>
              <w:rPr>
                <w:b w:val="0"/>
              </w:rPr>
              <w:t>sequential labelled envelopes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r>
      <w:tr w:rsidR="009C4D0C" w:rsidRPr="00274021"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9C4D0C" w:rsidRPr="005F717C" w:rsidRDefault="00390469" w:rsidP="004F3378">
            <w:pPr>
              <w:pStyle w:val="Tabletext"/>
            </w:pPr>
            <w:r>
              <w:t>Source: Obwegeser</w:t>
            </w:r>
            <w:r w:rsidR="00F145F5">
              <w:t xml:space="preserve"> </w:t>
            </w:r>
            <w:r w:rsidR="009C4D0C">
              <w:t>2011</w:t>
            </w:r>
            <w:r w:rsidR="00F145F5">
              <w:t xml:space="preserve"> </w:t>
            </w:r>
            <w:r w:rsidR="009C4D0C">
              <w:t>Materials and methods p</w:t>
            </w:r>
            <w:r w:rsidR="00552AF2">
              <w:t>p.710–</w:t>
            </w:r>
            <w:r w:rsidR="009C4D0C">
              <w:t>2</w:t>
            </w:r>
          </w:p>
        </w:tc>
      </w:tr>
      <w:tr w:rsidR="00F177DC" w:rsidRPr="00274021" w:rsidTr="00552AF2">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AF6012" w:rsidRDefault="00F177DC" w:rsidP="00904BA0">
            <w:pPr>
              <w:pStyle w:val="Tabletext"/>
            </w:pPr>
            <w:r>
              <w:t>RHINE-SAAR study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B</w:t>
            </w:r>
            <w:r w:rsidR="005E0D57">
              <w:rPr>
                <w:b w:val="0"/>
              </w:rPr>
              <w:t>–</w:t>
            </w:r>
            <w:r w:rsidRPr="00D27EEA">
              <w:rPr>
                <w:b w:val="0"/>
              </w:rPr>
              <w:t xml:space="preserve">alternation </w:t>
            </w:r>
            <w:r w:rsidRPr="00C375D0">
              <w:rPr>
                <w:b w:val="0"/>
              </w:rPr>
              <w:t xml:space="preserve">of collection method </w:t>
            </w:r>
            <w:r w:rsidRPr="00D27EEA">
              <w:rPr>
                <w:b w:val="0"/>
              </w:rPr>
              <w:t>every other week by centre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No</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F177DC" w:rsidRPr="00274021" w:rsidRDefault="00F177DC" w:rsidP="00904BA0">
            <w:pPr>
              <w:pStyle w:val="Tableheading"/>
              <w:rPr>
                <w:b w:val="0"/>
              </w:rPr>
            </w:pPr>
            <w:r>
              <w:rPr>
                <w:b w:val="0"/>
              </w:rPr>
              <w:t>NR</w:t>
            </w:r>
          </w:p>
        </w:tc>
      </w:tr>
      <w:tr w:rsidR="009C4D0C" w:rsidRPr="00274021"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auto"/>
          </w:tcPr>
          <w:p w:rsidR="009C4D0C" w:rsidRPr="005F717C" w:rsidRDefault="00390469" w:rsidP="004F3378">
            <w:pPr>
              <w:pStyle w:val="Tabletext"/>
            </w:pPr>
            <w:r>
              <w:t>Source: Ikenberg</w:t>
            </w:r>
            <w:r w:rsidR="009C4D0C">
              <w:t xml:space="preserve"> </w:t>
            </w:r>
            <w:r w:rsidR="00552AF2">
              <w:t>2010a, 2010b, 2010c, 2011a,</w:t>
            </w:r>
            <w:r w:rsidR="009C4D0C">
              <w:t xml:space="preserve"> 2011b</w:t>
            </w:r>
          </w:p>
        </w:tc>
      </w:tr>
      <w:tr w:rsidR="009C4D0C" w:rsidRPr="00274021" w:rsidTr="00552AF2">
        <w:tc>
          <w:tcPr>
            <w:tcW w:w="0" w:type="auto"/>
            <w:gridSpan w:val="6"/>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552AF2" w:rsidP="00904BA0">
            <w:pPr>
              <w:pStyle w:val="Tableheading"/>
            </w:pPr>
            <w:r>
              <w:t>Manual versus a</w:t>
            </w:r>
            <w:r w:rsidR="009C4D0C">
              <w:t>utomated cytology</w:t>
            </w:r>
          </w:p>
        </w:tc>
      </w:tr>
      <w:tr w:rsidR="00F177DC" w:rsidRPr="00274021" w:rsidTr="00552AF2">
        <w:tc>
          <w:tcPr>
            <w:tcW w:w="0" w:type="auto"/>
          </w:tcPr>
          <w:p w:rsidR="00F177DC" w:rsidRPr="00274021" w:rsidRDefault="00F177DC" w:rsidP="00904BA0">
            <w:pPr>
              <w:pStyle w:val="Tabletext"/>
            </w:pPr>
            <w:r>
              <w:t>MAVARIC</w:t>
            </w:r>
          </w:p>
        </w:tc>
        <w:tc>
          <w:tcPr>
            <w:tcW w:w="0" w:type="auto"/>
          </w:tcPr>
          <w:p w:rsidR="00F177DC" w:rsidRPr="00274021" w:rsidRDefault="00F177DC" w:rsidP="00904BA0">
            <w:pPr>
              <w:pStyle w:val="Tabletext"/>
            </w:pPr>
            <w:r>
              <w:t>E</w:t>
            </w:r>
            <w:r w:rsidR="005E0D57">
              <w:t>–</w:t>
            </w:r>
            <w:r>
              <w:t>two stages: randomisation to technology and randomisation of manual only or paired arm</w:t>
            </w:r>
          </w:p>
        </w:tc>
        <w:tc>
          <w:tcPr>
            <w:tcW w:w="0" w:type="auto"/>
          </w:tcPr>
          <w:p w:rsidR="00F177DC" w:rsidRPr="00274021" w:rsidRDefault="00F177DC" w:rsidP="00904BA0">
            <w:pPr>
              <w:pStyle w:val="Tabletext"/>
            </w:pPr>
            <w:r>
              <w:t>NR</w:t>
            </w:r>
          </w:p>
        </w:tc>
        <w:tc>
          <w:tcPr>
            <w:tcW w:w="0" w:type="auto"/>
          </w:tcPr>
          <w:p w:rsidR="00F177DC" w:rsidRPr="00274021" w:rsidRDefault="00F177DC" w:rsidP="00904BA0">
            <w:pPr>
              <w:pStyle w:val="Tabletext"/>
            </w:pPr>
            <w:r>
              <w:t>No</w:t>
            </w:r>
          </w:p>
        </w:tc>
        <w:tc>
          <w:tcPr>
            <w:tcW w:w="0" w:type="auto"/>
          </w:tcPr>
          <w:p w:rsidR="00F177DC" w:rsidRPr="00274021" w:rsidRDefault="00F177DC" w:rsidP="00904BA0">
            <w:pPr>
              <w:pStyle w:val="Tabletext"/>
            </w:pPr>
            <w:r>
              <w:t>Yes</w:t>
            </w:r>
          </w:p>
        </w:tc>
        <w:tc>
          <w:tcPr>
            <w:tcW w:w="0" w:type="auto"/>
          </w:tcPr>
          <w:p w:rsidR="00F177DC" w:rsidRPr="00805515" w:rsidRDefault="00F177DC" w:rsidP="00904BA0">
            <w:pPr>
              <w:pStyle w:val="Tabletext"/>
            </w:pPr>
            <w:r>
              <w:t>NR</w:t>
            </w:r>
          </w:p>
        </w:tc>
      </w:tr>
      <w:tr w:rsidR="009C4D0C" w:rsidRPr="004F3378" w:rsidTr="00552AF2">
        <w:tc>
          <w:tcPr>
            <w:tcW w:w="0" w:type="auto"/>
            <w:gridSpan w:val="6"/>
          </w:tcPr>
          <w:p w:rsidR="009C4D0C" w:rsidRPr="004F3378" w:rsidRDefault="00390469" w:rsidP="004F3378">
            <w:pPr>
              <w:pStyle w:val="Tabletext"/>
            </w:pPr>
            <w:r>
              <w:t>Source: Kitchener</w:t>
            </w:r>
            <w:r w:rsidR="009C4D0C" w:rsidRPr="004F3378">
              <w:t xml:space="preserve"> 2011 Methods p</w:t>
            </w:r>
            <w:r w:rsidR="00552AF2" w:rsidRPr="004F3378">
              <w:t>p. 57–</w:t>
            </w:r>
            <w:r w:rsidR="009C4D0C" w:rsidRPr="004F3378">
              <w:t>8</w:t>
            </w:r>
          </w:p>
        </w:tc>
      </w:tr>
      <w:tr w:rsidR="00F177DC" w:rsidRPr="00274021" w:rsidTr="00552AF2">
        <w:tc>
          <w:tcPr>
            <w:tcW w:w="0" w:type="auto"/>
          </w:tcPr>
          <w:p w:rsidR="00F177DC" w:rsidRPr="00274021" w:rsidRDefault="00F177DC" w:rsidP="00904BA0">
            <w:pPr>
              <w:pStyle w:val="Tabletext"/>
            </w:pPr>
            <w:r>
              <w:t>Palmer 2012</w:t>
            </w:r>
          </w:p>
        </w:tc>
        <w:tc>
          <w:tcPr>
            <w:tcW w:w="0" w:type="auto"/>
          </w:tcPr>
          <w:p w:rsidR="00F177DC" w:rsidRPr="00274021" w:rsidRDefault="00F177DC" w:rsidP="00904BA0">
            <w:pPr>
              <w:pStyle w:val="Tabletext"/>
            </w:pPr>
            <w:r>
              <w:t>F</w:t>
            </w:r>
            <w:r w:rsidR="005E0D57">
              <w:t>–</w:t>
            </w:r>
            <w:r>
              <w:t>randomised by laboratory accession number</w:t>
            </w:r>
          </w:p>
        </w:tc>
        <w:tc>
          <w:tcPr>
            <w:tcW w:w="0" w:type="auto"/>
          </w:tcPr>
          <w:p w:rsidR="00F177DC" w:rsidRPr="00274021" w:rsidRDefault="00F177DC" w:rsidP="00904BA0">
            <w:pPr>
              <w:pStyle w:val="Tabletext"/>
            </w:pPr>
            <w:r>
              <w:t>NR</w:t>
            </w:r>
          </w:p>
        </w:tc>
        <w:tc>
          <w:tcPr>
            <w:tcW w:w="0" w:type="auto"/>
          </w:tcPr>
          <w:p w:rsidR="00F177DC" w:rsidRPr="00274021" w:rsidRDefault="00F177DC" w:rsidP="00904BA0">
            <w:pPr>
              <w:pStyle w:val="Tabletext"/>
            </w:pPr>
            <w:r>
              <w:t>No</w:t>
            </w:r>
          </w:p>
        </w:tc>
        <w:tc>
          <w:tcPr>
            <w:tcW w:w="0" w:type="auto"/>
          </w:tcPr>
          <w:p w:rsidR="00F177DC" w:rsidRPr="00274021" w:rsidRDefault="00F177DC" w:rsidP="00904BA0">
            <w:pPr>
              <w:pStyle w:val="Tabletext"/>
            </w:pPr>
            <w:r>
              <w:t>NR</w:t>
            </w:r>
            <w:r w:rsidRPr="00FE5F32">
              <w:rPr>
                <w:vertAlign w:val="superscript"/>
              </w:rPr>
              <w:t>d</w:t>
            </w:r>
          </w:p>
        </w:tc>
        <w:tc>
          <w:tcPr>
            <w:tcW w:w="0" w:type="auto"/>
          </w:tcPr>
          <w:p w:rsidR="00F177DC" w:rsidRPr="00274021" w:rsidRDefault="00F177DC" w:rsidP="00904BA0">
            <w:pPr>
              <w:pStyle w:val="Tabletext"/>
            </w:pPr>
            <w:r>
              <w:t>NR</w:t>
            </w:r>
            <w:r w:rsidRPr="00FE5F32">
              <w:rPr>
                <w:vertAlign w:val="superscript"/>
              </w:rPr>
              <w:t>d</w:t>
            </w:r>
          </w:p>
        </w:tc>
      </w:tr>
      <w:tr w:rsidR="009C4D0C" w:rsidRPr="004F3378" w:rsidTr="00552AF2">
        <w:tc>
          <w:tcPr>
            <w:tcW w:w="0" w:type="auto"/>
            <w:gridSpan w:val="6"/>
          </w:tcPr>
          <w:p w:rsidR="009C4D0C" w:rsidRPr="004F3378" w:rsidRDefault="009C4D0C" w:rsidP="004F3378">
            <w:pPr>
              <w:pStyle w:val="Tabletext"/>
            </w:pPr>
            <w:r w:rsidRPr="004F3378">
              <w:t>S</w:t>
            </w:r>
            <w:r w:rsidR="00390469">
              <w:t>ource: Palmer</w:t>
            </w:r>
            <w:r w:rsidRPr="004F3378">
              <w:t xml:space="preserve"> 2012</w:t>
            </w:r>
            <w:r w:rsidR="00206FA0">
              <w:t>.</w:t>
            </w:r>
            <w:r w:rsidRPr="004F3378">
              <w:t xml:space="preserve"> Methods </w:t>
            </w:r>
            <w:r w:rsidR="00552AF2" w:rsidRPr="004F3378">
              <w:t>pp.2–</w:t>
            </w:r>
            <w:r w:rsidRPr="004F3378">
              <w:t>3</w:t>
            </w:r>
          </w:p>
        </w:tc>
      </w:tr>
    </w:tbl>
    <w:p w:rsidR="00206FA0" w:rsidRDefault="00206FA0" w:rsidP="004F3378">
      <w:pPr>
        <w:pStyle w:val="Tabletext"/>
      </w:pPr>
      <w:r>
        <w:t>Abbreviations: GP, general</w:t>
      </w:r>
      <w:r w:rsidR="0071102A">
        <w:t xml:space="preserve"> practitioner; NR, not reported</w:t>
      </w:r>
    </w:p>
    <w:p w:rsidR="009C4D0C" w:rsidRPr="004F3378" w:rsidRDefault="009C4D0C" w:rsidP="004F3378">
      <w:pPr>
        <w:pStyle w:val="Tabletext"/>
      </w:pPr>
      <w:r w:rsidRPr="004F3378">
        <w:t xml:space="preserve">† Was the reference standard assessed without knowledge of the index </w:t>
      </w:r>
      <w:r w:rsidR="00DB2AA1" w:rsidRPr="004F3378">
        <w:t xml:space="preserve">or screening </w:t>
      </w:r>
      <w:r w:rsidRPr="004F3378">
        <w:t>test results</w:t>
      </w:r>
      <w:r w:rsidR="0071102A">
        <w:t>?</w:t>
      </w:r>
    </w:p>
    <w:p w:rsidR="009C4D0C" w:rsidRDefault="009C4D0C" w:rsidP="00F51F2E">
      <w:pPr>
        <w:pStyle w:val="Tabletext"/>
      </w:pPr>
      <w:r w:rsidRPr="004F3378">
        <w:t>A</w:t>
      </w:r>
      <w:r w:rsidR="005E0D57">
        <w:t>=</w:t>
      </w:r>
      <w:r w:rsidRPr="004F3378">
        <w:t>Cluster randomisation, B</w:t>
      </w:r>
      <w:r w:rsidR="005E0D57">
        <w:t>=</w:t>
      </w:r>
      <w:r w:rsidRPr="004F3378">
        <w:t>All centres alternated method of cytology collection weekly between LBC and CC, C</w:t>
      </w:r>
      <w:r w:rsidR="005E0D57">
        <w:t>=</w:t>
      </w:r>
      <w:r w:rsidRPr="004F3378">
        <w:t>sequentially labelled, sealed envelopes, D</w:t>
      </w:r>
      <w:r w:rsidR="005E0D57">
        <w:t>=</w:t>
      </w:r>
      <w:r w:rsidRPr="004F3378">
        <w:t>computer access for sequential numbering E</w:t>
      </w:r>
      <w:r w:rsidR="005E0D57">
        <w:t>=</w:t>
      </w:r>
      <w:r w:rsidRPr="004F3378">
        <w:t>Random sequence of dig</w:t>
      </w:r>
      <w:r w:rsidR="00390469">
        <w:t>its to randomise GPs to cell enrichment or cell filtration LBC</w:t>
      </w:r>
      <w:r w:rsidRPr="004F3378">
        <w:t xml:space="preserve"> technologies, Followed by spread</w:t>
      </w:r>
      <w:r w:rsidR="00390469">
        <w:t xml:space="preserve"> </w:t>
      </w:r>
      <w:r w:rsidRPr="004F3378">
        <w:t>she</w:t>
      </w:r>
      <w:r w:rsidR="005E0D57">
        <w:t xml:space="preserve"> </w:t>
      </w:r>
      <w:r w:rsidRPr="004F3378">
        <w:t>location within laboratories for stage two randomisation to manual only or paired arm, F</w:t>
      </w:r>
      <w:r w:rsidR="005E0D57">
        <w:t>=</w:t>
      </w:r>
      <w:r w:rsidRPr="004F3378">
        <w:t>randomised by laboratory acce</w:t>
      </w:r>
      <w:r w:rsidR="00F51F2E">
        <w:t>ssion number 1–</w:t>
      </w:r>
      <w:r w:rsidR="00390469">
        <w:t>50 imaged and 51–</w:t>
      </w:r>
      <w:r w:rsidRPr="004F3378">
        <w:t>100 manually read</w:t>
      </w:r>
      <w:r w:rsidR="005E1293" w:rsidRPr="004F3378">
        <w:br/>
      </w:r>
      <w:r w:rsidRPr="004F3378">
        <w:lastRenderedPageBreak/>
        <w:t xml:space="preserve">a Histology data obtained from national database of </w:t>
      </w:r>
      <w:r w:rsidR="009073D9" w:rsidRPr="004F3378">
        <w:t>pathology</w:t>
      </w:r>
      <w:r w:rsidRPr="004F3378">
        <w:t xml:space="preserve"> and the paper does not report if the histology was performed with knowledge of the initial cytology report</w:t>
      </w:r>
      <w:r w:rsidR="005E1293" w:rsidRPr="004F3378">
        <w:br/>
      </w:r>
      <w:r w:rsidRPr="004F3378">
        <w:t xml:space="preserve">b Whilst preliminary histology review was not blinded to cytology and HPV result, all histology reports identified as CIN+ underwent secondary independent histology blinded to the preliminary histology reading. </w:t>
      </w:r>
      <w:r w:rsidR="005E1293" w:rsidRPr="004F3378">
        <w:br/>
      </w:r>
      <w:proofErr w:type="gramStart"/>
      <w:r w:rsidRPr="004F3378">
        <w:t>c</w:t>
      </w:r>
      <w:proofErr w:type="gramEnd"/>
      <w:r w:rsidRPr="004F3378">
        <w:t xml:space="preserve"> The paper states the primary outcome is based on the blinded review of histological follow-up and whilst we know that histology is blinded to cytology method it is unclear from the paper if assessors were also blinded to the cytology results.</w:t>
      </w:r>
      <w:r w:rsidR="005E1293" w:rsidRPr="004F3378">
        <w:br/>
      </w:r>
      <w:r w:rsidRPr="004F3378">
        <w:t>d</w:t>
      </w:r>
      <w:r w:rsidR="005E1293" w:rsidRPr="004F3378">
        <w:t>.</w:t>
      </w:r>
      <w:r w:rsidRPr="004F3378">
        <w:t xml:space="preserve"> Data derived from information routinely entered onto the SCCRS database. Palmer 2012 does not report if the method of cytology or test results were blinded at any stage of screening. </w:t>
      </w:r>
    </w:p>
    <w:p w:rsidR="00F51F2E" w:rsidRDefault="00F51F2E" w:rsidP="00F51F2E"/>
    <w:p w:rsidR="009C4D0C" w:rsidRDefault="009C4D0C" w:rsidP="009C4D0C">
      <w:bookmarkStart w:id="140" w:name="_Ref169667131"/>
      <w:bookmarkStart w:id="141" w:name="_Toc192319852"/>
      <w:bookmarkStart w:id="142" w:name="_Toc312340199"/>
      <w:bookmarkStart w:id="143" w:name="_Toc316368184"/>
      <w:r>
        <w:t xml:space="preserve">To assess the validity and quality of the included trials, the reference standards applied and the appropriateness of these standards to the study design are presented </w:t>
      </w:r>
      <w:r w:rsidR="0071102A">
        <w:t>(</w:t>
      </w:r>
      <w:r w:rsidR="00086C77">
        <w:fldChar w:fldCharType="begin"/>
      </w:r>
      <w:r>
        <w:instrText xml:space="preserve"> REF _Ref333239354 \h </w:instrText>
      </w:r>
      <w:r w:rsidR="00086C77">
        <w:fldChar w:fldCharType="separate"/>
      </w:r>
      <w:r w:rsidR="003361A8">
        <w:t xml:space="preserve">Table </w:t>
      </w:r>
      <w:r w:rsidR="003361A8">
        <w:rPr>
          <w:noProof/>
        </w:rPr>
        <w:t>13</w:t>
      </w:r>
      <w:r w:rsidR="00086C77">
        <w:fldChar w:fldCharType="end"/>
      </w:r>
      <w:r w:rsidR="0071102A">
        <w:t>)</w:t>
      </w:r>
      <w:r>
        <w:t>.</w:t>
      </w:r>
    </w:p>
    <w:p w:rsidR="009C4D0C" w:rsidRPr="00552AF2" w:rsidRDefault="00552AF2" w:rsidP="00F145F5">
      <w:pPr>
        <w:pStyle w:val="Heading50"/>
      </w:pPr>
      <w:r>
        <w:t>Reference s</w:t>
      </w:r>
      <w:r w:rsidR="009C4D0C" w:rsidRPr="00552AF2">
        <w:t>tandards</w:t>
      </w:r>
    </w:p>
    <w:p w:rsidR="00AE29CF" w:rsidRDefault="00B01CC8" w:rsidP="00A9369E">
      <w:r>
        <w:t xml:space="preserve">The application of a </w:t>
      </w:r>
      <w:r w:rsidR="009C4D0C">
        <w:t>reference standard</w:t>
      </w:r>
      <w:r w:rsidR="003E7D1C">
        <w:t xml:space="preserve"> (referral for colposcopy </w:t>
      </w:r>
      <w:r w:rsidR="003E7D1C">
        <w:rPr>
          <w:rFonts w:ascii="Garamond" w:hAnsi="Garamond"/>
        </w:rPr>
        <w:t>±</w:t>
      </w:r>
      <w:r w:rsidR="003E7D1C">
        <w:t xml:space="preserve"> biopsy)</w:t>
      </w:r>
      <w:r w:rsidR="009C4D0C">
        <w:t xml:space="preserve"> was </w:t>
      </w:r>
      <w:r>
        <w:t xml:space="preserve">not </w:t>
      </w:r>
      <w:r w:rsidR="009C4D0C">
        <w:t xml:space="preserve">reported </w:t>
      </w:r>
      <w:r w:rsidR="00AE29CF">
        <w:t>for</w:t>
      </w:r>
      <w:r w:rsidRPr="00B01CC8">
        <w:t xml:space="preserve"> </w:t>
      </w:r>
      <w:r>
        <w:t xml:space="preserve">Beerman 2009. The authors of the trial report that a distinguishing feature of the trial is that all cytological and histological outcomes are available for all women who participated which </w:t>
      </w:r>
      <w:proofErr w:type="gramStart"/>
      <w:r>
        <w:t>avoids</w:t>
      </w:r>
      <w:proofErr w:type="gramEnd"/>
      <w:r>
        <w:t xml:space="preserve"> the verification bias associated with the selective follow up of subjects (Beerman et al. 2009 p. 575). </w:t>
      </w:r>
      <w:r w:rsidR="005E678A">
        <w:t>B</w:t>
      </w:r>
      <w:r w:rsidR="00390469">
        <w:t xml:space="preserve">eerman </w:t>
      </w:r>
      <w:r>
        <w:t>2009</w:t>
      </w:r>
      <w:r w:rsidR="00552AF2">
        <w:t xml:space="preserve"> report</w:t>
      </w:r>
      <w:r w:rsidR="00390469">
        <w:t>s</w:t>
      </w:r>
      <w:r w:rsidR="00A9369E">
        <w:t xml:space="preserve"> “The histological follow-up of all patients with a cytological classification of ASCUS or higher was retrieved from the PALGA database. To determine the true false negative rate of the screening results, we collected the data from all patients with a negative cytology (i.e</w:t>
      </w:r>
      <w:r w:rsidR="00195600">
        <w:t>.</w:t>
      </w:r>
      <w:r w:rsidR="00A9369E">
        <w:t xml:space="preserve"> within normal limits), but with a histological proven cervical lesion (CIN 1 or higher)”. This implies that patients with ASCUS+ outcome were </w:t>
      </w:r>
      <w:r w:rsidR="003E7D1C">
        <w:t xml:space="preserve">sent </w:t>
      </w:r>
      <w:r w:rsidR="00A9369E">
        <w:t>for further follow up</w:t>
      </w:r>
      <w:r w:rsidR="00DC6EEA">
        <w:t>. Although</w:t>
      </w:r>
      <w:r w:rsidR="00A9369E">
        <w:t xml:space="preserve"> this</w:t>
      </w:r>
      <w:r w:rsidR="00DC6EEA">
        <w:t xml:space="preserve"> suggestion</w:t>
      </w:r>
      <w:r w:rsidR="00A9369E">
        <w:t xml:space="preserve"> is speculative</w:t>
      </w:r>
      <w:r w:rsidR="00DC6EEA">
        <w:t>, it does align with a publication of the cervical cancer screening practices in Netherlands at the time of the Beerman trial which states that, “Borderline smears (ASCUS) must be repeated after 6 months</w:t>
      </w:r>
      <w:proofErr w:type="gramStart"/>
      <w:r w:rsidR="00DC6EEA">
        <w:t>”(</w:t>
      </w:r>
      <w:proofErr w:type="gramEnd"/>
      <w:r w:rsidR="00DC6EEA">
        <w:t xml:space="preserve">vam Ballegooijen and Hermens 2000) </w:t>
      </w:r>
      <w:r w:rsidR="009335B2">
        <w:t>.</w:t>
      </w:r>
      <w:r w:rsidR="00AE29CF">
        <w:t xml:space="preserve"> </w:t>
      </w:r>
      <w:r w:rsidR="001A3CFB">
        <w:t>Nonetheless the</w:t>
      </w:r>
      <w:r w:rsidR="00DC6EEA">
        <w:t xml:space="preserve"> </w:t>
      </w:r>
      <w:r w:rsidR="00AE29CF">
        <w:t>hi</w:t>
      </w:r>
      <w:r w:rsidR="00370426">
        <w:t>s</w:t>
      </w:r>
      <w:r w:rsidR="00AE29CF">
        <w:t>tologi</w:t>
      </w:r>
      <w:r w:rsidR="00552AF2">
        <w:t xml:space="preserve">cal </w:t>
      </w:r>
      <w:proofErr w:type="gramStart"/>
      <w:r w:rsidR="00552AF2">
        <w:t xml:space="preserve">outcome for all patients </w:t>
      </w:r>
      <w:r w:rsidR="00DC6EEA">
        <w:t xml:space="preserve">with the same follow up period of 510 days </w:t>
      </w:r>
      <w:r w:rsidR="00416B1C">
        <w:t>are</w:t>
      </w:r>
      <w:proofErr w:type="gramEnd"/>
      <w:r w:rsidR="00416B1C">
        <w:t xml:space="preserve"> provided</w:t>
      </w:r>
      <w:r w:rsidR="00DC6EEA">
        <w:t xml:space="preserve"> </w:t>
      </w:r>
      <w:r w:rsidR="00622FF8">
        <w:t>and within trial comparison of the screening tests are valid.</w:t>
      </w:r>
      <w:r w:rsidR="009C4D0C">
        <w:t xml:space="preserve"> </w:t>
      </w:r>
      <w:r>
        <w:t>The RODEO study does not indicate the reference standards applied and reports cytological outcomes only.</w:t>
      </w:r>
    </w:p>
    <w:p w:rsidR="00AE29CF" w:rsidRDefault="009C4D0C" w:rsidP="00AE29CF">
      <w:r>
        <w:t xml:space="preserve">The reference standard applied in the six </w:t>
      </w:r>
      <w:r w:rsidR="00AE29CF">
        <w:t xml:space="preserve">cell filtration LBC RCTs </w:t>
      </w:r>
      <w:r>
        <w:t xml:space="preserve">varied. </w:t>
      </w:r>
      <w:r w:rsidR="00F51F2E">
        <w:t xml:space="preserve">Both NETHCON and Strander </w:t>
      </w:r>
      <w:r w:rsidR="00AE29CF">
        <w:t xml:space="preserve">2007 </w:t>
      </w:r>
      <w:r w:rsidR="00DC5788">
        <w:t xml:space="preserve">applied </w:t>
      </w:r>
      <w:r w:rsidR="00AE29CF">
        <w:t>the same reference standard whereby ASCUS and CIN 1 cases</w:t>
      </w:r>
      <w:r w:rsidR="00552AF2">
        <w:t xml:space="preserve"> led to either colposcopy or </w:t>
      </w:r>
      <w:r w:rsidR="00AE29CF">
        <w:t xml:space="preserve">a repeat smear. </w:t>
      </w:r>
      <w:r w:rsidR="00416B1C">
        <w:t xml:space="preserve">Strander reports that follow up was to occur at 4 months whereas timing of follow up in NETHCON is not reported. </w:t>
      </w:r>
      <w:r w:rsidR="00AE29CF">
        <w:t>Those with CIN</w:t>
      </w:r>
      <w:r w:rsidR="00552AF2">
        <w:t xml:space="preserve"> 2–</w:t>
      </w:r>
      <w:r w:rsidR="00AE29CF">
        <w:t>3 result</w:t>
      </w:r>
      <w:r w:rsidR="00F51F2E">
        <w:t>s</w:t>
      </w:r>
      <w:r w:rsidR="00AE29CF">
        <w:t xml:space="preserve"> were referred to colposcopy</w:t>
      </w:r>
      <w:r w:rsidR="00DC5788">
        <w:t xml:space="preserve"> and possible biopsy</w:t>
      </w:r>
      <w:r w:rsidR="00AE29CF">
        <w:t>. The terminology used by Strander 2007</w:t>
      </w:r>
      <w:r w:rsidR="00552AF2">
        <w:t xml:space="preserve"> is different from</w:t>
      </w:r>
      <w:r w:rsidR="00AE29CF">
        <w:t xml:space="preserve"> all other trials whereby CIN, traditionally a histological classification scale</w:t>
      </w:r>
      <w:r w:rsidR="00552AF2">
        <w:t>,</w:t>
      </w:r>
      <w:r w:rsidR="00AE29CF">
        <w:t xml:space="preserve"> is used to describe cytological abnormalities (</w:t>
      </w:r>
      <w:r w:rsidR="00086C77">
        <w:fldChar w:fldCharType="begin"/>
      </w:r>
      <w:r w:rsidR="00AE29CF">
        <w:instrText xml:space="preserve"> REF _Ref333997406 \h </w:instrText>
      </w:r>
      <w:r w:rsidR="00086C77">
        <w:fldChar w:fldCharType="separate"/>
      </w:r>
      <w:r w:rsidR="003361A8">
        <w:t xml:space="preserve">Table </w:t>
      </w:r>
      <w:r w:rsidR="003361A8">
        <w:rPr>
          <w:noProof/>
        </w:rPr>
        <w:t>4</w:t>
      </w:r>
      <w:r w:rsidR="00086C77">
        <w:fldChar w:fldCharType="end"/>
      </w:r>
      <w:r w:rsidR="00AE29CF">
        <w:t>).</w:t>
      </w:r>
    </w:p>
    <w:p w:rsidR="00552AF2" w:rsidRDefault="00F51F2E" w:rsidP="00A9369E">
      <w:r>
        <w:t xml:space="preserve">Maccallini </w:t>
      </w:r>
      <w:r w:rsidR="00DC5788">
        <w:t>2008</w:t>
      </w:r>
      <w:r w:rsidR="00552AF2">
        <w:t xml:space="preserve"> and RHINE-SAAR</w:t>
      </w:r>
      <w:r w:rsidR="00DC5788">
        <w:t xml:space="preserve"> implemented the same reference standard of referral for colposcopy for</w:t>
      </w:r>
      <w:r w:rsidR="00390469">
        <w:t xml:space="preserve"> all cytology results of ASCUS+.</w:t>
      </w:r>
      <w:r w:rsidR="00DC5788">
        <w:t xml:space="preserve"> </w:t>
      </w:r>
    </w:p>
    <w:p w:rsidR="00DC5788" w:rsidRDefault="00390469" w:rsidP="00A9369E">
      <w:r>
        <w:lastRenderedPageBreak/>
        <w:t xml:space="preserve">NTCC and Obwegeser </w:t>
      </w:r>
      <w:r w:rsidR="00DC5788">
        <w:t>2001</w:t>
      </w:r>
      <w:r>
        <w:t xml:space="preserve"> each </w:t>
      </w:r>
      <w:r w:rsidR="00DC5788">
        <w:t>report</w:t>
      </w:r>
      <w:r w:rsidR="00206FA0">
        <w:t>ed</w:t>
      </w:r>
      <w:r w:rsidR="00DC5788">
        <w:t xml:space="preserve"> unique reference standards. </w:t>
      </w:r>
    </w:p>
    <w:p w:rsidR="009C4D0C" w:rsidRDefault="009C4D0C" w:rsidP="009C4D0C">
      <w:r>
        <w:t>In the NTCC trial any participant in the L</w:t>
      </w:r>
      <w:r w:rsidRPr="00D924BC">
        <w:t xml:space="preserve">BC group with </w:t>
      </w:r>
      <w:r>
        <w:t xml:space="preserve">a cytology result of </w:t>
      </w:r>
      <w:r w:rsidRPr="00D924BC">
        <w:t>ASCUS+ we</w:t>
      </w:r>
      <w:r w:rsidR="00552AF2">
        <w:t xml:space="preserve">re </w:t>
      </w:r>
      <w:r>
        <w:t>to be referred to colposcopy. The protocol for the conventional group</w:t>
      </w:r>
      <w:r w:rsidRPr="00D924BC">
        <w:t xml:space="preserve"> was for LSIL+ </w:t>
      </w:r>
      <w:r w:rsidR="00552AF2">
        <w:t>cytology women were</w:t>
      </w:r>
      <w:r w:rsidRPr="00D924BC">
        <w:t xml:space="preserve"> to go for colposcopy</w:t>
      </w:r>
      <w:r w:rsidR="00552AF2">
        <w:t xml:space="preserve">, </w:t>
      </w:r>
      <w:r w:rsidR="00F51F2E">
        <w:t xml:space="preserve">but </w:t>
      </w:r>
      <w:r>
        <w:t>seven of the nine ce</w:t>
      </w:r>
      <w:r w:rsidRPr="00D924BC">
        <w:t xml:space="preserve">ntres referred for colposcopy based on ASCUS+ and </w:t>
      </w:r>
      <w:r>
        <w:t xml:space="preserve">two of the nine </w:t>
      </w:r>
      <w:r w:rsidRPr="00D924BC">
        <w:t xml:space="preserve">centres sent ASCUS+ </w:t>
      </w:r>
      <w:r w:rsidR="009B2A90">
        <w:t>women</w:t>
      </w:r>
      <w:r>
        <w:t xml:space="preserve"> </w:t>
      </w:r>
      <w:r w:rsidR="009B2A90">
        <w:t>for repeat cytology and</w:t>
      </w:r>
      <w:r w:rsidRPr="00D924BC">
        <w:t xml:space="preserve"> </w:t>
      </w:r>
      <w:r>
        <w:t xml:space="preserve">subsequent </w:t>
      </w:r>
      <w:r w:rsidRPr="00D924BC">
        <w:t xml:space="preserve">LSIL </w:t>
      </w:r>
      <w:r>
        <w:t xml:space="preserve">results were </w:t>
      </w:r>
      <w:r w:rsidRPr="00D924BC">
        <w:t>referred for colposcopy</w:t>
      </w:r>
      <w:r>
        <w:t>.</w:t>
      </w:r>
    </w:p>
    <w:p w:rsidR="00DC5788" w:rsidRDefault="00DC5788" w:rsidP="00DC5788">
      <w:r w:rsidRPr="00FB2097">
        <w:t>Obwegeser 2001</w:t>
      </w:r>
      <w:r w:rsidR="009B2A90">
        <w:t xml:space="preserve"> reported</w:t>
      </w:r>
      <w:r w:rsidRPr="00FB2097">
        <w:t xml:space="preserve"> follow up of all HSIL cases</w:t>
      </w:r>
      <w:r w:rsidR="009B2A90">
        <w:t xml:space="preserve"> only</w:t>
      </w:r>
      <w:r w:rsidRPr="00FB2097">
        <w:t xml:space="preserve">. It is stated that follow-up of LSIL and ASCUS cases is in progress implying a reference standard of ASCUS+ </w:t>
      </w:r>
      <w:r>
        <w:t>was applied in the study</w:t>
      </w:r>
      <w:r w:rsidR="00F51F2E">
        <w:t>.</w:t>
      </w:r>
      <w:r w:rsidR="00416B1C">
        <w:t xml:space="preserve"> A specific search was performed to identify any publication regarding the follow up of ASCUS and LSIL cases. Although 62 citations were found that referred to the article there was no subsequent publication by either author (A</w:t>
      </w:r>
      <w:r w:rsidR="005F6015">
        <w:t>ttachment 2</w:t>
      </w:r>
      <w:r w:rsidR="00416B1C">
        <w:t xml:space="preserve">). </w:t>
      </w:r>
      <w:r w:rsidR="00F51F2E">
        <w:t xml:space="preserve"> A</w:t>
      </w:r>
      <w:r w:rsidRPr="00FB2097">
        <w:t xml:space="preserve"> reference standard applied to HSIL cases only is available</w:t>
      </w:r>
      <w:r w:rsidR="00F51F2E">
        <w:t xml:space="preserve"> for results published to date</w:t>
      </w:r>
      <w:r w:rsidRPr="00FB2097">
        <w:t>.</w:t>
      </w:r>
    </w:p>
    <w:p w:rsidR="00DC5788" w:rsidRDefault="00DC5788" w:rsidP="00DC5788">
      <w:r>
        <w:t xml:space="preserve">Only HSIL and HPV positive cases were referred to colposcopy and possible histology in </w:t>
      </w:r>
      <w:r w:rsidR="00390469">
        <w:t xml:space="preserve">the MAVARIC study. Palmer </w:t>
      </w:r>
      <w:r>
        <w:t>2012 referred all cytology results of ASCUS+</w:t>
      </w:r>
      <w:r w:rsidRPr="00DC5788">
        <w:t xml:space="preserve"> </w:t>
      </w:r>
      <w:r>
        <w:t>for colposcopy and possible histology.</w:t>
      </w:r>
    </w:p>
    <w:p w:rsidR="009C4D0C" w:rsidRPr="009B2A90" w:rsidRDefault="009C4D0C" w:rsidP="00206FA0">
      <w:pPr>
        <w:pStyle w:val="Heading50"/>
      </w:pPr>
      <w:r w:rsidRPr="009B2A90">
        <w:t>Appropriateness of reference standards</w:t>
      </w:r>
    </w:p>
    <w:p w:rsidR="00DB2AA1" w:rsidRDefault="00416B1C" w:rsidP="00DB2AA1">
      <w:r>
        <w:t xml:space="preserve">For trials that reported information on the reference standards </w:t>
      </w:r>
      <w:r w:rsidR="00140CA4">
        <w:t xml:space="preserve">applied, </w:t>
      </w:r>
      <w:r w:rsidR="00140CA4" w:rsidRPr="00C32C5C">
        <w:t>colposcopy</w:t>
      </w:r>
      <w:r w:rsidR="00C32C5C" w:rsidRPr="00C32C5C">
        <w:t xml:space="preserve"> and/or biopsy as the reference standard. </w:t>
      </w:r>
      <w:r>
        <w:t>The NTCC and MAVARIC trial also included application of the reference standard to HPV test positive cases.  The test threshold at which the reference standard was uniformly applied was either ASCUS+ or HSIL+ did vary between studies.</w:t>
      </w:r>
      <w:r w:rsidRPr="00C32C5C">
        <w:t xml:space="preserve"> </w:t>
      </w:r>
      <w:r w:rsidR="00C32C5C" w:rsidRPr="00C32C5C">
        <w:t xml:space="preserve">In </w:t>
      </w:r>
      <w:r w:rsidR="00C32C5C">
        <w:t>all</w:t>
      </w:r>
      <w:r w:rsidR="00C32C5C" w:rsidRPr="00C32C5C">
        <w:t xml:space="preserve"> studies</w:t>
      </w:r>
      <w:r w:rsidR="009B2A90">
        <w:t>,</w:t>
      </w:r>
      <w:r w:rsidR="00C32C5C" w:rsidRPr="00C32C5C">
        <w:t xml:space="preserve"> only </w:t>
      </w:r>
      <w:r w:rsidR="00C32C5C">
        <w:t>a</w:t>
      </w:r>
      <w:r w:rsidR="00C32C5C" w:rsidRPr="00C32C5C">
        <w:t>bnormalities visib</w:t>
      </w:r>
      <w:r w:rsidR="00C32C5C">
        <w:t>le on colposcopy were biopsied</w:t>
      </w:r>
      <w:r w:rsidR="009B2A90">
        <w:t>;</w:t>
      </w:r>
      <w:r w:rsidR="00C32C5C" w:rsidRPr="00C32C5C">
        <w:t xml:space="preserve"> negative colposcopy</w:t>
      </w:r>
      <w:r w:rsidR="009B2A90">
        <w:t xml:space="preserve"> was</w:t>
      </w:r>
      <w:r w:rsidR="00C32C5C" w:rsidRPr="00C32C5C">
        <w:t xml:space="preserve"> interpreted as absence of disease. </w:t>
      </w:r>
      <w:r w:rsidR="00C32C5C">
        <w:t xml:space="preserve">This introduces performance bias in </w:t>
      </w:r>
      <w:r w:rsidR="009B2A90">
        <w:t>that the colposcopist decides if</w:t>
      </w:r>
      <w:r w:rsidR="00C32C5C">
        <w:t xml:space="preserve"> a lesion is present and then</w:t>
      </w:r>
      <w:r w:rsidR="00DB2AA1">
        <w:t xml:space="preserve"> whether to biopsy the lesion. The visual assessment of the cervix in colposcopy, which was used to report outcomes, has a high inter-ob</w:t>
      </w:r>
      <w:r w:rsidR="00390469">
        <w:t xml:space="preserve">server variability (Arbyn </w:t>
      </w:r>
      <w:r w:rsidR="00DB2AA1">
        <w:t>2009). For this reason and others the validity of colposcopy and biopsy as a reference standard h</w:t>
      </w:r>
      <w:r w:rsidR="009B2A90">
        <w:t>as been questioned (</w:t>
      </w:r>
      <w:r w:rsidR="00390469">
        <w:t xml:space="preserve">Davey </w:t>
      </w:r>
      <w:r w:rsidR="00DB2AA1">
        <w:t xml:space="preserve">2006 p.129). </w:t>
      </w:r>
      <w:r w:rsidR="009B2A90">
        <w:t>But</w:t>
      </w:r>
      <w:r w:rsidR="00DB2AA1">
        <w:t>, even an imperfect reference standard, if applied without knowledge of the two tests being compared, will provide an unbiased reference comparison of the accuracy of the two tests (Ibid. 2006). That colposcopy and biopsy is the most widely used reference standard in clinical practice is reflected in the RCTs. The colposcopic examination in the NETHCON trial, Strander 2007, Maccallini 2008 and the MAVARIC studies were performed without knowledge of the cytology method.</w:t>
      </w:r>
    </w:p>
    <w:p w:rsidR="00C32C5C" w:rsidRDefault="00B119A8" w:rsidP="007F3F36">
      <w:r>
        <w:t>It is noted that in the 2009 MSAC assessment report c</w:t>
      </w:r>
      <w:r w:rsidRPr="00B119A8">
        <w:t xml:space="preserve">olposcopy with biopsy (threshold for positive histology CIN 2+/CIN 3+) was considered the most valid reference standard to </w:t>
      </w:r>
      <w:r w:rsidRPr="00B119A8">
        <w:lastRenderedPageBreak/>
        <w:t>determine the true disease status of patients with a positive test (</w:t>
      </w:r>
      <w:r w:rsidRPr="000D3CB5">
        <w:t>pLSIL, LSIL, pHSIL</w:t>
      </w:r>
      <w:r w:rsidRPr="00B119A8">
        <w:t xml:space="preserve">, HSIL or SCC). Clinical follow-up with repeat cytology at </w:t>
      </w:r>
      <w:r w:rsidR="009B2A90">
        <w:t>one</w:t>
      </w:r>
      <w:r w:rsidRPr="00B119A8">
        <w:t xml:space="preserve"> year was considered the most valid reference st</w:t>
      </w:r>
      <w:r>
        <w:t xml:space="preserve">andard </w:t>
      </w:r>
      <w:r w:rsidRPr="00B119A8">
        <w:t>MSAC 2009).</w:t>
      </w:r>
    </w:p>
    <w:p w:rsidR="009C4D0C" w:rsidRDefault="009C4D0C" w:rsidP="009C4D0C">
      <w:pPr>
        <w:pStyle w:val="Caption"/>
      </w:pPr>
      <w:bookmarkStart w:id="144" w:name="_Ref333239354"/>
      <w:bookmarkStart w:id="145" w:name="_Ref333239339"/>
      <w:bookmarkStart w:id="146" w:name="_Toc335665979"/>
      <w:bookmarkStart w:id="147" w:name="_Toc337546950"/>
      <w:r>
        <w:lastRenderedPageBreak/>
        <w:t xml:space="preserve">Table </w:t>
      </w:r>
      <w:fldSimple w:instr=" SEQ Table \* ARABIC ">
        <w:r w:rsidR="003361A8">
          <w:rPr>
            <w:noProof/>
          </w:rPr>
          <w:t>13</w:t>
        </w:r>
      </w:fldSimple>
      <w:bookmarkEnd w:id="144"/>
      <w:r w:rsidR="009B2A90">
        <w:tab/>
        <w:t>Reference s</w:t>
      </w:r>
      <w:r>
        <w:t>tandards applied to the included trials</w:t>
      </w:r>
      <w:bookmarkEnd w:id="145"/>
      <w:bookmarkEnd w:id="146"/>
      <w:bookmarkEnd w:id="1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5"/>
        <w:gridCol w:w="2880"/>
        <w:gridCol w:w="2977"/>
        <w:gridCol w:w="1979"/>
      </w:tblGrid>
      <w:tr w:rsidR="009C4D0C" w:rsidRPr="00274021" w:rsidTr="009B2A90">
        <w:trPr>
          <w:cantSplit/>
          <w:tblHeader/>
        </w:trPr>
        <w:tc>
          <w:tcPr>
            <w:tcW w:w="593" w:type="pct"/>
            <w:tcBorders>
              <w:bottom w:val="single" w:sz="4" w:space="0" w:color="auto"/>
            </w:tcBorders>
          </w:tcPr>
          <w:p w:rsidR="009C4D0C" w:rsidRPr="00274021" w:rsidRDefault="009C4D0C" w:rsidP="00904BA0">
            <w:pPr>
              <w:pStyle w:val="Tableheading"/>
            </w:pPr>
            <w:r w:rsidRPr="00274021">
              <w:t>Trial ID</w:t>
            </w:r>
          </w:p>
        </w:tc>
        <w:tc>
          <w:tcPr>
            <w:tcW w:w="1620" w:type="pct"/>
            <w:tcBorders>
              <w:bottom w:val="single" w:sz="4" w:space="0" w:color="auto"/>
            </w:tcBorders>
          </w:tcPr>
          <w:p w:rsidR="009C4D0C" w:rsidRPr="00274021" w:rsidRDefault="009B2A90" w:rsidP="00904BA0">
            <w:pPr>
              <w:pStyle w:val="Tableheading"/>
            </w:pPr>
            <w:r>
              <w:t>Reference s</w:t>
            </w:r>
            <w:r w:rsidR="009C4D0C">
              <w:t>tandard</w:t>
            </w:r>
          </w:p>
        </w:tc>
        <w:tc>
          <w:tcPr>
            <w:tcW w:w="1674" w:type="pct"/>
            <w:tcBorders>
              <w:bottom w:val="single" w:sz="4" w:space="0" w:color="auto"/>
            </w:tcBorders>
          </w:tcPr>
          <w:p w:rsidR="009C4D0C" w:rsidRPr="00274021" w:rsidRDefault="009C4D0C" w:rsidP="00904BA0">
            <w:pPr>
              <w:pStyle w:val="Tableheading"/>
            </w:pPr>
            <w:r>
              <w:t>Appropriateness of the reference standard to the study design</w:t>
            </w:r>
          </w:p>
        </w:tc>
        <w:tc>
          <w:tcPr>
            <w:tcW w:w="1113" w:type="pct"/>
            <w:tcBorders>
              <w:bottom w:val="single" w:sz="4" w:space="0" w:color="auto"/>
            </w:tcBorders>
          </w:tcPr>
          <w:p w:rsidR="009C4D0C" w:rsidRDefault="009C4D0C" w:rsidP="00904BA0">
            <w:pPr>
              <w:pStyle w:val="Tableheading"/>
            </w:pPr>
            <w:r>
              <w:t xml:space="preserve">Time period between index test and reference standard </w:t>
            </w:r>
          </w:p>
        </w:tc>
      </w:tr>
      <w:tr w:rsidR="009C4D0C" w:rsidRPr="00274021" w:rsidTr="009B2A90">
        <w:tc>
          <w:tcPr>
            <w:tcW w:w="3887" w:type="pct"/>
            <w:gridSpan w:val="3"/>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9B2A90" w:rsidP="00904BA0">
            <w:pPr>
              <w:pStyle w:val="Tableheading"/>
            </w:pPr>
            <w:r>
              <w:t>Cell enrichment versus c</w:t>
            </w:r>
            <w:r w:rsidR="009C4D0C">
              <w:t>onventional cytology</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rsidR="009C4D0C" w:rsidRDefault="009C4D0C" w:rsidP="00904BA0">
            <w:pPr>
              <w:pStyle w:val="Tableheading"/>
            </w:pPr>
          </w:p>
        </w:tc>
      </w:tr>
      <w:tr w:rsidR="009C4D0C" w:rsidRPr="00274021" w:rsidTr="009B2A90">
        <w:tc>
          <w:tcPr>
            <w:tcW w:w="593"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Beerman 2009</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5E1293" w:rsidP="004D10FA">
            <w:pPr>
              <w:pStyle w:val="Tableheading"/>
              <w:tabs>
                <w:tab w:val="left" w:pos="1125"/>
              </w:tabs>
              <w:rPr>
                <w:b w:val="0"/>
              </w:rPr>
            </w:pPr>
            <w:r>
              <w:rPr>
                <w:b w:val="0"/>
              </w:rPr>
              <w:t>NR</w:t>
            </w:r>
            <w:r w:rsidR="00EC1570">
              <w:rPr>
                <w:b w:val="0"/>
              </w:rPr>
              <w:t xml:space="preserve"> after cytological outcomes however histology for all ASCUS+ and normal outcomes reported</w:t>
            </w:r>
            <w:r w:rsidR="00EC1570" w:rsidRPr="00EC1570">
              <w:rPr>
                <w:b w:val="0"/>
                <w:vertAlign w:val="superscript"/>
              </w:rPr>
              <w:t>a</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C4D0C" w:rsidRPr="005E1293" w:rsidRDefault="005E1293" w:rsidP="004D10FA">
            <w:pPr>
              <w:pStyle w:val="Tableheading"/>
              <w:rPr>
                <w:b w:val="0"/>
              </w:rPr>
            </w:pPr>
            <w:r>
              <w:rPr>
                <w:b w:val="0"/>
              </w:rPr>
              <w:t>N/A</w:t>
            </w:r>
            <w:r w:rsidRPr="005E1293">
              <w:rPr>
                <w:b w:val="0"/>
                <w:vertAlign w:val="superscript"/>
              </w:rPr>
              <w:t>a</w:t>
            </w:r>
          </w:p>
        </w:tc>
        <w:tc>
          <w:tcPr>
            <w:tcW w:w="1113"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Within 18 months</w:t>
            </w:r>
          </w:p>
        </w:tc>
      </w:tr>
      <w:tr w:rsidR="00B65ECD" w:rsidRPr="00274021" w:rsidTr="009B2A9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B65ECD" w:rsidRPr="00B65ECD" w:rsidRDefault="00B65ECD" w:rsidP="009B2A90">
            <w:pPr>
              <w:pStyle w:val="Tabletext"/>
            </w:pPr>
            <w:r w:rsidRPr="00B65ECD">
              <w:t>Source:</w:t>
            </w:r>
            <w:r w:rsidR="00390469">
              <w:t xml:space="preserve"> Beerman </w:t>
            </w:r>
            <w:r>
              <w:t>2009</w:t>
            </w:r>
          </w:p>
        </w:tc>
      </w:tr>
      <w:tr w:rsidR="009C4D0C" w:rsidRPr="00274021" w:rsidTr="009B2A90">
        <w:tc>
          <w:tcPr>
            <w:tcW w:w="593"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B2A90" w:rsidP="00904BA0">
            <w:pPr>
              <w:pStyle w:val="Tableheading"/>
              <w:rPr>
                <w:b w:val="0"/>
              </w:rPr>
            </w:pPr>
            <w:r>
              <w:rPr>
                <w:b w:val="0"/>
              </w:rPr>
              <w:t>RODEO S</w:t>
            </w:r>
            <w:r w:rsidR="009C4D0C">
              <w:rPr>
                <w:b w:val="0"/>
              </w:rPr>
              <w:t xml:space="preserve">tudy </w:t>
            </w:r>
          </w:p>
        </w:tc>
        <w:tc>
          <w:tcPr>
            <w:tcW w:w="16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w:t>
            </w:r>
            <w:r w:rsidR="00EC1570">
              <w:rPr>
                <w:b w:val="0"/>
              </w:rPr>
              <w:t>one</w:t>
            </w:r>
            <w:r w:rsidR="00EC1570" w:rsidRPr="00EC1570">
              <w:rPr>
                <w:b w:val="0"/>
                <w:vertAlign w:val="superscript"/>
              </w:rPr>
              <w:t>b</w:t>
            </w:r>
          </w:p>
        </w:tc>
        <w:tc>
          <w:tcPr>
            <w:tcW w:w="1674"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N/A</w:t>
            </w:r>
            <w:r w:rsidRPr="001C2AC8">
              <w:rPr>
                <w:b w:val="0"/>
                <w:vertAlign w:val="superscript"/>
              </w:rPr>
              <w:t>b</w:t>
            </w:r>
          </w:p>
        </w:tc>
        <w:tc>
          <w:tcPr>
            <w:tcW w:w="1113"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r>
      <w:tr w:rsidR="00B65ECD" w:rsidRPr="00274021" w:rsidTr="009B2A90">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B65ECD" w:rsidRPr="00B65ECD" w:rsidRDefault="00B65ECD" w:rsidP="009B2A90">
            <w:pPr>
              <w:pStyle w:val="Tabletext"/>
            </w:pPr>
            <w:r w:rsidRPr="00B65ECD">
              <w:t>Source:</w:t>
            </w:r>
            <w:r w:rsidR="00390469">
              <w:t xml:space="preserve"> Longatto-Filho 2011; Fregnani </w:t>
            </w:r>
            <w:r>
              <w:t>2012</w:t>
            </w:r>
          </w:p>
        </w:tc>
      </w:tr>
      <w:tr w:rsidR="009C4D0C" w:rsidRPr="00274021" w:rsidTr="009B2A90">
        <w:tc>
          <w:tcPr>
            <w:tcW w:w="3887" w:type="pct"/>
            <w:gridSpan w:val="3"/>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9B2A90" w:rsidP="00904BA0">
            <w:pPr>
              <w:pStyle w:val="Tableheading"/>
            </w:pPr>
            <w:r>
              <w:t>Cell filtration versus c</w:t>
            </w:r>
            <w:r w:rsidR="009C4D0C">
              <w:t>onventional cytology</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rsidR="009C4D0C" w:rsidRDefault="009C4D0C" w:rsidP="00904BA0">
            <w:pPr>
              <w:pStyle w:val="Tableheading"/>
            </w:pPr>
          </w:p>
        </w:tc>
      </w:tr>
      <w:tr w:rsidR="009C4D0C" w:rsidRPr="00274021" w:rsidTr="009B2A90">
        <w:tc>
          <w:tcPr>
            <w:tcW w:w="593" w:type="pct"/>
            <w:tcBorders>
              <w:top w:val="single" w:sz="4" w:space="0" w:color="auto"/>
            </w:tcBorders>
          </w:tcPr>
          <w:p w:rsidR="009C4D0C" w:rsidRPr="00B557B5" w:rsidRDefault="009C4D0C" w:rsidP="00904BA0">
            <w:pPr>
              <w:pStyle w:val="Tabletext"/>
            </w:pPr>
            <w:r>
              <w:t>NTCC Trial</w:t>
            </w:r>
          </w:p>
        </w:tc>
        <w:tc>
          <w:tcPr>
            <w:tcW w:w="1620" w:type="pct"/>
            <w:tcBorders>
              <w:top w:val="single" w:sz="4" w:space="0" w:color="auto"/>
            </w:tcBorders>
          </w:tcPr>
          <w:p w:rsidR="009C4D0C" w:rsidRDefault="009C4D0C" w:rsidP="00904BA0">
            <w:pPr>
              <w:pStyle w:val="Tabletext"/>
            </w:pPr>
            <w:r>
              <w:t xml:space="preserve">LBC group: </w:t>
            </w:r>
            <w:r w:rsidRPr="00D924BC">
              <w:t xml:space="preserve">ASCUS+ </w:t>
            </w:r>
            <w:r>
              <w:t xml:space="preserve">referred to colposcopy </w:t>
            </w:r>
            <w:r w:rsidR="00EC1570">
              <w:rPr>
                <w:rFonts w:ascii="Garamond" w:hAnsi="Garamond"/>
              </w:rPr>
              <w:t>±</w:t>
            </w:r>
            <w:r w:rsidR="00607DCB">
              <w:t xml:space="preserve"> histology</w:t>
            </w:r>
            <w:r w:rsidR="00607DCB" w:rsidRPr="00607DCB">
              <w:rPr>
                <w:vertAlign w:val="superscript"/>
              </w:rPr>
              <w:t>c</w:t>
            </w:r>
          </w:p>
          <w:p w:rsidR="009C4D0C" w:rsidRDefault="009C4D0C" w:rsidP="00904BA0">
            <w:pPr>
              <w:pStyle w:val="Tabletext"/>
            </w:pPr>
            <w:r>
              <w:t>C</w:t>
            </w:r>
            <w:r w:rsidRPr="00D924BC">
              <w:t>onventional group</w:t>
            </w:r>
            <w:r>
              <w:t xml:space="preserve">: </w:t>
            </w:r>
            <w:r w:rsidR="0071102A">
              <w:t xml:space="preserve">LSIL+ </w:t>
            </w:r>
            <w:r>
              <w:t>referred to</w:t>
            </w:r>
            <w:r w:rsidR="00EC1570">
              <w:t xml:space="preserve"> colposcopy </w:t>
            </w:r>
            <w:r w:rsidR="00EC1570">
              <w:rPr>
                <w:rFonts w:ascii="Garamond" w:hAnsi="Garamond"/>
              </w:rPr>
              <w:t>±</w:t>
            </w:r>
            <w:r w:rsidR="00EC1570">
              <w:t xml:space="preserve"> histology</w:t>
            </w:r>
            <w:r w:rsidR="00607DCB" w:rsidRPr="00607DCB">
              <w:rPr>
                <w:vertAlign w:val="superscript"/>
              </w:rPr>
              <w:t>c</w:t>
            </w:r>
          </w:p>
          <w:p w:rsidR="009C4D0C" w:rsidRDefault="009C4D0C" w:rsidP="00904BA0">
            <w:pPr>
              <w:pStyle w:val="Tabletext"/>
            </w:pPr>
            <w:r>
              <w:t xml:space="preserve">However </w:t>
            </w:r>
            <w:r w:rsidRPr="00D924BC">
              <w:t>7/9 centres referred for colposcopy based on ASCUS+ and 2/9</w:t>
            </w:r>
            <w:r>
              <w:t xml:space="preserve"> </w:t>
            </w:r>
            <w:r w:rsidRPr="00D924BC">
              <w:t>centres sent ASCUS+ for repeat cytology and then if LSIL referred for colposcopy</w:t>
            </w:r>
          </w:p>
          <w:p w:rsidR="004D10FA" w:rsidRPr="00274021" w:rsidRDefault="004D10FA" w:rsidP="004D10FA">
            <w:pPr>
              <w:pStyle w:val="Tabletext"/>
            </w:pPr>
            <w:r>
              <w:t>Normal/benign cytology referred to colposcopy if HPV positive on case by case basis</w:t>
            </w:r>
            <w:r w:rsidR="00EC1570">
              <w:t xml:space="preserve"> </w:t>
            </w:r>
            <w:r w:rsidR="00EC1570">
              <w:rPr>
                <w:rFonts w:ascii="Garamond" w:hAnsi="Garamond"/>
              </w:rPr>
              <w:t>±</w:t>
            </w:r>
            <w:r w:rsidR="00EC1570">
              <w:t xml:space="preserve"> histology</w:t>
            </w:r>
            <w:r w:rsidR="00607DCB" w:rsidRPr="00607DCB">
              <w:rPr>
                <w:vertAlign w:val="superscript"/>
              </w:rPr>
              <w:t>c</w:t>
            </w:r>
          </w:p>
        </w:tc>
        <w:tc>
          <w:tcPr>
            <w:tcW w:w="1674" w:type="pct"/>
            <w:tcBorders>
              <w:top w:val="single" w:sz="4" w:space="0" w:color="auto"/>
            </w:tcBorders>
          </w:tcPr>
          <w:p w:rsidR="009C4D0C" w:rsidRPr="000A2F0E" w:rsidRDefault="009C4D0C" w:rsidP="00904BA0">
            <w:pPr>
              <w:pStyle w:val="Tabletext"/>
            </w:pPr>
            <w:r w:rsidRPr="000A2F0E">
              <w:t xml:space="preserve">Not appropriate </w:t>
            </w:r>
          </w:p>
          <w:p w:rsidR="009C4D0C" w:rsidRDefault="009C4D0C" w:rsidP="00904BA0">
            <w:pPr>
              <w:pStyle w:val="Tabletext"/>
            </w:pPr>
            <w:r>
              <w:t>- Patients received different reference standards depending on the index test results</w:t>
            </w:r>
            <w:r w:rsidR="004D10FA">
              <w:t xml:space="preserve"> and type of test</w:t>
            </w:r>
          </w:p>
          <w:p w:rsidR="009C4D0C" w:rsidRPr="00274021" w:rsidRDefault="009C4D0C" w:rsidP="004D10FA">
            <w:pPr>
              <w:pStyle w:val="Tabletext"/>
            </w:pPr>
            <w:r>
              <w:t>- Reference standard was applied to those patients with a normal/benign cytology result</w:t>
            </w:r>
            <w:r w:rsidR="004D10FA">
              <w:t xml:space="preserve"> if HPV positive</w:t>
            </w:r>
          </w:p>
        </w:tc>
        <w:tc>
          <w:tcPr>
            <w:tcW w:w="1113" w:type="pct"/>
            <w:tcBorders>
              <w:top w:val="single" w:sz="4" w:space="0" w:color="auto"/>
            </w:tcBorders>
          </w:tcPr>
          <w:p w:rsidR="009C4D0C" w:rsidRPr="00274021" w:rsidRDefault="009C4D0C" w:rsidP="00904BA0">
            <w:pPr>
              <w:pStyle w:val="Tabletext"/>
            </w:pPr>
            <w:r>
              <w:t>Within 12 months</w:t>
            </w:r>
          </w:p>
        </w:tc>
      </w:tr>
      <w:tr w:rsidR="00B65ECD" w:rsidRPr="009B2A90" w:rsidTr="009B2A90">
        <w:tc>
          <w:tcPr>
            <w:tcW w:w="5000" w:type="pct"/>
            <w:gridSpan w:val="4"/>
            <w:tcBorders>
              <w:top w:val="single" w:sz="4" w:space="0" w:color="auto"/>
            </w:tcBorders>
          </w:tcPr>
          <w:p w:rsidR="00B65ECD" w:rsidRPr="009B2A90" w:rsidRDefault="00390469" w:rsidP="009B2A90">
            <w:pPr>
              <w:pStyle w:val="Tabletext"/>
            </w:pPr>
            <w:r>
              <w:t>Source: Ronco 2006a;</w:t>
            </w:r>
            <w:r w:rsidR="00E650AB" w:rsidRPr="009B2A90">
              <w:t xml:space="preserve"> 2006b</w:t>
            </w:r>
          </w:p>
        </w:tc>
      </w:tr>
      <w:tr w:rsidR="00CB0D1B" w:rsidRPr="00274021" w:rsidTr="009B2A90">
        <w:tc>
          <w:tcPr>
            <w:tcW w:w="593" w:type="pct"/>
            <w:tcBorders>
              <w:top w:val="single" w:sz="4" w:space="0" w:color="auto"/>
              <w:bottom w:val="single" w:sz="4" w:space="0" w:color="auto"/>
            </w:tcBorders>
          </w:tcPr>
          <w:p w:rsidR="00CB0D1B" w:rsidRPr="00B557B5" w:rsidRDefault="009B2A90" w:rsidP="00904BA0">
            <w:pPr>
              <w:pStyle w:val="Tabletext"/>
            </w:pPr>
            <w:r>
              <w:t>NETHCON T</w:t>
            </w:r>
            <w:r w:rsidR="00CB0D1B">
              <w:t>rial</w:t>
            </w:r>
          </w:p>
        </w:tc>
        <w:tc>
          <w:tcPr>
            <w:tcW w:w="1620" w:type="pct"/>
            <w:tcBorders>
              <w:top w:val="single" w:sz="4" w:space="0" w:color="auto"/>
              <w:bottom w:val="single" w:sz="4" w:space="0" w:color="auto"/>
            </w:tcBorders>
          </w:tcPr>
          <w:p w:rsidR="00CB0D1B" w:rsidRPr="00274021" w:rsidRDefault="00CB0D1B" w:rsidP="00CB0D1B">
            <w:pPr>
              <w:pStyle w:val="Tabletext"/>
            </w:pPr>
            <w:r w:rsidRPr="00D924BC">
              <w:t>ASCUS and C</w:t>
            </w:r>
            <w:r>
              <w:t>IN</w:t>
            </w:r>
            <w:r w:rsidR="00390469">
              <w:t xml:space="preserve"> </w:t>
            </w:r>
            <w:r>
              <w:t xml:space="preserve">1 repeat smear Repeat smear remains abnormal or initial smear </w:t>
            </w:r>
            <w:r w:rsidRPr="00D924BC">
              <w:t>CIN</w:t>
            </w:r>
            <w:r w:rsidR="00390469">
              <w:t xml:space="preserve"> </w:t>
            </w:r>
            <w:r w:rsidRPr="00D924BC">
              <w:t>2/3 for colposcopy</w:t>
            </w:r>
            <w:r w:rsidR="00EC1570">
              <w:rPr>
                <w:rFonts w:ascii="Garamond" w:hAnsi="Garamond"/>
              </w:rPr>
              <w:t>±</w:t>
            </w:r>
            <w:r w:rsidR="00EC1570">
              <w:t xml:space="preserve"> histology</w:t>
            </w:r>
            <w:r w:rsidR="00607DCB" w:rsidRPr="00607DCB">
              <w:rPr>
                <w:vertAlign w:val="superscript"/>
              </w:rPr>
              <w:t>d</w:t>
            </w:r>
          </w:p>
        </w:tc>
        <w:tc>
          <w:tcPr>
            <w:tcW w:w="1674" w:type="pct"/>
            <w:tcBorders>
              <w:top w:val="single" w:sz="4" w:space="0" w:color="auto"/>
              <w:bottom w:val="single" w:sz="4" w:space="0" w:color="auto"/>
            </w:tcBorders>
          </w:tcPr>
          <w:p w:rsidR="00CB0D1B" w:rsidRPr="000A2F0E" w:rsidRDefault="00CB0D1B" w:rsidP="00904BA0">
            <w:pPr>
              <w:pStyle w:val="Tabletext"/>
            </w:pPr>
            <w:r w:rsidRPr="000A2F0E">
              <w:t xml:space="preserve">Not appropriate </w:t>
            </w:r>
          </w:p>
          <w:p w:rsidR="00CB0D1B" w:rsidRDefault="00CB0D1B" w:rsidP="00904BA0">
            <w:pPr>
              <w:pStyle w:val="Tabletext"/>
            </w:pPr>
            <w:r>
              <w:t>- Patients received different reference standards depending on the index test results</w:t>
            </w:r>
          </w:p>
          <w:p w:rsidR="00CB0D1B" w:rsidRPr="00274021" w:rsidRDefault="00CB0D1B" w:rsidP="00904BA0">
            <w:pPr>
              <w:pStyle w:val="Tabletext"/>
            </w:pPr>
            <w:r>
              <w:t>- Reference standard was not applied to those patients with a normal/benign cytology result</w:t>
            </w:r>
          </w:p>
        </w:tc>
        <w:tc>
          <w:tcPr>
            <w:tcW w:w="1113" w:type="pct"/>
            <w:tcBorders>
              <w:top w:val="single" w:sz="4" w:space="0" w:color="auto"/>
              <w:bottom w:val="single" w:sz="4" w:space="0" w:color="auto"/>
            </w:tcBorders>
          </w:tcPr>
          <w:p w:rsidR="00CB0D1B" w:rsidRPr="00274021" w:rsidRDefault="00CB0D1B" w:rsidP="00904BA0">
            <w:pPr>
              <w:pStyle w:val="Tabletext"/>
            </w:pPr>
            <w:r>
              <w:t>Within 18 months</w:t>
            </w:r>
          </w:p>
        </w:tc>
      </w:tr>
      <w:tr w:rsidR="00B65ECD" w:rsidRPr="009B2A90" w:rsidTr="009B2A90">
        <w:tc>
          <w:tcPr>
            <w:tcW w:w="5000" w:type="pct"/>
            <w:gridSpan w:val="4"/>
            <w:tcBorders>
              <w:top w:val="single" w:sz="4" w:space="0" w:color="auto"/>
              <w:bottom w:val="single" w:sz="4" w:space="0" w:color="auto"/>
            </w:tcBorders>
          </w:tcPr>
          <w:p w:rsidR="00B65ECD" w:rsidRPr="009B2A90" w:rsidRDefault="00B65ECD" w:rsidP="009B2A90">
            <w:pPr>
              <w:pStyle w:val="Tabletext"/>
            </w:pPr>
            <w:r w:rsidRPr="009B2A90">
              <w:t>Source:</w:t>
            </w:r>
            <w:r w:rsidR="00390469">
              <w:t xml:space="preserve"> Siebers 2008;</w:t>
            </w:r>
            <w:r w:rsidRPr="009B2A90">
              <w:t xml:space="preserve"> 2009</w:t>
            </w:r>
          </w:p>
        </w:tc>
      </w:tr>
      <w:tr w:rsidR="004D10FA" w:rsidRPr="00274021" w:rsidTr="009B2A90">
        <w:tc>
          <w:tcPr>
            <w:tcW w:w="593" w:type="pct"/>
            <w:tcBorders>
              <w:top w:val="single" w:sz="4" w:space="0" w:color="auto"/>
              <w:bottom w:val="single" w:sz="4" w:space="0" w:color="auto"/>
            </w:tcBorders>
          </w:tcPr>
          <w:p w:rsidR="004D10FA" w:rsidRPr="00B557B5" w:rsidRDefault="004D10FA" w:rsidP="00904BA0">
            <w:pPr>
              <w:pStyle w:val="Tabletext"/>
            </w:pPr>
            <w:r w:rsidRPr="00B557B5">
              <w:t>Strander 2007</w:t>
            </w:r>
          </w:p>
        </w:tc>
        <w:tc>
          <w:tcPr>
            <w:tcW w:w="1620" w:type="pct"/>
            <w:tcBorders>
              <w:top w:val="single" w:sz="4" w:space="0" w:color="auto"/>
              <w:bottom w:val="single" w:sz="4" w:space="0" w:color="auto"/>
            </w:tcBorders>
          </w:tcPr>
          <w:p w:rsidR="004D10FA" w:rsidRDefault="004D10FA" w:rsidP="00904BA0">
            <w:pPr>
              <w:pStyle w:val="Tabletext"/>
            </w:pPr>
            <w:r w:rsidRPr="00D924BC">
              <w:t>ASCUS and C</w:t>
            </w:r>
            <w:r>
              <w:t>IN</w:t>
            </w:r>
            <w:r w:rsidR="00390469">
              <w:t xml:space="preserve"> </w:t>
            </w:r>
            <w:r>
              <w:t>1 repeat smear or colposcopy</w:t>
            </w:r>
            <w:r w:rsidR="00BA423D">
              <w:t xml:space="preserve"> </w:t>
            </w:r>
            <w:r w:rsidR="00BA423D">
              <w:rPr>
                <w:rFonts w:ascii="Garamond" w:hAnsi="Garamond"/>
              </w:rPr>
              <w:t>±</w:t>
            </w:r>
            <w:r w:rsidR="00607DCB">
              <w:t xml:space="preserve"> histology</w:t>
            </w:r>
            <w:r w:rsidR="00607DCB" w:rsidRPr="00607DCB">
              <w:rPr>
                <w:vertAlign w:val="superscript"/>
              </w:rPr>
              <w:t>e</w:t>
            </w:r>
          </w:p>
          <w:p w:rsidR="004D10FA" w:rsidRPr="00274021" w:rsidRDefault="004D10FA" w:rsidP="00904BA0">
            <w:pPr>
              <w:pStyle w:val="Tabletext"/>
            </w:pPr>
            <w:r w:rsidRPr="00D924BC">
              <w:t>CIN2/3 for colposcopy</w:t>
            </w:r>
            <w:r w:rsidR="00BA423D">
              <w:t xml:space="preserve"> </w:t>
            </w:r>
            <w:r w:rsidR="00BA423D">
              <w:rPr>
                <w:rFonts w:ascii="Garamond" w:hAnsi="Garamond"/>
              </w:rPr>
              <w:t>±</w:t>
            </w:r>
            <w:r w:rsidR="00BA423D">
              <w:t xml:space="preserve"> histology</w:t>
            </w:r>
            <w:r w:rsidR="00607DCB" w:rsidRPr="00607DCB">
              <w:rPr>
                <w:vertAlign w:val="superscript"/>
              </w:rPr>
              <w:t>e</w:t>
            </w:r>
          </w:p>
        </w:tc>
        <w:tc>
          <w:tcPr>
            <w:tcW w:w="1674" w:type="pct"/>
            <w:tcBorders>
              <w:top w:val="single" w:sz="4" w:space="0" w:color="auto"/>
              <w:bottom w:val="single" w:sz="4" w:space="0" w:color="auto"/>
            </w:tcBorders>
          </w:tcPr>
          <w:p w:rsidR="004D10FA" w:rsidRDefault="004D10FA" w:rsidP="004D10FA">
            <w:pPr>
              <w:pStyle w:val="Tableheading"/>
              <w:rPr>
                <w:b w:val="0"/>
              </w:rPr>
            </w:pPr>
            <w:r>
              <w:rPr>
                <w:b w:val="0"/>
              </w:rPr>
              <w:t>Appropriate</w:t>
            </w:r>
          </w:p>
          <w:p w:rsidR="004D10FA" w:rsidRPr="00274021" w:rsidRDefault="004D10FA" w:rsidP="004D10FA">
            <w:pPr>
              <w:pStyle w:val="Tableheading"/>
              <w:rPr>
                <w:b w:val="0"/>
              </w:rPr>
            </w:pPr>
            <w:r>
              <w:rPr>
                <w:b w:val="0"/>
              </w:rPr>
              <w:t>All patients randomised were followed up using a national histological outcome database</w:t>
            </w:r>
            <w:r>
              <w:rPr>
                <w:b w:val="0"/>
                <w:vertAlign w:val="superscript"/>
              </w:rPr>
              <w:t xml:space="preserve"> </w:t>
            </w:r>
          </w:p>
        </w:tc>
        <w:tc>
          <w:tcPr>
            <w:tcW w:w="1113" w:type="pct"/>
            <w:tcBorders>
              <w:top w:val="single" w:sz="4" w:space="0" w:color="auto"/>
              <w:bottom w:val="single" w:sz="4" w:space="0" w:color="auto"/>
            </w:tcBorders>
          </w:tcPr>
          <w:p w:rsidR="004D10FA" w:rsidRPr="00274021" w:rsidRDefault="004D10FA" w:rsidP="00904BA0">
            <w:pPr>
              <w:pStyle w:val="Tabletext"/>
            </w:pPr>
            <w:r>
              <w:t>Within 3 years</w:t>
            </w:r>
          </w:p>
        </w:tc>
      </w:tr>
      <w:tr w:rsidR="00B65ECD" w:rsidRPr="009B2A90" w:rsidTr="009B2A90">
        <w:tc>
          <w:tcPr>
            <w:tcW w:w="5000" w:type="pct"/>
            <w:gridSpan w:val="4"/>
            <w:tcBorders>
              <w:top w:val="single" w:sz="4" w:space="0" w:color="auto"/>
              <w:bottom w:val="single" w:sz="4" w:space="0" w:color="auto"/>
            </w:tcBorders>
          </w:tcPr>
          <w:p w:rsidR="00B65ECD" w:rsidRPr="009B2A90" w:rsidRDefault="00390469" w:rsidP="009B2A90">
            <w:pPr>
              <w:pStyle w:val="Tabletext"/>
            </w:pPr>
            <w:r>
              <w:t xml:space="preserve">Source: Strander </w:t>
            </w:r>
            <w:r w:rsidR="00B65ECD" w:rsidRPr="009B2A90">
              <w:t>2007</w:t>
            </w:r>
          </w:p>
        </w:tc>
      </w:tr>
      <w:tr w:rsidR="004D10FA" w:rsidRPr="00274021" w:rsidTr="009B2A90">
        <w:tc>
          <w:tcPr>
            <w:tcW w:w="593" w:type="pct"/>
            <w:tcBorders>
              <w:top w:val="single" w:sz="4" w:space="0" w:color="auto"/>
              <w:bottom w:val="single" w:sz="4" w:space="0" w:color="auto"/>
            </w:tcBorders>
          </w:tcPr>
          <w:p w:rsidR="004D10FA" w:rsidRPr="00B557B5" w:rsidRDefault="004D10FA" w:rsidP="00904BA0">
            <w:pPr>
              <w:pStyle w:val="Tabletext"/>
            </w:pPr>
            <w:r w:rsidRPr="00B557B5">
              <w:t>Mac</w:t>
            </w:r>
            <w:r>
              <w:t>c</w:t>
            </w:r>
            <w:r w:rsidRPr="00B557B5">
              <w:t>allini 2008</w:t>
            </w:r>
          </w:p>
        </w:tc>
        <w:tc>
          <w:tcPr>
            <w:tcW w:w="1620" w:type="pct"/>
            <w:tcBorders>
              <w:top w:val="single" w:sz="4" w:space="0" w:color="auto"/>
              <w:bottom w:val="single" w:sz="4" w:space="0" w:color="auto"/>
            </w:tcBorders>
          </w:tcPr>
          <w:p w:rsidR="004D10FA" w:rsidRPr="00274021" w:rsidRDefault="004D10FA" w:rsidP="00904BA0">
            <w:pPr>
              <w:pStyle w:val="Tabletext"/>
            </w:pPr>
            <w:r>
              <w:t>ASCUS+ referred to colposcopy</w:t>
            </w:r>
            <w:r w:rsidR="00BA423D">
              <w:t xml:space="preserve"> </w:t>
            </w:r>
            <w:r w:rsidR="00BA423D">
              <w:rPr>
                <w:rFonts w:ascii="Garamond" w:hAnsi="Garamond"/>
              </w:rPr>
              <w:t>±</w:t>
            </w:r>
            <w:r w:rsidR="00BA423D">
              <w:t xml:space="preserve"> histology</w:t>
            </w:r>
            <w:r w:rsidR="00607DCB" w:rsidRPr="00607DCB">
              <w:rPr>
                <w:vertAlign w:val="superscript"/>
              </w:rPr>
              <w:t>f</w:t>
            </w:r>
          </w:p>
        </w:tc>
        <w:tc>
          <w:tcPr>
            <w:tcW w:w="1674" w:type="pct"/>
            <w:tcBorders>
              <w:top w:val="single" w:sz="4" w:space="0" w:color="auto"/>
              <w:bottom w:val="single" w:sz="4" w:space="0" w:color="auto"/>
            </w:tcBorders>
          </w:tcPr>
          <w:p w:rsidR="004D10FA" w:rsidRDefault="004D10FA" w:rsidP="00904BA0">
            <w:pPr>
              <w:pStyle w:val="Tabletext"/>
            </w:pPr>
            <w:r w:rsidRPr="00FC1F4B">
              <w:t xml:space="preserve">Not appropriate </w:t>
            </w:r>
          </w:p>
          <w:p w:rsidR="004D10FA" w:rsidRDefault="004D10FA" w:rsidP="00904BA0">
            <w:pPr>
              <w:pStyle w:val="Tabletext"/>
            </w:pPr>
            <w:r>
              <w:t>- Reference standard was not applied to those patients with a normal/benign cytology result</w:t>
            </w:r>
          </w:p>
        </w:tc>
        <w:tc>
          <w:tcPr>
            <w:tcW w:w="1113" w:type="pct"/>
            <w:tcBorders>
              <w:top w:val="single" w:sz="4" w:space="0" w:color="auto"/>
              <w:bottom w:val="single" w:sz="4" w:space="0" w:color="auto"/>
            </w:tcBorders>
          </w:tcPr>
          <w:p w:rsidR="004D10FA" w:rsidRPr="00274021" w:rsidRDefault="004D10FA" w:rsidP="00904BA0">
            <w:pPr>
              <w:pStyle w:val="Tabletext"/>
            </w:pPr>
            <w:r>
              <w:t>Referred immediately to colposcopy</w:t>
            </w:r>
          </w:p>
        </w:tc>
      </w:tr>
      <w:tr w:rsidR="00B65ECD" w:rsidRPr="009B2A90" w:rsidTr="009B2A90">
        <w:tc>
          <w:tcPr>
            <w:tcW w:w="5000" w:type="pct"/>
            <w:gridSpan w:val="4"/>
            <w:tcBorders>
              <w:top w:val="single" w:sz="4" w:space="0" w:color="auto"/>
              <w:bottom w:val="single" w:sz="4" w:space="0" w:color="auto"/>
            </w:tcBorders>
          </w:tcPr>
          <w:p w:rsidR="00B65ECD" w:rsidRPr="009B2A90" w:rsidRDefault="00390469" w:rsidP="009B2A90">
            <w:pPr>
              <w:pStyle w:val="Tabletext"/>
            </w:pPr>
            <w:r>
              <w:t xml:space="preserve">Source: Maccallini </w:t>
            </w:r>
            <w:r w:rsidR="00B65ECD" w:rsidRPr="009B2A90">
              <w:t>2008</w:t>
            </w:r>
          </w:p>
        </w:tc>
      </w:tr>
      <w:tr w:rsidR="004D10FA" w:rsidRPr="00274021" w:rsidTr="009B2A90">
        <w:tc>
          <w:tcPr>
            <w:tcW w:w="593" w:type="pct"/>
            <w:tcBorders>
              <w:top w:val="single" w:sz="4" w:space="0" w:color="auto"/>
              <w:bottom w:val="single" w:sz="4" w:space="0" w:color="auto"/>
            </w:tcBorders>
          </w:tcPr>
          <w:p w:rsidR="004D10FA" w:rsidRPr="00B557B5" w:rsidRDefault="004D10FA" w:rsidP="00904BA0">
            <w:pPr>
              <w:pStyle w:val="Tabletext"/>
            </w:pPr>
            <w:r w:rsidRPr="00AF6012">
              <w:t>Obwegeser 2001</w:t>
            </w:r>
          </w:p>
        </w:tc>
        <w:tc>
          <w:tcPr>
            <w:tcW w:w="1620" w:type="pct"/>
            <w:tcBorders>
              <w:top w:val="single" w:sz="4" w:space="0" w:color="auto"/>
              <w:bottom w:val="single" w:sz="4" w:space="0" w:color="auto"/>
            </w:tcBorders>
          </w:tcPr>
          <w:p w:rsidR="004D10FA" w:rsidRPr="00274021" w:rsidRDefault="004D10FA" w:rsidP="00904BA0">
            <w:pPr>
              <w:pStyle w:val="Tabletext"/>
            </w:pPr>
            <w:r>
              <w:t>HSIL+ referred to colposcopy</w:t>
            </w:r>
            <w:r w:rsidR="00AE29CF">
              <w:rPr>
                <w:rFonts w:ascii="Garamond" w:hAnsi="Garamond"/>
              </w:rPr>
              <w:t>±</w:t>
            </w:r>
            <w:r w:rsidR="00AE29CF">
              <w:t xml:space="preserve"> histology</w:t>
            </w:r>
            <w:r w:rsidR="00AE29CF">
              <w:rPr>
                <w:vertAlign w:val="superscript"/>
              </w:rPr>
              <w:t xml:space="preserve"> </w:t>
            </w:r>
            <w:r w:rsidR="00607DCB">
              <w:rPr>
                <w:vertAlign w:val="superscript"/>
              </w:rPr>
              <w:t>g</w:t>
            </w:r>
          </w:p>
        </w:tc>
        <w:tc>
          <w:tcPr>
            <w:tcW w:w="1674" w:type="pct"/>
            <w:tcBorders>
              <w:top w:val="single" w:sz="4" w:space="0" w:color="auto"/>
              <w:bottom w:val="single" w:sz="4" w:space="0" w:color="auto"/>
            </w:tcBorders>
          </w:tcPr>
          <w:p w:rsidR="004D10FA" w:rsidRDefault="004D10FA" w:rsidP="00904BA0">
            <w:pPr>
              <w:pStyle w:val="Tabletext"/>
            </w:pPr>
            <w:r w:rsidRPr="00FC1F4B">
              <w:t>Not appropriate</w:t>
            </w:r>
            <w:r>
              <w:t xml:space="preserve"> </w:t>
            </w:r>
          </w:p>
          <w:p w:rsidR="004D10FA" w:rsidRDefault="004D10FA" w:rsidP="00904BA0">
            <w:pPr>
              <w:pStyle w:val="Tabletext"/>
            </w:pPr>
            <w:r>
              <w:t>- Reference standard was not applied to those patients with a normal/benign cytology result</w:t>
            </w:r>
            <w:r w:rsidRPr="00FC1F4B">
              <w:t xml:space="preserve"> </w:t>
            </w:r>
          </w:p>
        </w:tc>
        <w:tc>
          <w:tcPr>
            <w:tcW w:w="1113" w:type="pct"/>
            <w:tcBorders>
              <w:top w:val="single" w:sz="4" w:space="0" w:color="auto"/>
              <w:bottom w:val="single" w:sz="4" w:space="0" w:color="auto"/>
            </w:tcBorders>
          </w:tcPr>
          <w:p w:rsidR="004D10FA" w:rsidRPr="00274021" w:rsidRDefault="004D10FA" w:rsidP="00904BA0">
            <w:pPr>
              <w:pStyle w:val="Tabletext"/>
            </w:pPr>
            <w:r>
              <w:t>Within 12 to 15 months</w:t>
            </w:r>
          </w:p>
        </w:tc>
      </w:tr>
      <w:tr w:rsidR="00B65ECD" w:rsidRPr="009B2A90" w:rsidTr="009B2A90">
        <w:tc>
          <w:tcPr>
            <w:tcW w:w="5000" w:type="pct"/>
            <w:gridSpan w:val="4"/>
            <w:tcBorders>
              <w:top w:val="single" w:sz="4" w:space="0" w:color="auto"/>
              <w:bottom w:val="single" w:sz="4" w:space="0" w:color="auto"/>
            </w:tcBorders>
          </w:tcPr>
          <w:p w:rsidR="00B65ECD" w:rsidRPr="009B2A90" w:rsidRDefault="00390469" w:rsidP="009B2A90">
            <w:pPr>
              <w:pStyle w:val="Tabletext"/>
            </w:pPr>
            <w:r>
              <w:lastRenderedPageBreak/>
              <w:t>Source: Obwegeser</w:t>
            </w:r>
            <w:r w:rsidR="00B65ECD" w:rsidRPr="009B2A90">
              <w:t xml:space="preserve"> 2001</w:t>
            </w:r>
          </w:p>
        </w:tc>
      </w:tr>
      <w:tr w:rsidR="004D10FA" w:rsidRPr="00274021" w:rsidTr="009B2A90">
        <w:tc>
          <w:tcPr>
            <w:tcW w:w="593" w:type="pct"/>
            <w:tcBorders>
              <w:top w:val="single" w:sz="4" w:space="0" w:color="auto"/>
              <w:bottom w:val="single" w:sz="4" w:space="0" w:color="auto"/>
            </w:tcBorders>
          </w:tcPr>
          <w:p w:rsidR="004D10FA" w:rsidRPr="00B557B5" w:rsidRDefault="004D10FA" w:rsidP="00904BA0">
            <w:pPr>
              <w:pStyle w:val="Tabletext"/>
            </w:pPr>
            <w:r>
              <w:t>RHINE-SAAR Study</w:t>
            </w:r>
          </w:p>
        </w:tc>
        <w:tc>
          <w:tcPr>
            <w:tcW w:w="1620" w:type="pct"/>
            <w:tcBorders>
              <w:top w:val="single" w:sz="4" w:space="0" w:color="auto"/>
              <w:bottom w:val="single" w:sz="4" w:space="0" w:color="auto"/>
            </w:tcBorders>
          </w:tcPr>
          <w:p w:rsidR="004D10FA" w:rsidRPr="00274021" w:rsidRDefault="004D10FA" w:rsidP="00904BA0">
            <w:pPr>
              <w:pStyle w:val="Tabletext"/>
            </w:pPr>
            <w:r>
              <w:t>ASCUS+ referred to colposcopy</w:t>
            </w:r>
            <w:r w:rsidR="00AE29CF">
              <w:rPr>
                <w:rFonts w:ascii="Garamond" w:hAnsi="Garamond"/>
              </w:rPr>
              <w:t>±</w:t>
            </w:r>
            <w:r w:rsidR="00AE29CF">
              <w:t xml:space="preserve"> histology</w:t>
            </w:r>
          </w:p>
        </w:tc>
        <w:tc>
          <w:tcPr>
            <w:tcW w:w="1674" w:type="pct"/>
            <w:tcBorders>
              <w:top w:val="single" w:sz="4" w:space="0" w:color="auto"/>
              <w:bottom w:val="single" w:sz="4" w:space="0" w:color="auto"/>
            </w:tcBorders>
          </w:tcPr>
          <w:p w:rsidR="004D10FA" w:rsidRDefault="004D10FA" w:rsidP="00904BA0">
            <w:pPr>
              <w:pStyle w:val="Tabletext"/>
            </w:pPr>
            <w:r w:rsidRPr="00FC1F4B">
              <w:t>Not appropriate</w:t>
            </w:r>
            <w:r>
              <w:t xml:space="preserve"> </w:t>
            </w:r>
          </w:p>
          <w:p w:rsidR="004D10FA" w:rsidRDefault="004D10FA" w:rsidP="00904BA0">
            <w:pPr>
              <w:pStyle w:val="Tabletext"/>
            </w:pPr>
            <w:r>
              <w:t>- Reference standard was not applied to those patients with a normal/benign cytology result</w:t>
            </w:r>
            <w:r w:rsidRPr="00FC1F4B">
              <w:t xml:space="preserve"> </w:t>
            </w:r>
          </w:p>
        </w:tc>
        <w:tc>
          <w:tcPr>
            <w:tcW w:w="1113" w:type="pct"/>
            <w:tcBorders>
              <w:top w:val="single" w:sz="4" w:space="0" w:color="auto"/>
              <w:bottom w:val="single" w:sz="4" w:space="0" w:color="auto"/>
            </w:tcBorders>
          </w:tcPr>
          <w:p w:rsidR="004D10FA" w:rsidRPr="00274021" w:rsidRDefault="004D10FA" w:rsidP="00904BA0">
            <w:pPr>
              <w:pStyle w:val="Tabletext"/>
            </w:pPr>
            <w:r>
              <w:t>NR</w:t>
            </w:r>
          </w:p>
        </w:tc>
      </w:tr>
      <w:tr w:rsidR="00B65ECD" w:rsidRPr="009B2A90" w:rsidTr="009B2A90">
        <w:tc>
          <w:tcPr>
            <w:tcW w:w="5000" w:type="pct"/>
            <w:gridSpan w:val="4"/>
            <w:tcBorders>
              <w:top w:val="single" w:sz="4" w:space="0" w:color="auto"/>
              <w:bottom w:val="single" w:sz="4" w:space="0" w:color="auto"/>
            </w:tcBorders>
          </w:tcPr>
          <w:p w:rsidR="00B65ECD" w:rsidRPr="009B2A90" w:rsidRDefault="005E1293" w:rsidP="009B2A90">
            <w:pPr>
              <w:pStyle w:val="Tabletext"/>
            </w:pPr>
            <w:r w:rsidRPr="009B2A90">
              <w:t>Source: Iken</w:t>
            </w:r>
            <w:r w:rsidR="00390469">
              <w:t>berg 2010a,b,c; 2011</w:t>
            </w:r>
            <w:r w:rsidR="00B65ECD" w:rsidRPr="009B2A90">
              <w:t>a,b</w:t>
            </w:r>
          </w:p>
        </w:tc>
      </w:tr>
      <w:tr w:rsidR="004D10FA" w:rsidRPr="00274021" w:rsidTr="009B2A90">
        <w:tc>
          <w:tcPr>
            <w:tcW w:w="3887" w:type="pct"/>
            <w:gridSpan w:val="3"/>
            <w:tcBorders>
              <w:top w:val="single" w:sz="4" w:space="0" w:color="auto"/>
              <w:left w:val="single" w:sz="4" w:space="0" w:color="auto"/>
              <w:bottom w:val="single" w:sz="4" w:space="0" w:color="auto"/>
              <w:right w:val="single" w:sz="4" w:space="0" w:color="auto"/>
            </w:tcBorders>
            <w:shd w:val="clear" w:color="auto" w:fill="D9D9D9"/>
          </w:tcPr>
          <w:p w:rsidR="004D10FA" w:rsidRPr="00274021" w:rsidRDefault="009B2A90" w:rsidP="00904BA0">
            <w:pPr>
              <w:pStyle w:val="Tabletext"/>
              <w:rPr>
                <w:b/>
              </w:rPr>
            </w:pPr>
            <w:r>
              <w:rPr>
                <w:b/>
              </w:rPr>
              <w:t>Manual versus a</w:t>
            </w:r>
            <w:r w:rsidR="004D10FA">
              <w:rPr>
                <w:b/>
              </w:rPr>
              <w:t>utomated cytology</w:t>
            </w:r>
          </w:p>
        </w:tc>
        <w:tc>
          <w:tcPr>
            <w:tcW w:w="1113" w:type="pct"/>
            <w:tcBorders>
              <w:top w:val="single" w:sz="4" w:space="0" w:color="auto"/>
              <w:left w:val="single" w:sz="4" w:space="0" w:color="auto"/>
              <w:bottom w:val="single" w:sz="4" w:space="0" w:color="auto"/>
              <w:right w:val="single" w:sz="4" w:space="0" w:color="auto"/>
            </w:tcBorders>
            <w:shd w:val="clear" w:color="auto" w:fill="D9D9D9"/>
          </w:tcPr>
          <w:p w:rsidR="004D10FA" w:rsidRDefault="004D10FA" w:rsidP="00904BA0">
            <w:pPr>
              <w:pStyle w:val="Tabletext"/>
              <w:rPr>
                <w:b/>
              </w:rPr>
            </w:pPr>
          </w:p>
        </w:tc>
      </w:tr>
      <w:tr w:rsidR="004D10FA" w:rsidRPr="00274021" w:rsidTr="009B2A90">
        <w:tc>
          <w:tcPr>
            <w:tcW w:w="593" w:type="pct"/>
          </w:tcPr>
          <w:p w:rsidR="004D10FA" w:rsidRPr="00274021" w:rsidRDefault="004D10FA" w:rsidP="00904BA0">
            <w:pPr>
              <w:pStyle w:val="Tabletext"/>
            </w:pPr>
            <w:r>
              <w:t>MAVARIC study</w:t>
            </w:r>
          </w:p>
        </w:tc>
        <w:tc>
          <w:tcPr>
            <w:tcW w:w="1620" w:type="pct"/>
          </w:tcPr>
          <w:p w:rsidR="004D10FA" w:rsidRPr="00274021" w:rsidRDefault="004D10FA" w:rsidP="00904BA0">
            <w:pPr>
              <w:pStyle w:val="Tabletext"/>
            </w:pPr>
            <w:r>
              <w:t>HSIL and HPV positive cases referred to colposcopy</w:t>
            </w:r>
            <w:r w:rsidR="00AE29CF">
              <w:rPr>
                <w:rFonts w:ascii="Garamond" w:hAnsi="Garamond"/>
              </w:rPr>
              <w:t>±</w:t>
            </w:r>
            <w:r w:rsidR="00AE29CF">
              <w:t xml:space="preserve"> histology</w:t>
            </w:r>
            <w:r w:rsidR="00607DCB" w:rsidRPr="00607DCB">
              <w:rPr>
                <w:vertAlign w:val="superscript"/>
              </w:rPr>
              <w:t>h</w:t>
            </w:r>
          </w:p>
        </w:tc>
        <w:tc>
          <w:tcPr>
            <w:tcW w:w="1674" w:type="pct"/>
          </w:tcPr>
          <w:p w:rsidR="004D10FA" w:rsidRDefault="004D10FA" w:rsidP="00904BA0">
            <w:pPr>
              <w:pStyle w:val="Tabletext"/>
            </w:pPr>
            <w:r w:rsidRPr="00D812FD">
              <w:t xml:space="preserve">Not appropriate </w:t>
            </w:r>
          </w:p>
          <w:p w:rsidR="004D10FA" w:rsidRDefault="004D10FA" w:rsidP="00904BA0">
            <w:pPr>
              <w:pStyle w:val="Tabletext"/>
            </w:pPr>
            <w:r>
              <w:t>- Reference standard was not applied to those patients with a normal/benign cytology result</w:t>
            </w:r>
          </w:p>
        </w:tc>
        <w:tc>
          <w:tcPr>
            <w:tcW w:w="1113" w:type="pct"/>
          </w:tcPr>
          <w:p w:rsidR="004D10FA" w:rsidRPr="00274021" w:rsidRDefault="004D10FA" w:rsidP="00904BA0">
            <w:pPr>
              <w:pStyle w:val="Tabletext"/>
            </w:pPr>
            <w:r>
              <w:t>3-12 months</w:t>
            </w:r>
          </w:p>
        </w:tc>
      </w:tr>
      <w:tr w:rsidR="00B65ECD" w:rsidRPr="009B2A90" w:rsidTr="009B2A90">
        <w:tc>
          <w:tcPr>
            <w:tcW w:w="5000" w:type="pct"/>
            <w:gridSpan w:val="4"/>
          </w:tcPr>
          <w:p w:rsidR="00B65ECD" w:rsidRPr="009B2A90" w:rsidRDefault="00B65ECD" w:rsidP="009B2A90">
            <w:pPr>
              <w:pStyle w:val="Tabletext"/>
            </w:pPr>
            <w:r w:rsidRPr="009B2A90">
              <w:t>Source:</w:t>
            </w:r>
            <w:r w:rsidR="00390469">
              <w:t xml:space="preserve"> Kitchener </w:t>
            </w:r>
            <w:r w:rsidR="00E650AB" w:rsidRPr="009B2A90">
              <w:t>2011</w:t>
            </w:r>
          </w:p>
        </w:tc>
      </w:tr>
      <w:tr w:rsidR="004D10FA" w:rsidRPr="00274021" w:rsidTr="009B2A90">
        <w:tc>
          <w:tcPr>
            <w:tcW w:w="593" w:type="pct"/>
          </w:tcPr>
          <w:p w:rsidR="004D10FA" w:rsidRDefault="004D10FA" w:rsidP="00904BA0">
            <w:pPr>
              <w:pStyle w:val="Tabletext"/>
            </w:pPr>
            <w:r>
              <w:t>Palmer 2012</w:t>
            </w:r>
          </w:p>
        </w:tc>
        <w:tc>
          <w:tcPr>
            <w:tcW w:w="1620" w:type="pct"/>
          </w:tcPr>
          <w:p w:rsidR="004D10FA" w:rsidRDefault="004D10FA" w:rsidP="00DC5788">
            <w:pPr>
              <w:pStyle w:val="Tabletext"/>
            </w:pPr>
            <w:r>
              <w:t>Low-grade cytological abnormalities or higher (ASCUS+) referred to colposcopy</w:t>
            </w:r>
            <w:r w:rsidR="00AE29CF">
              <w:t xml:space="preserve"> </w:t>
            </w:r>
            <w:r w:rsidR="00AE29CF">
              <w:rPr>
                <w:rFonts w:ascii="Garamond" w:hAnsi="Garamond"/>
              </w:rPr>
              <w:t>±</w:t>
            </w:r>
            <w:r w:rsidR="00AE29CF">
              <w:t xml:space="preserve"> histology</w:t>
            </w:r>
          </w:p>
        </w:tc>
        <w:tc>
          <w:tcPr>
            <w:tcW w:w="1674" w:type="pct"/>
          </w:tcPr>
          <w:p w:rsidR="004D10FA" w:rsidRDefault="004D10FA" w:rsidP="00904BA0">
            <w:pPr>
              <w:pStyle w:val="Tabletext"/>
            </w:pPr>
            <w:r w:rsidRPr="00D812FD">
              <w:t xml:space="preserve">Not appropriate </w:t>
            </w:r>
          </w:p>
          <w:p w:rsidR="004D10FA" w:rsidRDefault="004D10FA" w:rsidP="00904BA0">
            <w:pPr>
              <w:pStyle w:val="Tabletext"/>
            </w:pPr>
            <w:r>
              <w:t>- Reference standard was not applied to those patients with a normal/benign cytology result</w:t>
            </w:r>
          </w:p>
        </w:tc>
        <w:tc>
          <w:tcPr>
            <w:tcW w:w="1113" w:type="pct"/>
          </w:tcPr>
          <w:p w:rsidR="004D10FA" w:rsidRPr="00274021" w:rsidRDefault="004D10FA" w:rsidP="00904BA0">
            <w:pPr>
              <w:pStyle w:val="Tabletext"/>
            </w:pPr>
            <w:r>
              <w:t>NR</w:t>
            </w:r>
          </w:p>
        </w:tc>
      </w:tr>
      <w:tr w:rsidR="00B65ECD" w:rsidRPr="009B2A90" w:rsidTr="009B2A90">
        <w:tc>
          <w:tcPr>
            <w:tcW w:w="5000" w:type="pct"/>
            <w:gridSpan w:val="4"/>
          </w:tcPr>
          <w:p w:rsidR="00B65ECD" w:rsidRPr="009B2A90" w:rsidRDefault="00B65ECD" w:rsidP="009B2A90">
            <w:pPr>
              <w:pStyle w:val="Tabletext"/>
            </w:pPr>
            <w:r w:rsidRPr="009B2A90">
              <w:t>Source:</w:t>
            </w:r>
            <w:r w:rsidR="00390469">
              <w:t xml:space="preserve"> Palmer </w:t>
            </w:r>
            <w:r w:rsidR="00E650AB" w:rsidRPr="009B2A90">
              <w:t>2012</w:t>
            </w:r>
          </w:p>
        </w:tc>
      </w:tr>
    </w:tbl>
    <w:p w:rsidR="009C4D0C" w:rsidRDefault="009C4D0C" w:rsidP="009B2A90">
      <w:pPr>
        <w:pStyle w:val="Tabletext"/>
      </w:pPr>
      <w:r w:rsidRPr="00FD7243">
        <w:t>Abbreviations: NR, not reported</w:t>
      </w:r>
      <w:r>
        <w:t xml:space="preserve">; </w:t>
      </w:r>
      <w:r w:rsidRPr="00646286">
        <w:t xml:space="preserve">ASCUS, atypical cells of undetermined significance; ASCUS+, atypical cells of undetermined significance/atypical glandular cells or more severe; CI, confidence interval; HSIL, high-grade squamous intraepithelial lesion; HSIL+, high-grade squamous intraepithelial lesion or more severe; LSIL, low grade squamous intraepithelial lesion; LSIL+, low grade squamous intraepithelial lesion or more severe; </w:t>
      </w:r>
      <w:r>
        <w:t xml:space="preserve">CIN 1, cervical intraepithelial neoplasia grade one; CIN 2/3, cervical intraepithelial neoplasia </w:t>
      </w:r>
      <w:r w:rsidR="00206FA0">
        <w:t>grade two or three; HPV, Human p</w:t>
      </w:r>
      <w:r>
        <w:t>apillomavirus; N/A, not a</w:t>
      </w:r>
      <w:r w:rsidR="005E1293">
        <w:t>v</w:t>
      </w:r>
      <w:r>
        <w:t>a</w:t>
      </w:r>
      <w:r w:rsidR="005E1293">
        <w:t>ila</w:t>
      </w:r>
      <w:r>
        <w:t>ble</w:t>
      </w:r>
      <w:r w:rsidR="005E1293">
        <w:br/>
      </w:r>
      <w:r>
        <w:t xml:space="preserve">a </w:t>
      </w:r>
      <w:r w:rsidR="00390469">
        <w:t xml:space="preserve">Beerman </w:t>
      </w:r>
      <w:r w:rsidR="005E1293">
        <w:t>2006 does not report the application of a reference however</w:t>
      </w:r>
      <w:r w:rsidR="00A9369E">
        <w:t xml:space="preserve"> al</w:t>
      </w:r>
      <w:r w:rsidR="005E1293" w:rsidRPr="005E1293">
        <w:t>l patients randomised were followed up using a national histological outcome database</w:t>
      </w:r>
      <w:r w:rsidR="00390469">
        <w:t>. The authors report</w:t>
      </w:r>
      <w:r w:rsidR="00EC1570">
        <w:t xml:space="preserve"> “</w:t>
      </w:r>
      <w:r w:rsidR="00A9369E" w:rsidRPr="00A9369E">
        <w:t>The histological follow-up</w:t>
      </w:r>
      <w:r w:rsidR="00A9369E">
        <w:t xml:space="preserve"> </w:t>
      </w:r>
      <w:r w:rsidR="00A9369E" w:rsidRPr="00A9369E">
        <w:t>of all patients with a cytological classification of ASCUS or higher was</w:t>
      </w:r>
      <w:r w:rsidR="00A9369E">
        <w:t xml:space="preserve"> </w:t>
      </w:r>
      <w:r w:rsidR="00A9369E" w:rsidRPr="00A9369E">
        <w:t>retrieved from the PALGA database. To determine the true false</w:t>
      </w:r>
      <w:r w:rsidR="00A9369E">
        <w:t xml:space="preserve"> ne</w:t>
      </w:r>
      <w:r w:rsidR="00A9369E" w:rsidRPr="00A9369E">
        <w:t>gative</w:t>
      </w:r>
      <w:r w:rsidR="00A9369E">
        <w:t xml:space="preserve"> </w:t>
      </w:r>
      <w:r w:rsidR="00A9369E" w:rsidRPr="00A9369E">
        <w:t>rate of the screening results, we collected the data from all</w:t>
      </w:r>
      <w:r w:rsidR="00A9369E">
        <w:t xml:space="preserve"> </w:t>
      </w:r>
      <w:r w:rsidR="00A9369E" w:rsidRPr="00A9369E">
        <w:t>patients with a negative cytology (i.e</w:t>
      </w:r>
      <w:r w:rsidR="00195600">
        <w:t>.</w:t>
      </w:r>
      <w:r w:rsidR="00A9369E" w:rsidRPr="00A9369E">
        <w:t xml:space="preserve"> within normal limits), but with</w:t>
      </w:r>
      <w:r w:rsidR="00A9369E">
        <w:t xml:space="preserve"> </w:t>
      </w:r>
      <w:r w:rsidR="00A9369E" w:rsidRPr="00A9369E">
        <w:t>a histological proven cervical lesion (CIN 1 or higher).</w:t>
      </w:r>
      <w:r w:rsidR="00A9369E">
        <w:t xml:space="preserve">”(p.573) </w:t>
      </w:r>
      <w:r w:rsidR="005E1293">
        <w:br/>
      </w:r>
      <w:r>
        <w:t>b The R</w:t>
      </w:r>
      <w:r w:rsidR="005E1293">
        <w:t>ODEO</w:t>
      </w:r>
      <w:r>
        <w:t xml:space="preserve"> study abstracts do not report the application of a reference standard therefore appropriateness of a reference standard applied cannot be determined. </w:t>
      </w:r>
      <w:r w:rsidR="00607DCB">
        <w:br/>
        <w:t xml:space="preserve">c. </w:t>
      </w:r>
      <w:r w:rsidR="00EC1570">
        <w:t>Regarding the NTCC trial, histology was fi</w:t>
      </w:r>
      <w:r w:rsidR="00EC1570" w:rsidRPr="00EC1570">
        <w:t>rst reviewed locally and was not masked</w:t>
      </w:r>
      <w:r w:rsidR="00EC1570">
        <w:t xml:space="preserve"> </w:t>
      </w:r>
      <w:r w:rsidR="00EC1570" w:rsidRPr="00EC1570">
        <w:t>to cytology or HPV result. For women with CIN of any</w:t>
      </w:r>
      <w:r w:rsidR="00EC1570">
        <w:t xml:space="preserve"> </w:t>
      </w:r>
      <w:r w:rsidR="00EC1570" w:rsidRPr="00EC1570">
        <w:t>grade, all histological samples from the relevant time</w:t>
      </w:r>
      <w:r w:rsidR="00EC1570">
        <w:t xml:space="preserve"> </w:t>
      </w:r>
      <w:r w:rsidR="00EC1570" w:rsidRPr="00EC1570">
        <w:t>were reviewed by one or two independent pathologists</w:t>
      </w:r>
      <w:r w:rsidR="00EC1570">
        <w:t xml:space="preserve"> </w:t>
      </w:r>
      <w:r w:rsidR="00EC1570" w:rsidRPr="00EC1570">
        <w:t>who were not aware of t</w:t>
      </w:r>
      <w:r w:rsidR="00EC1570">
        <w:t>he original histology results.</w:t>
      </w:r>
      <w:r w:rsidR="00EC1570" w:rsidRPr="00EC1570">
        <w:t xml:space="preserve"> If a</w:t>
      </w:r>
      <w:r w:rsidR="00EC1570">
        <w:t xml:space="preserve"> </w:t>
      </w:r>
      <w:r w:rsidR="00EC1570" w:rsidRPr="00EC1570">
        <w:t>pathologist did not agree with the original diagnosis</w:t>
      </w:r>
      <w:r w:rsidR="00EC1570">
        <w:t xml:space="preserve"> </w:t>
      </w:r>
      <w:r w:rsidR="00EC1570" w:rsidRPr="00EC1570">
        <w:t>regarding the presence of CIN</w:t>
      </w:r>
      <w:r w:rsidR="00390469">
        <w:t xml:space="preserve"> </w:t>
      </w:r>
      <w:r w:rsidR="00EC1570" w:rsidRPr="00EC1570">
        <w:t>2+, samples were discussed</w:t>
      </w:r>
      <w:r w:rsidR="00EC1570">
        <w:t xml:space="preserve"> </w:t>
      </w:r>
      <w:r w:rsidR="00EC1570" w:rsidRPr="00EC1570">
        <w:t>by a group of nine pathologists (three in some instances)</w:t>
      </w:r>
      <w:r w:rsidR="00EC1570">
        <w:t xml:space="preserve"> </w:t>
      </w:r>
      <w:r w:rsidR="00EC1570" w:rsidRPr="00EC1570">
        <w:t>and a consensus diagnosis reached</w:t>
      </w:r>
      <w:r w:rsidR="00390469">
        <w:t xml:space="preserve"> (Ronco </w:t>
      </w:r>
      <w:r w:rsidR="00EC1570">
        <w:t>2006a p548.</w:t>
      </w:r>
      <w:r w:rsidR="00607DCB">
        <w:br/>
        <w:t xml:space="preserve">d. </w:t>
      </w:r>
      <w:r w:rsidR="00EC1570">
        <w:t>Regarding the NETHCON trial, h</w:t>
      </w:r>
      <w:r w:rsidR="00EC1570" w:rsidRPr="00EC1570">
        <w:t>istology is</w:t>
      </w:r>
      <w:r w:rsidR="00EC1570">
        <w:t xml:space="preserve"> </w:t>
      </w:r>
      <w:r w:rsidR="00EC1570" w:rsidRPr="00EC1570">
        <w:t>taken from colposcopically abnormal</w:t>
      </w:r>
      <w:r w:rsidR="00EC1570">
        <w:t xml:space="preserve"> </w:t>
      </w:r>
      <w:r w:rsidR="00EC1570" w:rsidRPr="00EC1570">
        <w:t>areas. High-grade cytological abnormalities</w:t>
      </w:r>
      <w:r w:rsidR="00EC1570">
        <w:t xml:space="preserve"> </w:t>
      </w:r>
      <w:r w:rsidR="00EC1570" w:rsidRPr="00EC1570">
        <w:t>on initial or repeat test are immediately</w:t>
      </w:r>
      <w:r w:rsidR="00EC1570">
        <w:t xml:space="preserve"> </w:t>
      </w:r>
      <w:r w:rsidR="00EC1570" w:rsidRPr="00EC1570">
        <w:t xml:space="preserve">referred to a </w:t>
      </w:r>
      <w:r w:rsidR="009073D9" w:rsidRPr="00EC1570">
        <w:t>gynaecologist</w:t>
      </w:r>
      <w:r w:rsidR="00EC1570" w:rsidRPr="00EC1570">
        <w:t xml:space="preserve"> for</w:t>
      </w:r>
      <w:r w:rsidR="00EC1570">
        <w:t xml:space="preserve"> </w:t>
      </w:r>
      <w:r w:rsidR="00EC1570" w:rsidRPr="00EC1570">
        <w:t>colposcopy and further histological</w:t>
      </w:r>
      <w:r w:rsidR="00EC1570">
        <w:t xml:space="preserve"> </w:t>
      </w:r>
      <w:r w:rsidR="00EC1570" w:rsidRPr="00EC1570">
        <w:t>evaluation</w:t>
      </w:r>
      <w:r w:rsidR="00390469">
        <w:t xml:space="preserve"> (Siebers </w:t>
      </w:r>
      <w:r w:rsidR="00EC1570">
        <w:t>2008 p. 1759)</w:t>
      </w:r>
      <w:r w:rsidR="00EC1570" w:rsidRPr="00EC1570">
        <w:t>.</w:t>
      </w:r>
      <w:r w:rsidR="00EC1570">
        <w:br/>
      </w:r>
      <w:r w:rsidR="00607DCB">
        <w:t xml:space="preserve">e. </w:t>
      </w:r>
      <w:r w:rsidR="00390469">
        <w:t xml:space="preserve">Strander </w:t>
      </w:r>
      <w:r w:rsidR="00EC1570">
        <w:t>2006</w:t>
      </w:r>
      <w:r w:rsidR="00BA423D">
        <w:t xml:space="preserve"> reports that </w:t>
      </w:r>
      <w:r w:rsidR="00EC1570">
        <w:t>h</w:t>
      </w:r>
      <w:r w:rsidR="00EC1570" w:rsidRPr="00EC1570">
        <w:t>istopathology diagnoses were searched for in the</w:t>
      </w:r>
      <w:r w:rsidR="00EC1570">
        <w:t xml:space="preserve"> </w:t>
      </w:r>
      <w:r w:rsidR="00EC1570" w:rsidRPr="00EC1570">
        <w:t>Regional Database for Prevention of Cervical Cancer,</w:t>
      </w:r>
      <w:r w:rsidR="00EC1570">
        <w:t xml:space="preserve"> </w:t>
      </w:r>
      <w:r w:rsidR="00EC1570" w:rsidRPr="00EC1570">
        <w:t>which covers all 5 laboratories in the region, including,</w:t>
      </w:r>
      <w:r w:rsidR="00EC1570">
        <w:t xml:space="preserve"> </w:t>
      </w:r>
      <w:r w:rsidR="00EC1570" w:rsidRPr="00EC1570">
        <w:t>among other data, all histopathology related to</w:t>
      </w:r>
      <w:r w:rsidR="00EC1570">
        <w:t xml:space="preserve"> </w:t>
      </w:r>
      <w:r w:rsidR="00EC1570" w:rsidRPr="00EC1570">
        <w:t>cervical disease (biopsies, cones, and hysterectomy</w:t>
      </w:r>
      <w:r w:rsidR="00EC1570">
        <w:t xml:space="preserve"> </w:t>
      </w:r>
      <w:r w:rsidR="00EC1570" w:rsidRPr="00EC1570">
        <w:t>specimens). The highest grade of histopathologic diagnosis</w:t>
      </w:r>
      <w:r w:rsidR="00EC1570">
        <w:t xml:space="preserve"> </w:t>
      </w:r>
      <w:r w:rsidR="00EC1570" w:rsidRPr="00EC1570">
        <w:t>from the cervix uteri obtained after the index</w:t>
      </w:r>
      <w:r w:rsidR="00EC1570">
        <w:t xml:space="preserve"> </w:t>
      </w:r>
      <w:r w:rsidR="00EC1570" w:rsidRPr="00EC1570">
        <w:t>smear during the study period was used. Thus, histopathologic</w:t>
      </w:r>
      <w:r w:rsidR="00EC1570">
        <w:t xml:space="preserve"> </w:t>
      </w:r>
      <w:r w:rsidR="00EC1570" w:rsidRPr="00EC1570">
        <w:t>diagnoses were made as part of the clinical</w:t>
      </w:r>
      <w:r w:rsidR="00EC1570">
        <w:t xml:space="preserve"> </w:t>
      </w:r>
      <w:r w:rsidR="00EC1570" w:rsidRPr="00EC1570">
        <w:t>routine</w:t>
      </w:r>
      <w:r w:rsidR="00EC1570">
        <w:t xml:space="preserve"> (p.287)</w:t>
      </w:r>
      <w:r w:rsidR="00BA423D">
        <w:t>. Whilst the reference standard was not applied to those patients receiving a normal/benign cytology result, these patients were followed up in the database for any further cytology and histology results within a 1.5 year and again at 3 year 7months time period.</w:t>
      </w:r>
      <w:r w:rsidR="00BA423D">
        <w:br/>
      </w:r>
      <w:r w:rsidR="00607DCB">
        <w:t xml:space="preserve">f. </w:t>
      </w:r>
      <w:r w:rsidR="00390469">
        <w:t>Ma</w:t>
      </w:r>
      <w:r w:rsidR="00206FA0">
        <w:t>c</w:t>
      </w:r>
      <w:r w:rsidR="00390469">
        <w:t>callini</w:t>
      </w:r>
      <w:r w:rsidR="00F145F5">
        <w:t xml:space="preserve"> 2008</w:t>
      </w:r>
      <w:r w:rsidR="00BA423D">
        <w:t xml:space="preserve"> reports cases from both study arms were referred to the same colposcopy clinics. Histologic reading was blinded to cytology sampling modality. Treatment was recomm</w:t>
      </w:r>
      <w:r w:rsidR="009073D9">
        <w:t>en</w:t>
      </w:r>
      <w:r w:rsidR="00BA423D">
        <w:t>ded to all women with CIN2+ (p. 570).</w:t>
      </w:r>
      <w:r w:rsidR="00607DCB">
        <w:br/>
        <w:t>g</w:t>
      </w:r>
      <w:r w:rsidR="005E1293">
        <w:t>.</w:t>
      </w:r>
      <w:r w:rsidR="005E1293" w:rsidRPr="005E1293">
        <w:t xml:space="preserve"> </w:t>
      </w:r>
      <w:r w:rsidR="005E1293">
        <w:t>Obwegeser 2001 only reported the follow up of all HSIL cases. It is stated that follow-up of LSIL and ASCUS cases is in progress implying a reference standard of ASCUS+ referral to cytology may be applicable in the future. However for the current study results of a reference standard applied to HSIL cases only is available.</w:t>
      </w:r>
      <w:r w:rsidR="00BA423D" w:rsidRPr="00BA423D">
        <w:t xml:space="preserve"> All histology specimens</w:t>
      </w:r>
      <w:r w:rsidR="00BA423D">
        <w:t xml:space="preserve"> </w:t>
      </w:r>
      <w:r w:rsidR="00BA423D" w:rsidRPr="00BA423D">
        <w:t xml:space="preserve">were evaluated by pathologists independent of </w:t>
      </w:r>
      <w:r w:rsidR="00BA423D">
        <w:t xml:space="preserve">the </w:t>
      </w:r>
      <w:r w:rsidR="00BA423D" w:rsidRPr="00BA423D">
        <w:t>cytology laboratory on conization or hysterectomy</w:t>
      </w:r>
      <w:r w:rsidR="00BA423D">
        <w:t xml:space="preserve"> </w:t>
      </w:r>
      <w:r w:rsidR="00BA423D" w:rsidRPr="00BA423D">
        <w:t xml:space="preserve">specimens, not on </w:t>
      </w:r>
      <w:r w:rsidR="00BA423D" w:rsidRPr="00BA423D">
        <w:lastRenderedPageBreak/>
        <w:t>biopsies</w:t>
      </w:r>
      <w:r w:rsidR="00BA423D">
        <w:t xml:space="preserve"> (p. 712)</w:t>
      </w:r>
      <w:r w:rsidR="00BA423D" w:rsidRPr="00BA423D">
        <w:t>.</w:t>
      </w:r>
      <w:r w:rsidR="005E1293">
        <w:br/>
      </w:r>
      <w:r w:rsidR="00607DCB">
        <w:t>h</w:t>
      </w:r>
      <w:r w:rsidR="00AE29CF">
        <w:t>. Within the MAVARIC trial w</w:t>
      </w:r>
      <w:r w:rsidR="00AE29CF" w:rsidRPr="00AE29CF">
        <w:t>omen with</w:t>
      </w:r>
      <w:r w:rsidR="00AE29CF">
        <w:t xml:space="preserve"> </w:t>
      </w:r>
      <w:r w:rsidR="00AE29CF" w:rsidRPr="00AE29CF">
        <w:t>high-grade cytology (moderate dyskaryosis or worse) underwent either a targeted biopsy with</w:t>
      </w:r>
      <w:r w:rsidR="00AE29CF">
        <w:t xml:space="preserve"> </w:t>
      </w:r>
      <w:r w:rsidR="00AE29CF" w:rsidRPr="00AE29CF">
        <w:t>subsequent treatment for CIN</w:t>
      </w:r>
      <w:r w:rsidR="00390469">
        <w:t xml:space="preserve"> </w:t>
      </w:r>
      <w:r w:rsidR="00AE29CF" w:rsidRPr="00AE29CF">
        <w:t>2+ or an immediate ‘see and treat’ loop excision</w:t>
      </w:r>
      <w:r w:rsidR="00390469">
        <w:t xml:space="preserve"> (Kitchener</w:t>
      </w:r>
      <w:r w:rsidR="00AE29CF">
        <w:t xml:space="preserve"> 2011 p.21)</w:t>
      </w:r>
      <w:r w:rsidR="00AE29CF" w:rsidRPr="00AE29CF">
        <w:t>.</w:t>
      </w:r>
    </w:p>
    <w:p w:rsidR="004F3378" w:rsidRDefault="004F3378" w:rsidP="009C4D0C"/>
    <w:p w:rsidR="00945B4B" w:rsidRDefault="009C4D0C" w:rsidP="009C4D0C">
      <w:r>
        <w:t xml:space="preserve">The flow of participants throughout the included RCTs, including patients lost to follow up and the proportion of women who had cytology and histology analysed, is presented in </w:t>
      </w:r>
      <w:r w:rsidR="00086C77">
        <w:fldChar w:fldCharType="begin"/>
      </w:r>
      <w:r>
        <w:instrText xml:space="preserve"> REF _Ref332965178 \h </w:instrText>
      </w:r>
      <w:r w:rsidR="00086C77">
        <w:fldChar w:fldCharType="separate"/>
      </w:r>
      <w:r w:rsidR="003361A8" w:rsidRPr="00274021">
        <w:t xml:space="preserve">Table </w:t>
      </w:r>
      <w:r w:rsidR="003361A8">
        <w:rPr>
          <w:noProof/>
        </w:rPr>
        <w:t>14</w:t>
      </w:r>
      <w:r w:rsidR="00086C77">
        <w:fldChar w:fldCharType="end"/>
      </w:r>
      <w:r>
        <w:t xml:space="preserve">. </w:t>
      </w:r>
    </w:p>
    <w:p w:rsidR="009C4D0C" w:rsidRDefault="009C4D0C" w:rsidP="009C4D0C">
      <w:r>
        <w:t xml:space="preserve">All studies randomised more than 1000 patients to each study intervention. However, the sample size was varied for all studies, with </w:t>
      </w:r>
      <w:r w:rsidR="004F3378">
        <w:t>Beerman 2009</w:t>
      </w:r>
      <w:r w:rsidR="00200AE2">
        <w:t>, t</w:t>
      </w:r>
      <w:r>
        <w:t>he NTCC trial, NETHCON trial, Palmer 2012, and the MAV</w:t>
      </w:r>
      <w:r w:rsidR="00F145F5">
        <w:t>A</w:t>
      </w:r>
      <w:r>
        <w:t>RIC study considerably larger with more than 20,000 women randomised to each study arm.</w:t>
      </w:r>
    </w:p>
    <w:p w:rsidR="009C4D0C" w:rsidRPr="00F145F5" w:rsidRDefault="00390469" w:rsidP="00F145F5">
      <w:pPr>
        <w:pStyle w:val="Heading50"/>
      </w:pPr>
      <w:r w:rsidRPr="00F145F5">
        <w:t>Loss</w:t>
      </w:r>
      <w:r w:rsidR="009C4D0C" w:rsidRPr="00F145F5">
        <w:t xml:space="preserve"> to follow-up</w:t>
      </w:r>
    </w:p>
    <w:p w:rsidR="009C4D0C" w:rsidRPr="00F722F5" w:rsidRDefault="004F3378" w:rsidP="009C4D0C">
      <w:r>
        <w:t>Percentages lost to follow up were</w:t>
      </w:r>
      <w:r w:rsidR="00200AE2">
        <w:t xml:space="preserve"> generally not reported</w:t>
      </w:r>
      <w:r w:rsidR="009C4D0C">
        <w:t>.</w:t>
      </w:r>
      <w:r w:rsidR="0071102A">
        <w:t xml:space="preserve"> Where </w:t>
      </w:r>
      <w:r w:rsidR="00206FA0">
        <w:t>reported</w:t>
      </w:r>
      <w:r w:rsidR="0071102A">
        <w:t>,</w:t>
      </w:r>
      <w:r w:rsidR="00200AE2">
        <w:t xml:space="preserve"> the rates were low (&lt;</w:t>
      </w:r>
      <w:r w:rsidR="0071102A">
        <w:t> </w:t>
      </w:r>
      <w:r w:rsidR="00200AE2">
        <w:t>1.04%) and balanced within each trial</w:t>
      </w:r>
      <w:r w:rsidR="00206FA0">
        <w:t>,</w:t>
      </w:r>
      <w:r w:rsidR="00200AE2">
        <w:t xml:space="preserve"> except for NTCC (cell filtrat</w:t>
      </w:r>
      <w:r>
        <w:t>ion LBC 0.4% versus CC</w:t>
      </w:r>
      <w:r w:rsidR="00206FA0">
        <w:t xml:space="preserve"> 0.17%). The difference was</w:t>
      </w:r>
      <w:r w:rsidR="00200AE2">
        <w:t xml:space="preserve"> small and thought to be of little significance.</w:t>
      </w:r>
    </w:p>
    <w:p w:rsidR="009C4D0C" w:rsidRPr="00F145F5" w:rsidRDefault="009C4D0C" w:rsidP="00F145F5">
      <w:pPr>
        <w:pStyle w:val="Heading50"/>
      </w:pPr>
      <w:r w:rsidRPr="00F145F5">
        <w:t>Cytology analysed</w:t>
      </w:r>
    </w:p>
    <w:p w:rsidR="009C4D0C" w:rsidRDefault="005F6015" w:rsidP="009C4D0C">
      <w:r>
        <w:t>More than</w:t>
      </w:r>
      <w:r w:rsidR="00206FA0">
        <w:t xml:space="preserve"> </w:t>
      </w:r>
      <w:r w:rsidR="00390469">
        <w:t xml:space="preserve">95% </w:t>
      </w:r>
      <w:r w:rsidR="00200AE2">
        <w:t xml:space="preserve">of patients randomised </w:t>
      </w:r>
      <w:r w:rsidR="00390469">
        <w:t xml:space="preserve">participated in the trial. </w:t>
      </w:r>
      <w:r w:rsidR="009C4D0C">
        <w:t xml:space="preserve">In Maccallini </w:t>
      </w:r>
      <w:r w:rsidR="00390469">
        <w:t>(</w:t>
      </w:r>
      <w:r w:rsidR="009C4D0C">
        <w:t>2008</w:t>
      </w:r>
      <w:r w:rsidR="00390469">
        <w:t>)</w:t>
      </w:r>
      <w:r w:rsidR="009C4D0C">
        <w:t>, between randomisation and undertaking the cytology test 173</w:t>
      </w:r>
      <w:r w:rsidR="00390469">
        <w:t xml:space="preserve"> </w:t>
      </w:r>
      <w:r w:rsidR="009C4D0C">
        <w:t>(4%) women randomised to the conventional arm changed to the alternate intervention, as did 136</w:t>
      </w:r>
      <w:r w:rsidR="00390469">
        <w:t xml:space="preserve"> </w:t>
      </w:r>
      <w:r w:rsidR="009C4D0C">
        <w:t>(3.2%) women originally randomised to the LBC arm of the study.</w:t>
      </w:r>
    </w:p>
    <w:p w:rsidR="009C4D0C" w:rsidRPr="007D0EB2" w:rsidRDefault="009C4D0C" w:rsidP="009C4D0C">
      <w:r>
        <w:t>For the remaining studies as no distinction was made, it is assumed that the number of participants randomised at study commencement was the same as those whose cytology was analysed.</w:t>
      </w:r>
    </w:p>
    <w:p w:rsidR="009C4D0C" w:rsidRPr="00F145F5" w:rsidRDefault="009C4D0C" w:rsidP="00F145F5">
      <w:pPr>
        <w:pStyle w:val="Heading50"/>
      </w:pPr>
      <w:r w:rsidRPr="00F145F5">
        <w:t>Histology analysed</w:t>
      </w:r>
    </w:p>
    <w:p w:rsidR="009C4D0C" w:rsidRDefault="009C4D0C" w:rsidP="00390469">
      <w:r w:rsidRPr="003F02A0">
        <w:t>The number of partic</w:t>
      </w:r>
      <w:r>
        <w:t>i</w:t>
      </w:r>
      <w:r w:rsidRPr="003F02A0">
        <w:t xml:space="preserve">pants </w:t>
      </w:r>
      <w:r w:rsidR="00200AE2">
        <w:t>with</w:t>
      </w:r>
      <w:r w:rsidRPr="003F02A0">
        <w:t xml:space="preserve"> histological </w:t>
      </w:r>
      <w:r w:rsidR="00200AE2">
        <w:t xml:space="preserve">outcomes </w:t>
      </w:r>
      <w:r w:rsidRPr="003F02A0">
        <w:t>was presented in</w:t>
      </w:r>
      <w:r w:rsidR="00200AE2">
        <w:t xml:space="preserve"> five trials (</w:t>
      </w:r>
      <w:r w:rsidR="00390469">
        <w:t>Beerman 2009; Strander 2007; Obwegeser 2001, NTCC; NETHCON</w:t>
      </w:r>
      <w:r w:rsidR="00200AE2">
        <w:t>). The proportion of patients with histology ranged from 0.6% to 1.53% and was balanced within each trial with the exception of the NTCC trial (cell filtration LBC 5.87% versus conventional c</w:t>
      </w:r>
      <w:r w:rsidR="004054BA">
        <w:t>ytology 1.53%). The difference wa</w:t>
      </w:r>
      <w:r w:rsidR="00200AE2">
        <w:t>s attributed to the different referral practices undertaken between the arms of the trial.</w:t>
      </w:r>
    </w:p>
    <w:p w:rsidR="009073D9" w:rsidRDefault="009073D9" w:rsidP="00390469">
      <w:r>
        <w:t xml:space="preserve">Beerman 2009 used the </w:t>
      </w:r>
      <w:r w:rsidRPr="0021548C">
        <w:t>Dutch Network and National Database for Pathology</w:t>
      </w:r>
      <w:r>
        <w:t xml:space="preserve"> (PALGA) which interconnects all Dutch Pathology and cytology departments. This enabled 99.2% correlation of all study participants in the conventional cytology arm and 99.1% correlation in the LBC group. </w:t>
      </w:r>
    </w:p>
    <w:p w:rsidR="009073D9" w:rsidRDefault="009073D9" w:rsidP="005D1FFA">
      <w:r>
        <w:lastRenderedPageBreak/>
        <w:t xml:space="preserve">The results presented for Strander 2007 are the number of histology cases followed up at 1.5 years. </w:t>
      </w:r>
      <w:r w:rsidR="00305C3C">
        <w:t xml:space="preserve">Overall 95.8% of patients </w:t>
      </w:r>
      <w:r w:rsidR="003954A4">
        <w:t>did not have any</w:t>
      </w:r>
      <w:r w:rsidR="00305C3C">
        <w:t xml:space="preserve"> histology follow up across the </w:t>
      </w:r>
      <w:r w:rsidR="005D1FFA">
        <w:t>n</w:t>
      </w:r>
      <w:r w:rsidR="003954A4">
        <w:t xml:space="preserve">ormal, </w:t>
      </w:r>
      <w:r w:rsidR="00305C3C">
        <w:t>ASCUS, LSIL, HSIL cat</w:t>
      </w:r>
      <w:r w:rsidR="003954A4">
        <w:t>egories. The proportion with no histology was evenly balanced between the cell filtration LBC arm and conventional cytology for each category, 97.5% vs</w:t>
      </w:r>
      <w:r w:rsidR="005D1FFA">
        <w:t>.</w:t>
      </w:r>
      <w:r w:rsidR="003954A4">
        <w:t xml:space="preserve"> 97.7%, 57.7% vs</w:t>
      </w:r>
      <w:r w:rsidR="005D1FFA">
        <w:t>.</w:t>
      </w:r>
      <w:r w:rsidR="003954A4">
        <w:t xml:space="preserve"> 43.3%, 49.3% vs</w:t>
      </w:r>
      <w:r w:rsidR="005D1FFA">
        <w:t>.</w:t>
      </w:r>
      <w:r w:rsidR="003954A4">
        <w:t xml:space="preserve"> 51.8% and 0 vs</w:t>
      </w:r>
      <w:r w:rsidR="005D1FFA">
        <w:t>.</w:t>
      </w:r>
      <w:r w:rsidR="003954A4">
        <w:t xml:space="preserve"> 2.2%, respect</w:t>
      </w:r>
      <w:r w:rsidR="005D1FFA">
        <w:t>ively (Strander 2007, Tabl</w:t>
      </w:r>
      <w:r w:rsidR="003954A4">
        <w:t xml:space="preserve">e 3). </w:t>
      </w:r>
      <w:r w:rsidR="005D1FFA">
        <w:t>In the CC</w:t>
      </w:r>
      <w:r>
        <w:t xml:space="preserve"> arm</w:t>
      </w:r>
      <w:r w:rsidR="005D1FFA">
        <w:t>,</w:t>
      </w:r>
      <w:r>
        <w:t xml:space="preserve"> the number of women with histology follow up at 1.5 years (75/8810, 0.85%) increased to 122/8810 (1.4%) at 3 years and 7 months. Similarly the histology reports increased in the LBC arm from 56/4676 (1.2%) at 1.5 years to 84/4676 (1.8%) at 3 years 7 months. </w:t>
      </w:r>
    </w:p>
    <w:p w:rsidR="00416B1C" w:rsidRPr="009C4D0C" w:rsidRDefault="00416B1C" w:rsidP="00416B1C">
      <w:pPr>
        <w:rPr>
          <w:i/>
        </w:rPr>
      </w:pPr>
      <w:r>
        <w:t>Beerman 2009 was the only study to follow up all randomised patients (including those with unsatisfactory cytology results) by review of any histology results in a national database. Strander 2007 followed up all patients for histological outcome but did not report those with an unsatisfactory cytology result. All other studies failed to review the histological outcomes for those participants who received normal/benign cytological results on their index screening test. It has been reported that in RCT</w:t>
      </w:r>
      <w:r w:rsidRPr="007F3F36">
        <w:t>s at least all positive tests should be verified, and given there should be no differences between the groups</w:t>
      </w:r>
      <w:r>
        <w:t>, there wa</w:t>
      </w:r>
      <w:r w:rsidRPr="007F3F36">
        <w:t>s no need for verification of a sample of negative results (Davey</w:t>
      </w:r>
      <w:r>
        <w:t xml:space="preserve"> </w:t>
      </w:r>
      <w:r w:rsidRPr="007F3F36">
        <w:t>2006</w:t>
      </w:r>
      <w:r>
        <w:t>,</w:t>
      </w:r>
      <w:r w:rsidRPr="007F3F36">
        <w:t xml:space="preserve"> web</w:t>
      </w:r>
      <w:r>
        <w:t xml:space="preserve"> </w:t>
      </w:r>
      <w:r w:rsidRPr="007F3F36">
        <w:t>appendix)</w:t>
      </w:r>
      <w:r>
        <w:t>.</w:t>
      </w:r>
    </w:p>
    <w:p w:rsidR="009073D9" w:rsidRDefault="009073D9" w:rsidP="005D1FFA">
      <w:r>
        <w:t>In the NETHCON trial</w:t>
      </w:r>
      <w:r w:rsidR="00305C3C" w:rsidRPr="00305C3C">
        <w:t xml:space="preserve"> ASCUS and CIN 1 cases led to either colposcopy or to a repeat smear. Those with a CIN2/3 result were referred to colposcopy and possible biopsy. Most</w:t>
      </w:r>
      <w:r w:rsidR="00305C3C">
        <w:t xml:space="preserve"> </w:t>
      </w:r>
      <w:r w:rsidR="00305C3C" w:rsidRPr="00305C3C">
        <w:t>cases (56.4%) were followed up cytologically.</w:t>
      </w:r>
      <w:r w:rsidR="00305C3C">
        <w:t xml:space="preserve"> </w:t>
      </w:r>
      <w:r w:rsidR="00305C3C" w:rsidRPr="00305C3C">
        <w:t>Histology was performed in</w:t>
      </w:r>
      <w:r w:rsidR="00305C3C">
        <w:t xml:space="preserve"> </w:t>
      </w:r>
      <w:r w:rsidR="00305C3C" w:rsidRPr="00305C3C">
        <w:t>36.3% of the cases. Six cases had only colposcopy</w:t>
      </w:r>
      <w:r w:rsidR="00305C3C">
        <w:t xml:space="preserve"> </w:t>
      </w:r>
      <w:r w:rsidR="00305C3C" w:rsidRPr="00305C3C">
        <w:t>during follow-up, and 171 cases</w:t>
      </w:r>
      <w:r w:rsidR="00305C3C">
        <w:t xml:space="preserve"> </w:t>
      </w:r>
      <w:r w:rsidR="00305C3C" w:rsidRPr="00305C3C">
        <w:t>(6.9%) were lost to follow-up.</w:t>
      </w:r>
      <w:r w:rsidR="00305C3C">
        <w:t xml:space="preserve"> </w:t>
      </w:r>
    </w:p>
    <w:p w:rsidR="00200AE2" w:rsidRDefault="009C4D0C" w:rsidP="005D1FFA">
      <w:r>
        <w:t>Obwegeser 200</w:t>
      </w:r>
      <w:r w:rsidR="00200AE2">
        <w:t xml:space="preserve">1 only analysed the histology for 70% of the </w:t>
      </w:r>
      <w:r>
        <w:t>HSIL cases.</w:t>
      </w:r>
    </w:p>
    <w:p w:rsidR="003F65F0" w:rsidRDefault="003F65F0" w:rsidP="005D1FFA"/>
    <w:p w:rsidR="009C4D0C" w:rsidRPr="0021548C" w:rsidRDefault="009C4D0C" w:rsidP="007F3F36">
      <w:pPr>
        <w:pStyle w:val="Heading50"/>
        <w:keepNext w:val="0"/>
        <w:spacing w:before="0" w:after="240" w:line="360" w:lineRule="auto"/>
        <w:sectPr w:rsidR="009C4D0C" w:rsidRPr="0021548C" w:rsidSect="008846BA">
          <w:headerReference w:type="default" r:id="rId22"/>
          <w:pgSz w:w="11907" w:h="16840" w:code="9"/>
          <w:pgMar w:top="1418" w:right="1418" w:bottom="1701" w:left="1814" w:header="720" w:footer="720" w:gutter="0"/>
          <w:paperSrc w:first="7" w:other="7"/>
          <w:cols w:space="720"/>
          <w:noEndnote/>
        </w:sectPr>
      </w:pPr>
    </w:p>
    <w:p w:rsidR="009C4D0C" w:rsidRPr="00274021" w:rsidRDefault="009C4D0C" w:rsidP="009C4D0C">
      <w:pPr>
        <w:pStyle w:val="Tablecaption"/>
      </w:pPr>
      <w:bookmarkStart w:id="148" w:name="_Ref332965178"/>
      <w:bookmarkStart w:id="149" w:name="_Toc335665980"/>
      <w:bookmarkStart w:id="150" w:name="_Toc337546951"/>
      <w:r w:rsidRPr="00274021">
        <w:lastRenderedPageBreak/>
        <w:t xml:space="preserve">Table </w:t>
      </w:r>
      <w:fldSimple w:instr=" SEQ Table \* ARABIC ">
        <w:r w:rsidR="003361A8">
          <w:rPr>
            <w:noProof/>
          </w:rPr>
          <w:t>14</w:t>
        </w:r>
      </w:fldSimple>
      <w:bookmarkEnd w:id="140"/>
      <w:bookmarkEnd w:id="148"/>
      <w:r w:rsidRPr="00274021">
        <w:tab/>
        <w:t>Flow of participants in the direct randomised trials</w:t>
      </w:r>
      <w:bookmarkEnd w:id="141"/>
      <w:bookmarkEnd w:id="142"/>
      <w:bookmarkEnd w:id="143"/>
      <w:bookmarkEnd w:id="149"/>
      <w:bookmarkEnd w:id="1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4"/>
        <w:gridCol w:w="1254"/>
        <w:gridCol w:w="1506"/>
        <w:gridCol w:w="1255"/>
        <w:gridCol w:w="1636"/>
        <w:gridCol w:w="2016"/>
      </w:tblGrid>
      <w:tr w:rsidR="009C4D0C" w:rsidRPr="00274021" w:rsidTr="00F145F5">
        <w:trPr>
          <w:cantSplit/>
          <w:trHeight w:val="417"/>
          <w:tblHeader/>
        </w:trPr>
        <w:tc>
          <w:tcPr>
            <w:tcW w:w="688" w:type="pct"/>
            <w:tcBorders>
              <w:bottom w:val="single" w:sz="4" w:space="0" w:color="auto"/>
            </w:tcBorders>
          </w:tcPr>
          <w:p w:rsidR="009C4D0C" w:rsidRPr="00274021" w:rsidRDefault="009C4D0C" w:rsidP="00904BA0">
            <w:pPr>
              <w:pStyle w:val="Tableheading"/>
            </w:pPr>
            <w:r w:rsidRPr="00274021">
              <w:t>Trial ID</w:t>
            </w:r>
            <w:r w:rsidRPr="00274021">
              <w:br/>
              <w:t>intervention</w:t>
            </w:r>
          </w:p>
        </w:tc>
        <w:tc>
          <w:tcPr>
            <w:tcW w:w="705" w:type="pct"/>
            <w:tcBorders>
              <w:bottom w:val="single" w:sz="4" w:space="0" w:color="auto"/>
            </w:tcBorders>
          </w:tcPr>
          <w:p w:rsidR="009C4D0C" w:rsidRPr="00274021" w:rsidRDefault="009C4D0C" w:rsidP="00904BA0">
            <w:pPr>
              <w:pStyle w:val="Tableheading"/>
            </w:pPr>
            <w:r w:rsidRPr="00274021">
              <w:t>Randomised</w:t>
            </w:r>
            <w:r w:rsidRPr="00274021">
              <w:br/>
              <w:t>N</w:t>
            </w:r>
          </w:p>
        </w:tc>
        <w:tc>
          <w:tcPr>
            <w:tcW w:w="847" w:type="pct"/>
            <w:tcBorders>
              <w:bottom w:val="single" w:sz="4" w:space="0" w:color="auto"/>
            </w:tcBorders>
          </w:tcPr>
          <w:p w:rsidR="009C4D0C" w:rsidRPr="00274021" w:rsidRDefault="009C4D0C" w:rsidP="00904BA0">
            <w:pPr>
              <w:pStyle w:val="Tableheading"/>
            </w:pPr>
            <w:r w:rsidRPr="00274021">
              <w:t>Lost to follow-up</w:t>
            </w:r>
            <w:r w:rsidRPr="00274021">
              <w:br/>
              <w:t>n (%)</w:t>
            </w:r>
          </w:p>
        </w:tc>
        <w:tc>
          <w:tcPr>
            <w:tcW w:w="706" w:type="pct"/>
            <w:tcBorders>
              <w:bottom w:val="single" w:sz="4" w:space="0" w:color="auto"/>
            </w:tcBorders>
          </w:tcPr>
          <w:p w:rsidR="009C4D0C" w:rsidRPr="00274021" w:rsidRDefault="009C4D0C" w:rsidP="00904BA0">
            <w:pPr>
              <w:pStyle w:val="Tableheading"/>
            </w:pPr>
            <w:r w:rsidRPr="00274021">
              <w:t>Discontinued</w:t>
            </w:r>
            <w:r w:rsidRPr="00274021">
              <w:br/>
              <w:t>n (%)</w:t>
            </w:r>
          </w:p>
        </w:tc>
        <w:tc>
          <w:tcPr>
            <w:tcW w:w="920" w:type="pct"/>
            <w:tcBorders>
              <w:bottom w:val="single" w:sz="4" w:space="0" w:color="auto"/>
            </w:tcBorders>
          </w:tcPr>
          <w:p w:rsidR="009C4D0C" w:rsidRPr="00274021" w:rsidRDefault="009C4D0C" w:rsidP="00904BA0">
            <w:pPr>
              <w:pStyle w:val="Tableheading"/>
            </w:pPr>
            <w:r>
              <w:t xml:space="preserve">Cytology </w:t>
            </w:r>
            <w:r w:rsidR="00A97E86">
              <w:t>a</w:t>
            </w:r>
            <w:r w:rsidRPr="00274021">
              <w:t>nalysed</w:t>
            </w:r>
            <w:r w:rsidRPr="00274021">
              <w:br/>
              <w:t>n (%)</w:t>
            </w:r>
          </w:p>
        </w:tc>
        <w:tc>
          <w:tcPr>
            <w:tcW w:w="1134" w:type="pct"/>
            <w:tcBorders>
              <w:bottom w:val="single" w:sz="4" w:space="0" w:color="auto"/>
            </w:tcBorders>
          </w:tcPr>
          <w:p w:rsidR="009C4D0C" w:rsidRDefault="00A97E86" w:rsidP="00904BA0">
            <w:pPr>
              <w:pStyle w:val="Tableheading"/>
            </w:pPr>
            <w:r>
              <w:t>Histology a</w:t>
            </w:r>
            <w:r w:rsidR="009C4D0C">
              <w:t xml:space="preserve">nalysed </w:t>
            </w:r>
            <w:r>
              <w:br/>
            </w:r>
            <w:r w:rsidR="009C4D0C">
              <w:t>n (%)</w:t>
            </w:r>
          </w:p>
        </w:tc>
      </w:tr>
      <w:tr w:rsidR="009C4D0C" w:rsidRPr="00274021" w:rsidTr="00A97E86">
        <w:trPr>
          <w:trHeight w:val="298"/>
        </w:trPr>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rsidR="009C4D0C" w:rsidRDefault="00A97E86" w:rsidP="00904BA0">
            <w:pPr>
              <w:pStyle w:val="Tableheading"/>
            </w:pPr>
            <w:r>
              <w:t>Cell enrichment versus CC</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966E04" w:rsidRDefault="009C4D0C" w:rsidP="00904BA0">
            <w:pPr>
              <w:pStyle w:val="Tableheading"/>
              <w:rPr>
                <w:b w:val="0"/>
              </w:rPr>
            </w:pPr>
            <w:r w:rsidRPr="00966E04">
              <w:t>Beerman 2009</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C</w:t>
            </w:r>
            <w:r w:rsidR="00A97E86">
              <w:rPr>
                <w:b w:val="0"/>
              </w:rPr>
              <w:t>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51154</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 xml:space="preserve">398 (0.8) </w:t>
            </w:r>
            <w:r w:rsidRPr="00E52FD2">
              <w:rPr>
                <w:b w:val="0"/>
                <w:vertAlign w:val="superscript"/>
              </w:rPr>
              <w:t>g</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966E04" w:rsidRDefault="009C4D0C" w:rsidP="00904BA0">
            <w:pPr>
              <w:pStyle w:val="Tableheading"/>
              <w:rPr>
                <w:b w:val="0"/>
              </w:rPr>
            </w:pPr>
            <w:r w:rsidRPr="00966E04">
              <w:rPr>
                <w:b w:val="0"/>
              </w:rPr>
              <w:t>51154</w:t>
            </w:r>
            <w:r>
              <w:rPr>
                <w:b w:val="0"/>
              </w:rPr>
              <w:t xml:space="preserve"> (100)</w:t>
            </w:r>
          </w:p>
        </w:tc>
        <w:tc>
          <w:tcPr>
            <w:tcW w:w="1134" w:type="pct"/>
            <w:tcBorders>
              <w:top w:val="single" w:sz="4" w:space="0" w:color="auto"/>
              <w:left w:val="single" w:sz="4" w:space="0" w:color="auto"/>
              <w:bottom w:val="single" w:sz="4" w:space="0" w:color="auto"/>
              <w:right w:val="single" w:sz="4" w:space="0" w:color="auto"/>
            </w:tcBorders>
          </w:tcPr>
          <w:p w:rsidR="009C4D0C" w:rsidRPr="00E52FD2" w:rsidRDefault="009C4D0C" w:rsidP="00904BA0">
            <w:pPr>
              <w:pStyle w:val="Tableheading"/>
              <w:rPr>
                <w:b w:val="0"/>
              </w:rPr>
            </w:pPr>
            <w:r>
              <w:rPr>
                <w:b w:val="0"/>
              </w:rPr>
              <w:t>50756 (99.2)</w:t>
            </w:r>
            <w:r w:rsidRPr="003E376C">
              <w:rPr>
                <w:b w:val="0"/>
                <w:vertAlign w:val="superscript"/>
              </w:rPr>
              <w:t xml:space="preserve"> f</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LBC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35315</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 xml:space="preserve">319 (0.9) </w:t>
            </w:r>
            <w:r w:rsidRPr="00E52FD2">
              <w:rPr>
                <w:b w:val="0"/>
                <w:vertAlign w:val="superscript"/>
              </w:rPr>
              <w:t>g</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966E04" w:rsidRDefault="009C4D0C" w:rsidP="00904BA0">
            <w:pPr>
              <w:pStyle w:val="Tableheading"/>
              <w:rPr>
                <w:b w:val="0"/>
              </w:rPr>
            </w:pPr>
            <w:r w:rsidRPr="00966E04">
              <w:rPr>
                <w:b w:val="0"/>
              </w:rPr>
              <w:t>35315</w:t>
            </w:r>
            <w:r>
              <w:rPr>
                <w:b w:val="0"/>
              </w:rPr>
              <w:t xml:space="preserve"> (100)</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 xml:space="preserve">34996 </w:t>
            </w:r>
            <w:r w:rsidRPr="00E52FD2">
              <w:rPr>
                <w:b w:val="0"/>
              </w:rPr>
              <w:t>(99.1)</w:t>
            </w:r>
            <w:r>
              <w:rPr>
                <w:b w:val="0"/>
              </w:rPr>
              <w:t xml:space="preserve"> </w:t>
            </w:r>
            <w:r w:rsidRPr="003E376C">
              <w:rPr>
                <w:b w:val="0"/>
                <w:vertAlign w:val="superscript"/>
              </w:rPr>
              <w:t>f</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Default="009C4D0C" w:rsidP="00904BA0">
            <w:pPr>
              <w:pStyle w:val="Tableheading"/>
            </w:pPr>
            <w:r>
              <w:t>RODEO study</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C</w:t>
            </w:r>
            <w:r w:rsidR="00A97E86">
              <w:rPr>
                <w:b w:val="0"/>
              </w:rPr>
              <w:t>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6047</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6047 (100)</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LBC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6001</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6001 (100)</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A97E86">
            <w:pPr>
              <w:pStyle w:val="Tabletext"/>
            </w:pPr>
            <w:r w:rsidRPr="001F034D">
              <w:t>Source</w:t>
            </w:r>
            <w:r w:rsidR="00A97E86">
              <w:t xml:space="preserve">: Longatto-Filho 2011; Fregnani </w:t>
            </w:r>
            <w:r w:rsidRPr="001F034D">
              <w:t>2012</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rsidR="009C4D0C" w:rsidRPr="00143418" w:rsidRDefault="00A97E86" w:rsidP="00904BA0">
            <w:pPr>
              <w:pStyle w:val="Tableheading"/>
            </w:pPr>
            <w:r>
              <w:t>Cell f</w:t>
            </w:r>
            <w:r w:rsidR="009C4D0C">
              <w:t>iltration</w:t>
            </w:r>
            <w:r>
              <w:t xml:space="preserve"> versus CC</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904BA0">
            <w:pPr>
              <w:pStyle w:val="Tableheading"/>
            </w:pPr>
            <w:r w:rsidRPr="001F034D">
              <w:t>NTCC Trial</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C</w:t>
            </w:r>
            <w:r w:rsidR="00A97E86">
              <w:rPr>
                <w:b w:val="0"/>
              </w:rPr>
              <w:t>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22547</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 xml:space="preserve">39 (0.17) </w:t>
            </w:r>
            <w:r w:rsidRPr="006C7099">
              <w:rPr>
                <w:b w:val="0"/>
                <w:vertAlign w:val="superscript"/>
              </w:rPr>
              <w:t>k</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22056 (97.8)</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 xml:space="preserve">344 (1.53) </w:t>
            </w:r>
            <w:r>
              <w:rPr>
                <w:b w:val="0"/>
                <w:vertAlign w:val="superscript"/>
              </w:rPr>
              <w:t>L</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LBC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22760</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 xml:space="preserve">93 (0.41) </w:t>
            </w:r>
            <w:r w:rsidRPr="006C7099">
              <w:rPr>
                <w:b w:val="0"/>
                <w:vertAlign w:val="superscript"/>
              </w:rPr>
              <w:t>k</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22438 (98.6)</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 xml:space="preserve">1337 (5.87) </w:t>
            </w:r>
            <w:r w:rsidRPr="004C3C1F">
              <w:rPr>
                <w:b w:val="0"/>
                <w:vertAlign w:val="superscript"/>
              </w:rPr>
              <w:t>L</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A97E86">
            <w:pPr>
              <w:pStyle w:val="Tabletext"/>
            </w:pPr>
            <w:r w:rsidRPr="001F034D">
              <w:t>Source:</w:t>
            </w:r>
            <w:r w:rsidR="00A97E86">
              <w:t xml:space="preserve"> Ronco </w:t>
            </w:r>
            <w:r w:rsidRPr="008C398C">
              <w:t>2007</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904BA0">
            <w:pPr>
              <w:pStyle w:val="Tableheading"/>
            </w:pPr>
            <w:r w:rsidRPr="001F034D">
              <w:t>NETHCON Trial</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C</w:t>
            </w:r>
            <w:r w:rsidR="00A97E86">
              <w:rPr>
                <w:b w:val="0"/>
              </w:rPr>
              <w:t>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40047</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72 (0.18)</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 xml:space="preserve">38504 (96.4) </w:t>
            </w:r>
            <w:r w:rsidRPr="00147D77">
              <w:rPr>
                <w:b w:val="0"/>
                <w:vertAlign w:val="superscript"/>
              </w:rPr>
              <w:t>i</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 xml:space="preserve">418 (1.04) </w:t>
            </w:r>
            <w:r w:rsidRPr="00147D77">
              <w:rPr>
                <w:b w:val="0"/>
                <w:vertAlign w:val="superscript"/>
              </w:rPr>
              <w:t>j</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LBC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48941</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97 (0.20)</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 xml:space="preserve">45818 (93.6) </w:t>
            </w:r>
            <w:r w:rsidRPr="00147D77">
              <w:rPr>
                <w:b w:val="0"/>
                <w:vertAlign w:val="superscript"/>
              </w:rPr>
              <w:t>i</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 xml:space="preserve">480 (0.98) </w:t>
            </w:r>
            <w:r w:rsidRPr="00147D77">
              <w:rPr>
                <w:b w:val="0"/>
                <w:vertAlign w:val="superscript"/>
              </w:rPr>
              <w:t>j</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A97E86">
            <w:pPr>
              <w:pStyle w:val="Tabletext"/>
            </w:pPr>
            <w:r w:rsidRPr="001F034D">
              <w:t>Source:</w:t>
            </w:r>
            <w:r w:rsidR="00A97E86">
              <w:t xml:space="preserve"> Siebers </w:t>
            </w:r>
            <w:r>
              <w:t>2009</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904BA0">
            <w:pPr>
              <w:pStyle w:val="Tableheading"/>
            </w:pPr>
            <w:r w:rsidRPr="001F034D">
              <w:t>Strander 2007</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C</w:t>
            </w:r>
            <w:r w:rsidR="00A97E86">
              <w:rPr>
                <w:b w:val="0"/>
              </w:rPr>
              <w:t>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8810</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8810 (100)</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 xml:space="preserve">75 (0.85) </w:t>
            </w:r>
            <w:r w:rsidRPr="00162B61">
              <w:rPr>
                <w:b w:val="0"/>
                <w:vertAlign w:val="superscript"/>
              </w:rPr>
              <w:t>h</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LBC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467</w:t>
            </w:r>
            <w:r w:rsidR="009E29DF">
              <w:rPr>
                <w:b w:val="0"/>
              </w:rPr>
              <w:t>6</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4674 (100)</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 xml:space="preserve">56 (1.2) </w:t>
            </w:r>
            <w:r w:rsidRPr="00162B61">
              <w:rPr>
                <w:b w:val="0"/>
                <w:vertAlign w:val="superscript"/>
              </w:rPr>
              <w:t>h</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904BA0">
            <w:pPr>
              <w:pStyle w:val="Tableheading"/>
            </w:pPr>
            <w:r w:rsidRPr="001F034D">
              <w:t>Maccallini 2008</w:t>
            </w:r>
          </w:p>
        </w:tc>
      </w:tr>
      <w:tr w:rsidR="009C4D0C" w:rsidRPr="00274021" w:rsidTr="00F145F5">
        <w:trPr>
          <w:trHeight w:val="140"/>
        </w:trPr>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C</w:t>
            </w:r>
            <w:r w:rsidR="00A97E86">
              <w:rPr>
                <w:b w:val="0"/>
              </w:rPr>
              <w:t>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4299</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4336 (100)</w:t>
            </w:r>
            <w:r w:rsidRPr="00E1104B">
              <w:rPr>
                <w:b w:val="0"/>
                <w:vertAlign w:val="superscript"/>
              </w:rPr>
              <w:t>a</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LBC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4355</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4318 (100)</w:t>
            </w:r>
            <w:r w:rsidRPr="00E1104B">
              <w:rPr>
                <w:b w:val="0"/>
                <w:vertAlign w:val="superscript"/>
              </w:rPr>
              <w:t>a</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A97E86" w:rsidP="00A97E86">
            <w:pPr>
              <w:pStyle w:val="Tabletext"/>
            </w:pPr>
            <w:r>
              <w:t xml:space="preserve">Source: Maccallini </w:t>
            </w:r>
            <w:r w:rsidR="009C4D0C" w:rsidRPr="001F034D">
              <w:t>2008</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904BA0">
            <w:pPr>
              <w:pStyle w:val="Tableheading"/>
            </w:pPr>
            <w:r w:rsidRPr="001F034D">
              <w:t>Obwegeser 2001</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C</w:t>
            </w:r>
            <w:r w:rsidR="00A97E86">
              <w:rPr>
                <w:b w:val="0"/>
              </w:rPr>
              <w:t>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1002</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1</w:t>
            </w:r>
            <w:r w:rsidRPr="00E25464">
              <w:rPr>
                <w:b w:val="0"/>
                <w:vertAlign w:val="superscript"/>
              </w:rPr>
              <w:t>b</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1002 (100)</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12</w:t>
            </w:r>
            <w:r>
              <w:rPr>
                <w:b w:val="0"/>
                <w:vertAlign w:val="superscript"/>
              </w:rPr>
              <w:t xml:space="preserve">e </w:t>
            </w:r>
            <w:r>
              <w:rPr>
                <w:b w:val="0"/>
              </w:rPr>
              <w:t>(0.6)</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LBC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0B18D8">
            <w:pPr>
              <w:pStyle w:val="Tableheading"/>
              <w:rPr>
                <w:b w:val="0"/>
              </w:rPr>
            </w:pPr>
            <w:r>
              <w:rPr>
                <w:b w:val="0"/>
              </w:rPr>
              <w:t>99</w:t>
            </w:r>
            <w:r w:rsidR="000B18D8">
              <w:rPr>
                <w:b w:val="0"/>
              </w:rPr>
              <w:t>7</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1</w:t>
            </w:r>
            <w:r>
              <w:rPr>
                <w:b w:val="0"/>
                <w:vertAlign w:val="superscript"/>
              </w:rPr>
              <w:t>b</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1999 (100)</w:t>
            </w:r>
          </w:p>
        </w:tc>
        <w:tc>
          <w:tcPr>
            <w:tcW w:w="1134" w:type="pct"/>
            <w:tcBorders>
              <w:top w:val="single" w:sz="4" w:space="0" w:color="auto"/>
              <w:left w:val="single" w:sz="4" w:space="0" w:color="auto"/>
              <w:bottom w:val="single" w:sz="4" w:space="0" w:color="auto"/>
              <w:right w:val="single" w:sz="4" w:space="0" w:color="auto"/>
            </w:tcBorders>
          </w:tcPr>
          <w:p w:rsidR="009C4D0C" w:rsidRPr="00AA67A9" w:rsidRDefault="009C4D0C" w:rsidP="00904BA0">
            <w:pPr>
              <w:pStyle w:val="Tableheading"/>
              <w:rPr>
                <w:b w:val="0"/>
              </w:rPr>
            </w:pPr>
            <w:r>
              <w:rPr>
                <w:b w:val="0"/>
              </w:rPr>
              <w:t>11</w:t>
            </w:r>
            <w:r>
              <w:rPr>
                <w:b w:val="0"/>
                <w:vertAlign w:val="superscript"/>
              </w:rPr>
              <w:t xml:space="preserve">d </w:t>
            </w:r>
            <w:r w:rsidRPr="00C8638E">
              <w:rPr>
                <w:b w:val="0"/>
              </w:rPr>
              <w:t>(1.1)</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904BA0">
            <w:pPr>
              <w:pStyle w:val="Tableheading"/>
            </w:pPr>
            <w:r>
              <w:t>RHINE-SAAR</w:t>
            </w:r>
            <w:r w:rsidRPr="001F034D">
              <w:t xml:space="preserve"> Study</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C</w:t>
            </w:r>
            <w:r w:rsidR="00A97E86">
              <w:rPr>
                <w:b w:val="0"/>
              </w:rPr>
              <w:t>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 xml:space="preserve">9296 </w:t>
            </w:r>
            <w:r>
              <w:rPr>
                <w:b w:val="0"/>
                <w:vertAlign w:val="superscript"/>
              </w:rPr>
              <w:t>c</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9296 (100)</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LBC</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11331</w:t>
            </w:r>
            <w:r w:rsidRPr="00A11156">
              <w:rPr>
                <w:b w:val="0"/>
                <w:vertAlign w:val="superscript"/>
              </w:rPr>
              <w:t xml:space="preserve"> </w:t>
            </w:r>
            <w:r>
              <w:rPr>
                <w:b w:val="0"/>
                <w:vertAlign w:val="superscript"/>
              </w:rPr>
              <w:t>c</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11331 (100)</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A97E86" w:rsidP="00A97E86">
            <w:pPr>
              <w:pStyle w:val="Tabletext"/>
            </w:pPr>
            <w:r>
              <w:t>Source: Ikenberg 2010a, 2010b, 2010c, 2011a,</w:t>
            </w:r>
            <w:r w:rsidR="009C4D0C" w:rsidRPr="001F034D">
              <w:t xml:space="preserve"> 2011b</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A97E86" w:rsidP="00904BA0">
            <w:pPr>
              <w:pStyle w:val="Tableheading"/>
              <w:rPr>
                <w:b w:val="0"/>
              </w:rPr>
            </w:pPr>
            <w:r>
              <w:t>Manual versus a</w:t>
            </w:r>
            <w:r w:rsidR="009C4D0C">
              <w:t>utomated cytology</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904BA0">
            <w:pPr>
              <w:pStyle w:val="Tableheading"/>
            </w:pPr>
            <w:r w:rsidRPr="001F034D">
              <w:t>MAVARIC Study</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Manual</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24</w:t>
            </w:r>
            <w:r w:rsidR="00A97E86">
              <w:rPr>
                <w:b w:val="0"/>
              </w:rPr>
              <w:t>,</w:t>
            </w:r>
            <w:r>
              <w:rPr>
                <w:b w:val="0"/>
              </w:rPr>
              <w:t>688</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257 (1.04)</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24</w:t>
            </w:r>
            <w:r w:rsidR="00A97E86">
              <w:rPr>
                <w:b w:val="0"/>
              </w:rPr>
              <w:t>,</w:t>
            </w:r>
            <w:r>
              <w:rPr>
                <w:b w:val="0"/>
              </w:rPr>
              <w:t>309 (98.46)</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r>
      <w:tr w:rsidR="009C4D0C" w:rsidRPr="00274021" w:rsidTr="00F145F5">
        <w:trPr>
          <w:cantSplit/>
        </w:trPr>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lastRenderedPageBreak/>
              <w:t>Paired arm (Manual and Automated)</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48</w:t>
            </w:r>
            <w:r w:rsidR="00A97E86">
              <w:rPr>
                <w:b w:val="0"/>
              </w:rPr>
              <w:t>,</w:t>
            </w:r>
            <w:r>
              <w:rPr>
                <w:b w:val="0"/>
              </w:rPr>
              <w:t>578</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343 (0.71)</w:t>
            </w:r>
          </w:p>
        </w:tc>
        <w:tc>
          <w:tcPr>
            <w:tcW w:w="706"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46</w:t>
            </w:r>
            <w:r w:rsidR="00A97E86">
              <w:rPr>
                <w:b w:val="0"/>
              </w:rPr>
              <w:t>,</w:t>
            </w:r>
            <w:r>
              <w:rPr>
                <w:b w:val="0"/>
              </w:rPr>
              <w:t>489 (95.70)</w:t>
            </w:r>
          </w:p>
        </w:tc>
        <w:tc>
          <w:tcPr>
            <w:tcW w:w="1134"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A97E86" w:rsidP="00A97E86">
            <w:pPr>
              <w:pStyle w:val="Tabletext"/>
            </w:pPr>
            <w:r>
              <w:t xml:space="preserve">Source: Kitchener </w:t>
            </w:r>
            <w:r w:rsidR="009C4D0C" w:rsidRPr="001F034D">
              <w:t>2011</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9C4D0C" w:rsidP="00904BA0">
            <w:pPr>
              <w:pStyle w:val="Tableheading"/>
            </w:pPr>
            <w:r w:rsidRPr="001F034D">
              <w:t>Palmer 2012</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Manual</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90</w:t>
            </w:r>
            <w:r w:rsidR="00A97E86">
              <w:rPr>
                <w:b w:val="0"/>
              </w:rPr>
              <w:t>,</w:t>
            </w:r>
            <w:r>
              <w:rPr>
                <w:b w:val="0"/>
              </w:rPr>
              <w:t>551</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90</w:t>
            </w:r>
            <w:r w:rsidR="00A97E86">
              <w:rPr>
                <w:b w:val="0"/>
              </w:rPr>
              <w:t>,</w:t>
            </w:r>
            <w:r>
              <w:rPr>
                <w:b w:val="0"/>
              </w:rPr>
              <w:t>551 (100)</w:t>
            </w:r>
          </w:p>
        </w:tc>
        <w:tc>
          <w:tcPr>
            <w:tcW w:w="1134"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r>
      <w:tr w:rsidR="009C4D0C" w:rsidRPr="00274021" w:rsidTr="00F145F5">
        <w:tc>
          <w:tcPr>
            <w:tcW w:w="688"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Automated</w:t>
            </w:r>
          </w:p>
        </w:tc>
        <w:tc>
          <w:tcPr>
            <w:tcW w:w="705"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79</w:t>
            </w:r>
            <w:r w:rsidR="00A97E86">
              <w:rPr>
                <w:b w:val="0"/>
              </w:rPr>
              <w:t>,</w:t>
            </w:r>
            <w:r>
              <w:rPr>
                <w:b w:val="0"/>
              </w:rPr>
              <w:t>366</w:t>
            </w:r>
          </w:p>
        </w:tc>
        <w:tc>
          <w:tcPr>
            <w:tcW w:w="847"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c>
          <w:tcPr>
            <w:tcW w:w="706" w:type="pct"/>
            <w:tcBorders>
              <w:top w:val="single" w:sz="4" w:space="0" w:color="auto"/>
              <w:left w:val="single" w:sz="4" w:space="0" w:color="auto"/>
              <w:bottom w:val="single" w:sz="4" w:space="0" w:color="auto"/>
              <w:right w:val="single" w:sz="4" w:space="0" w:color="auto"/>
            </w:tcBorders>
          </w:tcPr>
          <w:p w:rsidR="009C4D0C" w:rsidRPr="00274021" w:rsidRDefault="009C4D0C" w:rsidP="00904BA0">
            <w:pPr>
              <w:pStyle w:val="Tableheading"/>
              <w:rPr>
                <w:b w:val="0"/>
              </w:rPr>
            </w:pPr>
            <w:r>
              <w:rPr>
                <w:b w:val="0"/>
              </w:rPr>
              <w:t>NR</w:t>
            </w:r>
          </w:p>
        </w:tc>
        <w:tc>
          <w:tcPr>
            <w:tcW w:w="920"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79</w:t>
            </w:r>
            <w:r w:rsidR="00A97E86">
              <w:rPr>
                <w:b w:val="0"/>
              </w:rPr>
              <w:t>,</w:t>
            </w:r>
            <w:r>
              <w:rPr>
                <w:b w:val="0"/>
              </w:rPr>
              <w:t>366 (100)</w:t>
            </w:r>
          </w:p>
        </w:tc>
        <w:tc>
          <w:tcPr>
            <w:tcW w:w="1134" w:type="pct"/>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r>
      <w:tr w:rsidR="009C4D0C" w:rsidRPr="00274021" w:rsidTr="00A97E86">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9C4D0C" w:rsidRPr="001F034D" w:rsidRDefault="00A97E86" w:rsidP="00A97E86">
            <w:pPr>
              <w:pStyle w:val="Tabletext"/>
            </w:pPr>
            <w:r>
              <w:t xml:space="preserve">Source: Palmer </w:t>
            </w:r>
            <w:r w:rsidR="009C4D0C" w:rsidRPr="001F034D">
              <w:t>2012</w:t>
            </w:r>
            <w:r w:rsidR="009C4D0C">
              <w:t xml:space="preserve"> </w:t>
            </w:r>
          </w:p>
        </w:tc>
      </w:tr>
    </w:tbl>
    <w:p w:rsidR="00A97E86" w:rsidRDefault="00A97E86" w:rsidP="00F145F5">
      <w:pPr>
        <w:pStyle w:val="Tabletext"/>
      </w:pPr>
      <w:r w:rsidRPr="007476F2">
        <w:t>Abbreviations:</w:t>
      </w:r>
      <w:r w:rsidR="007476F2" w:rsidRPr="007476F2">
        <w:t xml:space="preserve"> CC,</w:t>
      </w:r>
      <w:r w:rsidR="007476F2">
        <w:t xml:space="preserve"> conventional cytology; LBC, </w:t>
      </w:r>
      <w:r w:rsidR="005E0D57">
        <w:t>liquid-based</w:t>
      </w:r>
      <w:r w:rsidR="007476F2">
        <w:t xml:space="preserve"> cytology</w:t>
      </w:r>
      <w:r w:rsidR="001E4261">
        <w:t>; NR, not reported</w:t>
      </w:r>
    </w:p>
    <w:p w:rsidR="004347D3" w:rsidRPr="00274021" w:rsidRDefault="009C4D0C" w:rsidP="00F145F5">
      <w:pPr>
        <w:pStyle w:val="Tabletext"/>
        <w:sectPr w:rsidR="004347D3" w:rsidRPr="00274021" w:rsidSect="008846BA">
          <w:pgSz w:w="11907" w:h="16840" w:code="9"/>
          <w:pgMar w:top="1418" w:right="1418" w:bottom="1701" w:left="1814" w:header="720" w:footer="720" w:gutter="0"/>
          <w:paperSrc w:first="7" w:other="7"/>
          <w:cols w:space="720"/>
          <w:noEndnote/>
        </w:sectPr>
      </w:pPr>
      <w:r>
        <w:t>a</w:t>
      </w:r>
      <w:r w:rsidR="00A978A9">
        <w:t>.</w:t>
      </w:r>
      <w:r>
        <w:t xml:space="preserve"> Between randomisation and undergoing the test 173(4%) wome</w:t>
      </w:r>
      <w:r w:rsidR="00A97E86">
        <w:t>n randomised to the CC</w:t>
      </w:r>
      <w:r>
        <w:t xml:space="preserve"> arm changed interventions as did 136</w:t>
      </w:r>
      <w:r w:rsidR="00A97E86">
        <w:t xml:space="preserve"> </w:t>
      </w:r>
      <w:r>
        <w:t>(3.2%) women origi</w:t>
      </w:r>
      <w:r w:rsidR="00A97E86">
        <w:t>nally randomised to the cell filtration</w:t>
      </w:r>
      <w:r>
        <w:t xml:space="preserve"> </w:t>
      </w:r>
      <w:proofErr w:type="gramStart"/>
      <w:r>
        <w:t>arm</w:t>
      </w:r>
      <w:proofErr w:type="gramEnd"/>
      <w:r>
        <w:t xml:space="preserve">. </w:t>
      </w:r>
      <w:r w:rsidR="00A978A9">
        <w:br/>
      </w:r>
      <w:r>
        <w:t>b</w:t>
      </w:r>
      <w:r w:rsidR="00A978A9">
        <w:t>.</w:t>
      </w:r>
      <w:r>
        <w:t xml:space="preserve"> One patien</w:t>
      </w:r>
      <w:r w:rsidR="00A97E86">
        <w:t xml:space="preserve">t from each intervention with </w:t>
      </w:r>
      <w:r>
        <w:t>cytology of HSIL+ was lost to follow up. The number of patients with a cytology reading of less than HSIL+ was no</w:t>
      </w:r>
      <w:r w:rsidR="00A97E86">
        <w:t xml:space="preserve">t reported in Obwegeser </w:t>
      </w:r>
      <w:r>
        <w:t>2001</w:t>
      </w:r>
      <w:r w:rsidR="00A978A9">
        <w:br/>
      </w:r>
      <w:r>
        <w:t>c</w:t>
      </w:r>
      <w:r w:rsidR="00A978A9">
        <w:t>.</w:t>
      </w:r>
      <w:r>
        <w:t xml:space="preserve"> Reported n for patients included in analyses. Those included in the analyses are 97.8% of the initial recr</w:t>
      </w:r>
      <w:r w:rsidR="00A97E86">
        <w:t>uitment. Whilst Ikenberg</w:t>
      </w:r>
      <w:r>
        <w:t xml:space="preserve"> report the initial recruitment number of 21,081 it is not reported if 100% of these women were randomised and if so to what arm.</w:t>
      </w:r>
      <w:r w:rsidR="00A978A9">
        <w:br/>
      </w:r>
      <w:r>
        <w:t>d</w:t>
      </w:r>
      <w:r w:rsidR="00A978A9">
        <w:t>.</w:t>
      </w:r>
      <w:r>
        <w:t xml:space="preserve"> Of the 19 HSIL cytology cases histology was available for 12 women (63%</w:t>
      </w:r>
      <w:proofErr w:type="gramStart"/>
      <w:r>
        <w:t>)</w:t>
      </w:r>
      <w:proofErr w:type="gramEnd"/>
      <w:r w:rsidR="00A978A9">
        <w:br/>
      </w:r>
      <w:r>
        <w:t>e</w:t>
      </w:r>
      <w:r w:rsidR="00A978A9">
        <w:t>.</w:t>
      </w:r>
      <w:r w:rsidR="00A97E86">
        <w:t xml:space="preserve"> Of the 16 cell filtration</w:t>
      </w:r>
      <w:r>
        <w:t xml:space="preserve"> HSIL cytology cases, histology was available for 11 women (69%) </w:t>
      </w:r>
      <w:r w:rsidR="00A978A9">
        <w:br/>
      </w:r>
      <w:r>
        <w:t>f</w:t>
      </w:r>
      <w:r w:rsidR="00A978A9">
        <w:t>.</w:t>
      </w:r>
      <w:r w:rsidR="00A97E86">
        <w:t xml:space="preserve"> For Beerman </w:t>
      </w:r>
      <w:r>
        <w:t xml:space="preserve">2009 the histology analysed represents the number of women who were followed up for histology results using the PALGA database. </w:t>
      </w:r>
      <w:r w:rsidR="00A978A9">
        <w:br/>
      </w:r>
      <w:r>
        <w:t>g</w:t>
      </w:r>
      <w:r w:rsidR="00A978A9">
        <w:t>.</w:t>
      </w:r>
      <w:r>
        <w:t xml:space="preserve"> Lost to follow up manually calculated and represents the difference in the number of women randomised and those followed up by histology</w:t>
      </w:r>
      <w:r w:rsidR="00A978A9">
        <w:br/>
      </w:r>
      <w:r>
        <w:t>h</w:t>
      </w:r>
      <w:r w:rsidR="00A978A9">
        <w:t>.</w:t>
      </w:r>
      <w:r>
        <w:t xml:space="preserve"> Representative of the number of women with histology follow-up performed</w:t>
      </w:r>
      <w:r w:rsidR="00A97E86">
        <w:t xml:space="preserve"> at 1.5 years. Strander </w:t>
      </w:r>
      <w:r>
        <w:t>2007 also presents the number of women with follow-up histology at 3years 7 months: 122 (1.38%) for the conventional arm and 84 (1.8%) for the LBC arm.</w:t>
      </w:r>
      <w:r w:rsidR="00A978A9">
        <w:br/>
      </w:r>
      <w:r>
        <w:t>i</w:t>
      </w:r>
      <w:r w:rsidR="00A978A9">
        <w:t>.</w:t>
      </w:r>
      <w:r>
        <w:t xml:space="preserve"> Representative of the number of cases included in the per protocol analysis</w:t>
      </w:r>
      <w:r w:rsidR="00A978A9">
        <w:br/>
      </w:r>
      <w:r>
        <w:t>j</w:t>
      </w:r>
      <w:r w:rsidR="00A978A9">
        <w:t>.</w:t>
      </w:r>
      <w:r>
        <w:t xml:space="preserve"> Of all the ASCUS+ cytology cases, 36.3% (480) LBC women had follow-up histology performed and 36.3%</w:t>
      </w:r>
      <w:r w:rsidR="00A97E86">
        <w:t xml:space="preserve"> </w:t>
      </w:r>
      <w:r>
        <w:t xml:space="preserve">(418) of those in the conventional arm had histological follow-up. </w:t>
      </w:r>
      <w:r w:rsidR="00A978A9">
        <w:br/>
      </w:r>
      <w:r>
        <w:t>k</w:t>
      </w:r>
      <w:r w:rsidR="00A978A9">
        <w:t>.</w:t>
      </w:r>
      <w:r>
        <w:t xml:space="preserve"> The number of women who did not have a colposcopy carried out after referral</w:t>
      </w:r>
      <w:r w:rsidR="00A978A9">
        <w:br/>
        <w:t>l.</w:t>
      </w:r>
      <w:r w:rsidR="00A97E86">
        <w:t xml:space="preserve"> </w:t>
      </w:r>
      <w:proofErr w:type="gramStart"/>
      <w:r w:rsidR="00A97E86">
        <w:t>The number of women whose col</w:t>
      </w:r>
      <w:r w:rsidR="001E4261">
        <w:t>poscopies were</w:t>
      </w:r>
      <w:r>
        <w:t xml:space="preserve"> carried out after referral</w:t>
      </w:r>
      <w:r w:rsidR="002D755B">
        <w:t>.</w:t>
      </w:r>
      <w:proofErr w:type="gramEnd"/>
      <w:r w:rsidR="004347D3">
        <w:br/>
      </w:r>
    </w:p>
    <w:p w:rsidR="004347D3" w:rsidRPr="00274021" w:rsidRDefault="004347D3" w:rsidP="00136D50">
      <w:pPr>
        <w:pStyle w:val="Heading20"/>
      </w:pPr>
      <w:bookmarkStart w:id="151" w:name="_Toc191822155"/>
      <w:bookmarkStart w:id="152" w:name="_Toc191822205"/>
      <w:bookmarkStart w:id="153" w:name="_Toc191822255"/>
      <w:bookmarkStart w:id="154" w:name="_Toc258501776"/>
      <w:bookmarkStart w:id="155" w:name="_Toc312340155"/>
      <w:bookmarkStart w:id="156" w:name="_Toc337546883"/>
      <w:r w:rsidRPr="00274021">
        <w:lastRenderedPageBreak/>
        <w:t>B.4</w:t>
      </w:r>
      <w:r w:rsidRPr="00274021">
        <w:tab/>
        <w:t>Characteristics of the direct randomised trials</w:t>
      </w:r>
      <w:bookmarkEnd w:id="151"/>
      <w:bookmarkEnd w:id="152"/>
      <w:bookmarkEnd w:id="153"/>
      <w:bookmarkEnd w:id="154"/>
      <w:bookmarkEnd w:id="155"/>
      <w:bookmarkEnd w:id="1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3"/>
      </w:tblGrid>
      <w:tr w:rsidR="00864BC9" w:rsidRPr="00791EC7" w:rsidTr="00791EC7">
        <w:tc>
          <w:tcPr>
            <w:tcW w:w="8153" w:type="dxa"/>
          </w:tcPr>
          <w:p w:rsidR="00864BC9" w:rsidRDefault="00A97E86" w:rsidP="00791EC7">
            <w:bookmarkStart w:id="157" w:name="_Toc191822156"/>
            <w:bookmarkStart w:id="158" w:name="_Toc191822206"/>
            <w:bookmarkStart w:id="159" w:name="_Toc191822256"/>
            <w:bookmarkStart w:id="160" w:name="_Toc258501777"/>
            <w:bookmarkStart w:id="161" w:name="_Toc312340156"/>
            <w:bookmarkStart w:id="162" w:name="_Toc316369900"/>
            <w:r>
              <w:br/>
            </w:r>
            <w:r w:rsidR="00FB7201">
              <w:t>All included</w:t>
            </w:r>
            <w:r w:rsidR="00864BC9" w:rsidRPr="00864BC9">
              <w:t xml:space="preserve"> trials represent a screening population and invited women generally between 23 and 65 years of age to participate. The mean age of participants ranged from 37 to 44 years of age.</w:t>
            </w:r>
            <w:r w:rsidR="00740986">
              <w:t xml:space="preserve"> </w:t>
            </w:r>
          </w:p>
          <w:p w:rsidR="00740986" w:rsidRPr="00864BC9" w:rsidRDefault="00740986" w:rsidP="00791EC7">
            <w:r>
              <w:t xml:space="preserve">The RODEO trial is unique in that it </w:t>
            </w:r>
            <w:r w:rsidR="00140CA4">
              <w:t>represents a</w:t>
            </w:r>
            <w:r>
              <w:t xml:space="preserve"> different geographical location (remote areas of Brazil) and type of health service (recruitment through mobile units).</w:t>
            </w:r>
          </w:p>
          <w:p w:rsidR="00864BC9" w:rsidRDefault="00FB7201" w:rsidP="00864BC9">
            <w:r>
              <w:t>Cytobrush or spatulas were generally</w:t>
            </w:r>
            <w:r w:rsidR="00864BC9" w:rsidRPr="00864BC9">
              <w:t xml:space="preserve"> used to collect samples</w:t>
            </w:r>
            <w:r w:rsidR="00864BC9">
              <w:t xml:space="preserve"> and </w:t>
            </w:r>
            <w:r w:rsidR="00864BC9" w:rsidRPr="00864BC9">
              <w:t xml:space="preserve">the type of tool was identical </w:t>
            </w:r>
            <w:r w:rsidR="00864BC9">
              <w:t xml:space="preserve">between the arms within </w:t>
            </w:r>
            <w:r w:rsidR="00864BC9" w:rsidRPr="00864BC9">
              <w:t>eac</w:t>
            </w:r>
            <w:r>
              <w:t xml:space="preserve">h trial except Obwegeser </w:t>
            </w:r>
            <w:r w:rsidR="00864BC9" w:rsidRPr="00864BC9">
              <w:t>2001</w:t>
            </w:r>
            <w:r w:rsidR="00864BC9">
              <w:t xml:space="preserve"> (who used a s</w:t>
            </w:r>
            <w:r w:rsidR="00864BC9" w:rsidRPr="00864BC9">
              <w:t xml:space="preserve">patula for the collection of cells for conventional slides </w:t>
            </w:r>
            <w:r>
              <w:t>and cyto</w:t>
            </w:r>
            <w:r w:rsidR="00864BC9">
              <w:t xml:space="preserve">brush </w:t>
            </w:r>
            <w:r w:rsidR="00864BC9" w:rsidRPr="00864BC9">
              <w:t>to collect cells for LBC</w:t>
            </w:r>
            <w:r w:rsidR="00864BC9">
              <w:t>)</w:t>
            </w:r>
            <w:r w:rsidR="00864BC9" w:rsidRPr="00864BC9">
              <w:t xml:space="preserve">. </w:t>
            </w:r>
          </w:p>
          <w:p w:rsidR="00864BC9" w:rsidRDefault="00864BC9" w:rsidP="00864BC9">
            <w:r>
              <w:t xml:space="preserve">For most trials the implementation of LBC was new and as such training was reportedly provided to collectors of the LBC specimen and cytology reviewers. </w:t>
            </w:r>
          </w:p>
          <w:p w:rsidR="00B95104" w:rsidRPr="00864BC9" w:rsidRDefault="00B95104" w:rsidP="00791EC7">
            <w:r>
              <w:t>Regarding manual versus automated review, there was a variety of experience in the use of the d</w:t>
            </w:r>
            <w:r w:rsidR="00FB7201">
              <w:t>ifferent systems within the labs</w:t>
            </w:r>
            <w:r>
              <w:t xml:space="preserve"> and training was provided accordingly.</w:t>
            </w:r>
          </w:p>
        </w:tc>
      </w:tr>
    </w:tbl>
    <w:p w:rsidR="009C4D0C" w:rsidRDefault="009C4D0C" w:rsidP="009C4D0C">
      <w:pPr>
        <w:pStyle w:val="Heading30"/>
      </w:pPr>
      <w:bookmarkStart w:id="163" w:name="_Toc337546884"/>
      <w:r w:rsidRPr="00274021">
        <w:t>B.4.1</w:t>
      </w:r>
      <w:r w:rsidRPr="00274021">
        <w:tab/>
        <w:t>Eligibility criteria</w:t>
      </w:r>
      <w:bookmarkEnd w:id="157"/>
      <w:bookmarkEnd w:id="158"/>
      <w:bookmarkEnd w:id="159"/>
      <w:bookmarkEnd w:id="160"/>
      <w:bookmarkEnd w:id="161"/>
      <w:bookmarkEnd w:id="162"/>
      <w:bookmarkEnd w:id="163"/>
    </w:p>
    <w:p w:rsidR="009C4D0C" w:rsidRDefault="009C4D0C" w:rsidP="009C4D0C">
      <w:r>
        <w:t xml:space="preserve">The eligibility criteria applied to the included RCTs are presented </w:t>
      </w:r>
      <w:r w:rsidR="0071102A">
        <w:t>(</w:t>
      </w:r>
      <w:r w:rsidR="00086C77">
        <w:fldChar w:fldCharType="begin"/>
      </w:r>
      <w:r w:rsidR="005B2CBE">
        <w:instrText xml:space="preserve"> REF _Ref335289356 \h </w:instrText>
      </w:r>
      <w:r w:rsidR="00086C77">
        <w:fldChar w:fldCharType="separate"/>
      </w:r>
      <w:r w:rsidR="003361A8">
        <w:t xml:space="preserve">Table </w:t>
      </w:r>
      <w:r w:rsidR="003361A8">
        <w:rPr>
          <w:noProof/>
        </w:rPr>
        <w:t>15</w:t>
      </w:r>
      <w:r w:rsidR="00086C77">
        <w:fldChar w:fldCharType="end"/>
      </w:r>
      <w:r w:rsidR="0071102A">
        <w:t>)</w:t>
      </w:r>
      <w:r w:rsidR="005B2CBE">
        <w:t>.</w:t>
      </w:r>
    </w:p>
    <w:p w:rsidR="00A9369E" w:rsidRPr="00FB7201" w:rsidRDefault="00A9369E" w:rsidP="00F145F5">
      <w:pPr>
        <w:pStyle w:val="Heading40"/>
      </w:pPr>
      <w:r w:rsidRPr="00FB7201">
        <w:t>Inclusion criteria</w:t>
      </w:r>
    </w:p>
    <w:p w:rsidR="00D60C95" w:rsidRDefault="009C4D0C" w:rsidP="009C4D0C">
      <w:r>
        <w:t xml:space="preserve">Whilst the </w:t>
      </w:r>
      <w:r w:rsidR="00FE21A6">
        <w:t xml:space="preserve">RODEO </w:t>
      </w:r>
      <w:r>
        <w:t xml:space="preserve">Study failed to mention distinct inclusion criteria, all other trials </w:t>
      </w:r>
      <w:r w:rsidR="00B052A2">
        <w:t xml:space="preserve">generally </w:t>
      </w:r>
      <w:r>
        <w:t>restricted inclusion to wo</w:t>
      </w:r>
      <w:r w:rsidR="0071102A">
        <w:t>men aged from</w:t>
      </w:r>
      <w:r w:rsidR="00FB7201">
        <w:t xml:space="preserve"> 23 to </w:t>
      </w:r>
      <w:r>
        <w:t>65</w:t>
      </w:r>
      <w:r w:rsidR="00FB7201">
        <w:t xml:space="preserve"> years</w:t>
      </w:r>
      <w:r w:rsidR="00B052A2">
        <w:t xml:space="preserve">. The RHINE-SAAR study also </w:t>
      </w:r>
      <w:r>
        <w:t>includ</w:t>
      </w:r>
      <w:r w:rsidR="00B052A2">
        <w:t>ed</w:t>
      </w:r>
      <w:r>
        <w:t xml:space="preserve"> women as young as 19</w:t>
      </w:r>
      <w:r w:rsidR="00B052A2">
        <w:t xml:space="preserve"> years</w:t>
      </w:r>
      <w:r w:rsidR="00FB7201">
        <w:t>;</w:t>
      </w:r>
      <w:r>
        <w:t xml:space="preserve"> Obwegeser 2001 includ</w:t>
      </w:r>
      <w:r w:rsidR="00B052A2">
        <w:t xml:space="preserve">ed </w:t>
      </w:r>
      <w:r>
        <w:t xml:space="preserve">women </w:t>
      </w:r>
      <w:r w:rsidR="00A9369E">
        <w:t>as young as 1</w:t>
      </w:r>
      <w:r w:rsidR="00FB7201">
        <w:t>5 years and some over</w:t>
      </w:r>
      <w:r>
        <w:t xml:space="preserve"> 70 years of age. </w:t>
      </w:r>
    </w:p>
    <w:p w:rsidR="001E6537" w:rsidRPr="00FB7201" w:rsidRDefault="00FB7201" w:rsidP="00F145F5">
      <w:pPr>
        <w:pStyle w:val="Heading40"/>
      </w:pPr>
      <w:r>
        <w:t>Clinical s</w:t>
      </w:r>
      <w:r w:rsidR="00D60C95" w:rsidRPr="00FB7201">
        <w:t>etting</w:t>
      </w:r>
    </w:p>
    <w:p w:rsidR="009C4D0C" w:rsidRDefault="001E6537" w:rsidP="009C4D0C">
      <w:r>
        <w:t xml:space="preserve">All trials included a </w:t>
      </w:r>
      <w:r w:rsidR="00A9369E">
        <w:t xml:space="preserve">cervical </w:t>
      </w:r>
      <w:r>
        <w:t>scree</w:t>
      </w:r>
      <w:r w:rsidR="00FB7201">
        <w:t xml:space="preserve">ning population; </w:t>
      </w:r>
      <w:r w:rsidR="009C4D0C">
        <w:t>Obwegeser</w:t>
      </w:r>
      <w:r w:rsidR="00FB7201">
        <w:t xml:space="preserve"> </w:t>
      </w:r>
      <w:r w:rsidR="009C4D0C">
        <w:t xml:space="preserve">2001 also </w:t>
      </w:r>
      <w:r w:rsidR="00FB7201">
        <w:t>included</w:t>
      </w:r>
      <w:r w:rsidR="009C4D0C">
        <w:t xml:space="preserve"> p</w:t>
      </w:r>
      <w:r w:rsidR="00FB7201">
        <w:t>atients who</w:t>
      </w:r>
      <w:r w:rsidR="009C4D0C">
        <w:t xml:space="preserve"> </w:t>
      </w:r>
      <w:r w:rsidR="00FB7201">
        <w:t>h</w:t>
      </w:r>
      <w:r w:rsidR="009C4D0C">
        <w:t>a</w:t>
      </w:r>
      <w:r w:rsidR="00FB7201">
        <w:t>d</w:t>
      </w:r>
      <w:r w:rsidR="009C4D0C">
        <w:t xml:space="preserve"> previous abnormal Pap smear</w:t>
      </w:r>
      <w:r w:rsidR="00FB7201">
        <w:t xml:space="preserve"> results</w:t>
      </w:r>
      <w:r w:rsidR="009C4D0C">
        <w:t>.</w:t>
      </w:r>
      <w:r w:rsidR="005B2CBE">
        <w:t xml:space="preserve"> </w:t>
      </w:r>
      <w:r w:rsidR="00740986">
        <w:t xml:space="preserve">The RODEO trial recruited women in mobile units across remote </w:t>
      </w:r>
      <w:r w:rsidR="00140CA4">
        <w:t>areas</w:t>
      </w:r>
      <w:r w:rsidR="00740986">
        <w:t xml:space="preserve"> of Brazil which represents a different geographical location and type of health service. </w:t>
      </w:r>
      <w:r w:rsidR="00FB7201">
        <w:t>Only t</w:t>
      </w:r>
      <w:r w:rsidR="009C4D0C">
        <w:t>he N</w:t>
      </w:r>
      <w:r w:rsidR="00FB7201">
        <w:t xml:space="preserve">TCC trial </w:t>
      </w:r>
      <w:r w:rsidR="009C4D0C">
        <w:t>rep</w:t>
      </w:r>
      <w:r w:rsidR="00FB7201">
        <w:t>orted exclusion criteria</w:t>
      </w:r>
      <w:r w:rsidR="009C4D0C">
        <w:t xml:space="preserve"> explicitly stating that pregnant w</w:t>
      </w:r>
      <w:r w:rsidR="00FB7201">
        <w:t xml:space="preserve">omen, women who had undergone </w:t>
      </w:r>
      <w:r w:rsidR="009C4D0C">
        <w:t xml:space="preserve">hysterectomy, those who had never had sexual intercourse or those who were recently treated for CIN (in the last 5 years) were not eligible for participation in the study. </w:t>
      </w:r>
    </w:p>
    <w:p w:rsidR="001C0D34" w:rsidRPr="00274021" w:rsidRDefault="005B2CBE" w:rsidP="005B2CBE">
      <w:pPr>
        <w:pStyle w:val="Caption"/>
      </w:pPr>
      <w:bookmarkStart w:id="164" w:name="_Ref335289356"/>
      <w:bookmarkStart w:id="165" w:name="_Toc335665981"/>
      <w:bookmarkStart w:id="166" w:name="_Toc337546952"/>
      <w:r>
        <w:lastRenderedPageBreak/>
        <w:t xml:space="preserve">Table </w:t>
      </w:r>
      <w:fldSimple w:instr=" SEQ Table \* ARABIC ">
        <w:r w:rsidR="003361A8">
          <w:rPr>
            <w:noProof/>
          </w:rPr>
          <w:t>15</w:t>
        </w:r>
      </w:fldSimple>
      <w:bookmarkEnd w:id="164"/>
      <w:r w:rsidR="001C0D34">
        <w:tab/>
      </w:r>
      <w:r w:rsidR="00334132">
        <w:t xml:space="preserve">Eligibility criteria applied to </w:t>
      </w:r>
      <w:r w:rsidR="001C0D34">
        <w:t>the included trials</w:t>
      </w:r>
      <w:bookmarkEnd w:id="165"/>
      <w:bookmarkEnd w:id="1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1"/>
        <w:gridCol w:w="5171"/>
        <w:gridCol w:w="2589"/>
      </w:tblGrid>
      <w:tr w:rsidR="009C4D0C" w:rsidRPr="00274021" w:rsidTr="00FB7201">
        <w:trPr>
          <w:cantSplit/>
          <w:tblHeader/>
        </w:trPr>
        <w:tc>
          <w:tcPr>
            <w:tcW w:w="0" w:type="auto"/>
            <w:tcBorders>
              <w:bottom w:val="single" w:sz="4" w:space="0" w:color="auto"/>
            </w:tcBorders>
          </w:tcPr>
          <w:p w:rsidR="001C0D34" w:rsidRPr="00274021" w:rsidRDefault="009C4D0C" w:rsidP="00904BA0">
            <w:pPr>
              <w:pStyle w:val="Tableheading"/>
            </w:pPr>
            <w:r w:rsidRPr="00274021">
              <w:t>Trial ID</w:t>
            </w:r>
          </w:p>
        </w:tc>
        <w:tc>
          <w:tcPr>
            <w:tcW w:w="0" w:type="auto"/>
            <w:tcBorders>
              <w:bottom w:val="single" w:sz="4" w:space="0" w:color="auto"/>
            </w:tcBorders>
          </w:tcPr>
          <w:p w:rsidR="009C4D0C" w:rsidRPr="00274021" w:rsidRDefault="009C4D0C" w:rsidP="00904BA0">
            <w:pPr>
              <w:pStyle w:val="Tableheading"/>
            </w:pPr>
            <w:r w:rsidRPr="00274021">
              <w:t>Inclusion criteria</w:t>
            </w:r>
          </w:p>
        </w:tc>
        <w:tc>
          <w:tcPr>
            <w:tcW w:w="0" w:type="auto"/>
            <w:tcBorders>
              <w:bottom w:val="single" w:sz="4" w:space="0" w:color="auto"/>
            </w:tcBorders>
          </w:tcPr>
          <w:p w:rsidR="009C4D0C" w:rsidRPr="00274021" w:rsidRDefault="009C4D0C" w:rsidP="00904BA0">
            <w:pPr>
              <w:pStyle w:val="Tableheading"/>
            </w:pPr>
            <w:r w:rsidRPr="00274021">
              <w:t>Exclusion criteria</w:t>
            </w:r>
          </w:p>
        </w:tc>
      </w:tr>
      <w:tr w:rsidR="009C4D0C" w:rsidRPr="00274021" w:rsidTr="00FB7201">
        <w:tc>
          <w:tcPr>
            <w:tcW w:w="0" w:type="auto"/>
            <w:gridSpan w:val="3"/>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FB7201" w:rsidP="00904BA0">
            <w:pPr>
              <w:pStyle w:val="Tableheading"/>
            </w:pPr>
            <w:r>
              <w:t>Cell e</w:t>
            </w:r>
            <w:r w:rsidR="009C4D0C">
              <w:t>nrichment versus C</w:t>
            </w:r>
            <w:r>
              <w:t>C</w:t>
            </w:r>
          </w:p>
        </w:tc>
      </w:tr>
      <w:tr w:rsidR="009C4D0C" w:rsidRPr="00274021" w:rsidTr="00FB7201">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Beerman 2009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Default="00FB7201" w:rsidP="00904BA0">
            <w:pPr>
              <w:pStyle w:val="Tableheading"/>
              <w:tabs>
                <w:tab w:val="left" w:pos="1125"/>
              </w:tabs>
              <w:rPr>
                <w:b w:val="0"/>
              </w:rPr>
            </w:pPr>
            <w:r>
              <w:rPr>
                <w:b w:val="0"/>
              </w:rPr>
              <w:t>Asymptomatic women aged 30–</w:t>
            </w:r>
            <w:r w:rsidR="009C4D0C">
              <w:rPr>
                <w:b w:val="0"/>
              </w:rPr>
              <w:t>60 years.</w:t>
            </w:r>
          </w:p>
          <w:p w:rsidR="009C4D0C" w:rsidRDefault="009C4D0C" w:rsidP="00904BA0">
            <w:pPr>
              <w:pStyle w:val="Tableheading"/>
              <w:tabs>
                <w:tab w:val="left" w:pos="1125"/>
              </w:tabs>
              <w:rPr>
                <w:b w:val="0"/>
              </w:rPr>
            </w:pPr>
            <w:r>
              <w:rPr>
                <w:b w:val="0"/>
              </w:rPr>
              <w:t>The women chosen were asymptomatic according to the entry criteria as assessed by the general practitioner according to a medical checklist.</w:t>
            </w:r>
          </w:p>
          <w:p w:rsidR="009C4D0C" w:rsidRDefault="009C4D0C" w:rsidP="00904BA0">
            <w:pPr>
              <w:pStyle w:val="Tableheading"/>
              <w:tabs>
                <w:tab w:val="left" w:pos="1125"/>
              </w:tabs>
              <w:rPr>
                <w:b w:val="0"/>
              </w:rPr>
            </w:pPr>
            <w:r>
              <w:rPr>
                <w:b w:val="0"/>
              </w:rPr>
              <w:t>There was no pre-selection for age or demographic distribution of adherent patient population when selecting general practitioners for participation in the trial.</w:t>
            </w:r>
          </w:p>
          <w:p w:rsidR="00B052A2" w:rsidRPr="00274021" w:rsidRDefault="00B052A2" w:rsidP="00904BA0">
            <w:pPr>
              <w:pStyle w:val="Tableheading"/>
              <w:tabs>
                <w:tab w:val="left" w:pos="1125"/>
              </w:tabs>
              <w:rPr>
                <w:b w:val="0"/>
              </w:rPr>
            </w:pPr>
            <w:r>
              <w:rPr>
                <w:b w:val="0"/>
              </w:rPr>
              <w:t>Women participating in population based screening program</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r>
      <w:tr w:rsidR="00BE5920" w:rsidRPr="00274021" w:rsidTr="00FB7201">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rsidR="00BE5920" w:rsidRPr="00BE5920" w:rsidRDefault="00FB7201" w:rsidP="00FB7201">
            <w:pPr>
              <w:pStyle w:val="Tabletext"/>
            </w:pPr>
            <w:r>
              <w:t xml:space="preserve">Source: Beerman </w:t>
            </w:r>
            <w:r w:rsidR="00BE5920">
              <w:t>2009 Materials and Methods p.573</w:t>
            </w:r>
          </w:p>
        </w:tc>
      </w:tr>
      <w:tr w:rsidR="009C4D0C" w:rsidRPr="00274021" w:rsidTr="00FB7201">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 xml:space="preserve">RODEO study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Default="009C4D0C" w:rsidP="00904BA0">
            <w:pPr>
              <w:pStyle w:val="Tableheading"/>
              <w:rPr>
                <w:b w:val="0"/>
              </w:rPr>
            </w:pPr>
            <w:r>
              <w:rPr>
                <w:b w:val="0"/>
              </w:rPr>
              <w:t>No eligibility criteria outlined</w:t>
            </w:r>
            <w:r w:rsidR="00D60C95">
              <w:rPr>
                <w:b w:val="0"/>
              </w:rPr>
              <w:t>.</w:t>
            </w:r>
          </w:p>
          <w:p w:rsidR="00D60C95" w:rsidRPr="00274021" w:rsidRDefault="00D60C95" w:rsidP="00811374">
            <w:pPr>
              <w:pStyle w:val="Tableheading"/>
              <w:rPr>
                <w:b w:val="0"/>
              </w:rPr>
            </w:pPr>
            <w:r>
              <w:rPr>
                <w:b w:val="0"/>
              </w:rPr>
              <w:t xml:space="preserve">Included </w:t>
            </w:r>
            <w:r w:rsidRPr="00D60C95">
              <w:rPr>
                <w:b w:val="0"/>
              </w:rPr>
              <w:t xml:space="preserve">women </w:t>
            </w:r>
            <w:r w:rsidR="00811374">
              <w:rPr>
                <w:b w:val="0"/>
              </w:rPr>
              <w:t>who underwent</w:t>
            </w:r>
            <w:r w:rsidRPr="00D60C95">
              <w:rPr>
                <w:b w:val="0"/>
              </w:rPr>
              <w:t xml:space="preserve"> gynaecological examination in </w:t>
            </w:r>
            <w:r>
              <w:rPr>
                <w:b w:val="0"/>
              </w:rPr>
              <w:t xml:space="preserve">prevention </w:t>
            </w:r>
            <w:r w:rsidRPr="00D60C95">
              <w:rPr>
                <w:b w:val="0"/>
              </w:rPr>
              <w:t>mobile units (MUs)</w:t>
            </w:r>
            <w:r>
              <w:rPr>
                <w:b w:val="0"/>
              </w:rPr>
              <w:t xml:space="preserve"> which covered low-risk women</w:t>
            </w:r>
            <w:r w:rsidRPr="00D60C95">
              <w:rPr>
                <w:b w:val="0"/>
              </w:rPr>
              <w:t xml:space="preserve"> in Brazilian remote rural areas</w:t>
            </w:r>
            <w:r>
              <w:rPr>
                <w:b w:val="0"/>
              </w:rPr>
              <w:t xml:space="preserve"> or in the ambulatory </w:t>
            </w:r>
            <w:r w:rsidRPr="00D60C95">
              <w:rPr>
                <w:b w:val="0"/>
              </w:rPr>
              <w:t xml:space="preserve">of </w:t>
            </w:r>
            <w:r>
              <w:rPr>
                <w:b w:val="0"/>
              </w:rPr>
              <w:t xml:space="preserve">the </w:t>
            </w:r>
            <w:r w:rsidRPr="00D60C95">
              <w:rPr>
                <w:b w:val="0"/>
              </w:rPr>
              <w:t xml:space="preserve">Barretos Cancer Hospital </w:t>
            </w:r>
            <w:r>
              <w:rPr>
                <w:b w:val="0"/>
              </w:rPr>
              <w:t>which covered high-risk women for HPV related disease</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NR</w:t>
            </w:r>
          </w:p>
        </w:tc>
      </w:tr>
      <w:tr w:rsidR="00BE5920" w:rsidRPr="00274021" w:rsidTr="00FB7201">
        <w:tc>
          <w:tcPr>
            <w:tcW w:w="0" w:type="auto"/>
            <w:gridSpan w:val="3"/>
            <w:tcBorders>
              <w:top w:val="single" w:sz="4" w:space="0" w:color="auto"/>
              <w:left w:val="single" w:sz="4" w:space="0" w:color="auto"/>
              <w:bottom w:val="single" w:sz="4" w:space="0" w:color="auto"/>
              <w:right w:val="single" w:sz="4" w:space="0" w:color="auto"/>
            </w:tcBorders>
            <w:shd w:val="clear" w:color="auto" w:fill="auto"/>
          </w:tcPr>
          <w:p w:rsidR="00BE5920" w:rsidRDefault="00BE5920" w:rsidP="00FB7201">
            <w:pPr>
              <w:pStyle w:val="Tabletext"/>
            </w:pPr>
            <w:r>
              <w:t>Source</w:t>
            </w:r>
            <w:r w:rsidR="00FB7201">
              <w:t xml:space="preserve">: Longatto-Filho 2011; Fregnani </w:t>
            </w:r>
            <w:r w:rsidRPr="001F034D">
              <w:t>2012</w:t>
            </w:r>
          </w:p>
        </w:tc>
      </w:tr>
      <w:tr w:rsidR="009C4D0C" w:rsidRPr="00274021" w:rsidTr="00FB7201">
        <w:tc>
          <w:tcPr>
            <w:tcW w:w="0" w:type="auto"/>
            <w:gridSpan w:val="3"/>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9C4D0C" w:rsidP="00904BA0">
            <w:pPr>
              <w:pStyle w:val="Tableheading"/>
            </w:pPr>
            <w:r>
              <w:t>Cell Filtration versus Conventional cytology</w:t>
            </w:r>
          </w:p>
        </w:tc>
      </w:tr>
      <w:tr w:rsidR="009C4D0C" w:rsidRPr="00274021" w:rsidTr="00FB7201">
        <w:tc>
          <w:tcPr>
            <w:tcW w:w="0" w:type="auto"/>
            <w:tcBorders>
              <w:top w:val="single" w:sz="4" w:space="0" w:color="auto"/>
            </w:tcBorders>
          </w:tcPr>
          <w:p w:rsidR="009C4D0C" w:rsidRPr="00B557B5" w:rsidRDefault="009C4D0C" w:rsidP="00904BA0">
            <w:pPr>
              <w:pStyle w:val="Tabletext"/>
            </w:pPr>
            <w:r>
              <w:t>NTCC Trial</w:t>
            </w:r>
          </w:p>
        </w:tc>
        <w:tc>
          <w:tcPr>
            <w:tcW w:w="0" w:type="auto"/>
            <w:tcBorders>
              <w:top w:val="single" w:sz="4" w:space="0" w:color="auto"/>
            </w:tcBorders>
          </w:tcPr>
          <w:p w:rsidR="009C4D0C" w:rsidRDefault="00FB7201" w:rsidP="00904BA0">
            <w:pPr>
              <w:pStyle w:val="Tabletext"/>
            </w:pPr>
            <w:r>
              <w:t>Women aged 25–</w:t>
            </w:r>
            <w:r w:rsidR="009C4D0C">
              <w:t>60</w:t>
            </w:r>
            <w:r>
              <w:t xml:space="preserve"> years</w:t>
            </w:r>
            <w:r w:rsidR="00D60C95">
              <w:t>.</w:t>
            </w:r>
          </w:p>
          <w:p w:rsidR="00D60C95" w:rsidRPr="00274021" w:rsidRDefault="00D60C95" w:rsidP="00904BA0">
            <w:pPr>
              <w:pStyle w:val="Tabletext"/>
            </w:pPr>
            <w:r>
              <w:t>Included women who are routinely invited to cervical cancer screening centres every three years</w:t>
            </w:r>
          </w:p>
        </w:tc>
        <w:tc>
          <w:tcPr>
            <w:tcW w:w="0" w:type="auto"/>
            <w:tcBorders>
              <w:top w:val="single" w:sz="4" w:space="0" w:color="auto"/>
            </w:tcBorders>
          </w:tcPr>
          <w:p w:rsidR="009C4D0C" w:rsidRPr="00274021" w:rsidRDefault="009C4D0C" w:rsidP="00904BA0">
            <w:pPr>
              <w:pStyle w:val="Tabletext"/>
            </w:pPr>
            <w:r>
              <w:t>Wo</w:t>
            </w:r>
            <w:r w:rsidR="00FB7201">
              <w:t>men who were pregnant, had undergone hysterectomy,</w:t>
            </w:r>
            <w:r>
              <w:t xml:space="preserve"> had never had sexual intercourse or were recently treated for CIN (in the last 5 years) were not eligible</w:t>
            </w:r>
          </w:p>
        </w:tc>
      </w:tr>
      <w:tr w:rsidR="00BE5920" w:rsidRPr="00FB7201" w:rsidTr="00FB7201">
        <w:tc>
          <w:tcPr>
            <w:tcW w:w="0" w:type="auto"/>
            <w:gridSpan w:val="3"/>
            <w:tcBorders>
              <w:top w:val="single" w:sz="4" w:space="0" w:color="auto"/>
            </w:tcBorders>
          </w:tcPr>
          <w:p w:rsidR="00BE5920" w:rsidRPr="00FB7201" w:rsidRDefault="00BE5920" w:rsidP="00FB7201">
            <w:pPr>
              <w:pStyle w:val="Tabletext"/>
            </w:pPr>
            <w:r w:rsidRPr="00FB7201">
              <w:t>Source:</w:t>
            </w:r>
            <w:r w:rsidR="00FB7201">
              <w:t xml:space="preserve"> Ronco </w:t>
            </w:r>
            <w:r w:rsidRPr="00FB7201">
              <w:t>2007 Methods p.2</w:t>
            </w:r>
          </w:p>
        </w:tc>
      </w:tr>
      <w:tr w:rsidR="009C4D0C" w:rsidRPr="00274021" w:rsidTr="00FB7201">
        <w:tc>
          <w:tcPr>
            <w:tcW w:w="0" w:type="auto"/>
            <w:tcBorders>
              <w:top w:val="single" w:sz="4" w:space="0" w:color="auto"/>
              <w:bottom w:val="single" w:sz="4" w:space="0" w:color="auto"/>
            </w:tcBorders>
          </w:tcPr>
          <w:p w:rsidR="009C4D0C" w:rsidRPr="00B557B5" w:rsidRDefault="009C4D0C" w:rsidP="00904BA0">
            <w:pPr>
              <w:pStyle w:val="Tabletext"/>
            </w:pPr>
            <w:r>
              <w:t>NETHCON trial</w:t>
            </w:r>
          </w:p>
        </w:tc>
        <w:tc>
          <w:tcPr>
            <w:tcW w:w="0" w:type="auto"/>
            <w:tcBorders>
              <w:top w:val="single" w:sz="4" w:space="0" w:color="auto"/>
              <w:bottom w:val="single" w:sz="4" w:space="0" w:color="auto"/>
            </w:tcBorders>
          </w:tcPr>
          <w:p w:rsidR="009C4D0C" w:rsidRDefault="00FB7201" w:rsidP="00904BA0">
            <w:pPr>
              <w:pStyle w:val="Tabletext"/>
            </w:pPr>
            <w:r>
              <w:t>Women aged 30–</w:t>
            </w:r>
            <w:r w:rsidR="009C4D0C">
              <w:t>60</w:t>
            </w:r>
            <w:r>
              <w:t xml:space="preserve"> years</w:t>
            </w:r>
            <w:r w:rsidR="00D60C95">
              <w:t>.</w:t>
            </w:r>
          </w:p>
          <w:p w:rsidR="00D60C95" w:rsidRPr="00274021" w:rsidRDefault="00D60C95" w:rsidP="00D60C95">
            <w:pPr>
              <w:pStyle w:val="Tabletext"/>
            </w:pPr>
            <w:r>
              <w:t>Included women who are routinely invited to cervical cancer screening program every five years by a family physician</w:t>
            </w:r>
          </w:p>
        </w:tc>
        <w:tc>
          <w:tcPr>
            <w:tcW w:w="0" w:type="auto"/>
            <w:tcBorders>
              <w:top w:val="single" w:sz="4" w:space="0" w:color="auto"/>
              <w:bottom w:val="single" w:sz="4" w:space="0" w:color="auto"/>
            </w:tcBorders>
          </w:tcPr>
          <w:p w:rsidR="009C4D0C" w:rsidRPr="00274021" w:rsidRDefault="009C4D0C" w:rsidP="00904BA0">
            <w:pPr>
              <w:pStyle w:val="Tabletext"/>
            </w:pPr>
            <w:r>
              <w:t>NR</w:t>
            </w:r>
          </w:p>
        </w:tc>
      </w:tr>
      <w:tr w:rsidR="00BE5920" w:rsidRPr="00FB7201" w:rsidTr="00FB7201">
        <w:tc>
          <w:tcPr>
            <w:tcW w:w="0" w:type="auto"/>
            <w:gridSpan w:val="3"/>
            <w:tcBorders>
              <w:top w:val="single" w:sz="4" w:space="0" w:color="auto"/>
              <w:bottom w:val="single" w:sz="4" w:space="0" w:color="auto"/>
            </w:tcBorders>
          </w:tcPr>
          <w:p w:rsidR="00BE5920" w:rsidRPr="00FB7201" w:rsidRDefault="00BE5920" w:rsidP="00FB7201">
            <w:pPr>
              <w:pStyle w:val="Tabletext"/>
            </w:pPr>
            <w:r w:rsidRPr="00FB7201">
              <w:t>Source:</w:t>
            </w:r>
            <w:r w:rsidR="00FB7201">
              <w:t xml:space="preserve"> Siebers </w:t>
            </w:r>
            <w:r w:rsidRPr="00FB7201">
              <w:t>2009 Methods p.1758</w:t>
            </w:r>
          </w:p>
        </w:tc>
      </w:tr>
      <w:tr w:rsidR="009C4D0C" w:rsidRPr="00274021" w:rsidTr="00FB7201">
        <w:tc>
          <w:tcPr>
            <w:tcW w:w="0" w:type="auto"/>
            <w:tcBorders>
              <w:top w:val="single" w:sz="4" w:space="0" w:color="auto"/>
              <w:bottom w:val="single" w:sz="4" w:space="0" w:color="auto"/>
            </w:tcBorders>
          </w:tcPr>
          <w:p w:rsidR="009C4D0C" w:rsidRPr="00B557B5" w:rsidRDefault="009C4D0C" w:rsidP="00904BA0">
            <w:pPr>
              <w:pStyle w:val="Tabletext"/>
            </w:pPr>
            <w:r w:rsidRPr="00B557B5">
              <w:t>Strander 2007</w:t>
            </w:r>
          </w:p>
        </w:tc>
        <w:tc>
          <w:tcPr>
            <w:tcW w:w="0" w:type="auto"/>
            <w:tcBorders>
              <w:top w:val="single" w:sz="4" w:space="0" w:color="auto"/>
              <w:bottom w:val="single" w:sz="4" w:space="0" w:color="auto"/>
            </w:tcBorders>
          </w:tcPr>
          <w:p w:rsidR="009C4D0C" w:rsidRPr="00274021" w:rsidRDefault="009C4D0C" w:rsidP="00904BA0">
            <w:pPr>
              <w:pStyle w:val="Tabletext"/>
            </w:pPr>
            <w:r>
              <w:t>Women aged 23 to 50 years are invited to undergo cervical screening every third year and at ages 55 and 60</w:t>
            </w:r>
            <w:r w:rsidR="00FB7201">
              <w:t xml:space="preserve"> years</w:t>
            </w:r>
          </w:p>
        </w:tc>
        <w:tc>
          <w:tcPr>
            <w:tcW w:w="0" w:type="auto"/>
            <w:tcBorders>
              <w:top w:val="single" w:sz="4" w:space="0" w:color="auto"/>
              <w:bottom w:val="single" w:sz="4" w:space="0" w:color="auto"/>
            </w:tcBorders>
          </w:tcPr>
          <w:p w:rsidR="009C4D0C" w:rsidRPr="00274021" w:rsidRDefault="009C4D0C" w:rsidP="00904BA0">
            <w:pPr>
              <w:pStyle w:val="Tabletext"/>
            </w:pPr>
            <w:r>
              <w:t>NR</w:t>
            </w:r>
          </w:p>
        </w:tc>
      </w:tr>
      <w:tr w:rsidR="00BE5920" w:rsidRPr="00FB7201" w:rsidTr="00FB7201">
        <w:tc>
          <w:tcPr>
            <w:tcW w:w="0" w:type="auto"/>
            <w:gridSpan w:val="3"/>
            <w:tcBorders>
              <w:top w:val="single" w:sz="4" w:space="0" w:color="auto"/>
              <w:bottom w:val="single" w:sz="4" w:space="0" w:color="auto"/>
            </w:tcBorders>
          </w:tcPr>
          <w:p w:rsidR="00BE5920" w:rsidRPr="00FB7201" w:rsidRDefault="00BE5920" w:rsidP="00FB7201">
            <w:pPr>
              <w:pStyle w:val="Tabletext"/>
            </w:pPr>
            <w:r w:rsidRPr="00FB7201">
              <w:t>Source:</w:t>
            </w:r>
            <w:r w:rsidR="00FB7201">
              <w:t xml:space="preserve"> Strander </w:t>
            </w:r>
            <w:r w:rsidRPr="00FB7201">
              <w:t>2007 Materials and methods p.286</w:t>
            </w:r>
          </w:p>
        </w:tc>
      </w:tr>
      <w:tr w:rsidR="009C4D0C" w:rsidRPr="00274021" w:rsidTr="00FB7201">
        <w:tc>
          <w:tcPr>
            <w:tcW w:w="0" w:type="auto"/>
            <w:tcBorders>
              <w:top w:val="single" w:sz="4" w:space="0" w:color="auto"/>
              <w:bottom w:val="single" w:sz="4" w:space="0" w:color="auto"/>
            </w:tcBorders>
          </w:tcPr>
          <w:p w:rsidR="009C4D0C" w:rsidRPr="00B557B5" w:rsidRDefault="009C4D0C" w:rsidP="00904BA0">
            <w:pPr>
              <w:pStyle w:val="Tabletext"/>
            </w:pPr>
            <w:r w:rsidRPr="00B557B5">
              <w:t>Mac</w:t>
            </w:r>
            <w:r>
              <w:t>c</w:t>
            </w:r>
            <w:r w:rsidRPr="00B557B5">
              <w:t>allini 2008</w:t>
            </w:r>
          </w:p>
        </w:tc>
        <w:tc>
          <w:tcPr>
            <w:tcW w:w="0" w:type="auto"/>
            <w:tcBorders>
              <w:top w:val="single" w:sz="4" w:space="0" w:color="auto"/>
              <w:bottom w:val="single" w:sz="4" w:space="0" w:color="auto"/>
            </w:tcBorders>
          </w:tcPr>
          <w:p w:rsidR="009C4D0C" w:rsidRDefault="00FB7201" w:rsidP="00904BA0">
            <w:pPr>
              <w:pStyle w:val="Tabletext"/>
            </w:pPr>
            <w:r>
              <w:t>Women aged 26–</w:t>
            </w:r>
            <w:r w:rsidR="009C4D0C">
              <w:t>64</w:t>
            </w:r>
            <w:r>
              <w:t xml:space="preserve"> years</w:t>
            </w:r>
          </w:p>
          <w:p w:rsidR="00D60C95" w:rsidRPr="00274021" w:rsidRDefault="00D60C95" w:rsidP="00055224">
            <w:pPr>
              <w:pStyle w:val="Tabletext"/>
            </w:pPr>
            <w:r>
              <w:t xml:space="preserve">Included women who were invited </w:t>
            </w:r>
            <w:r w:rsidR="00055224">
              <w:t xml:space="preserve">for </w:t>
            </w:r>
            <w:r>
              <w:t xml:space="preserve">cervical cancer screening </w:t>
            </w:r>
            <w:r w:rsidR="00055224">
              <w:t xml:space="preserve">at one of 16 smear taking units across 2 existing and 1 new </w:t>
            </w:r>
            <w:r>
              <w:t>program</w:t>
            </w:r>
            <w:r w:rsidR="00055224">
              <w:t xml:space="preserve"> in Italy</w:t>
            </w:r>
          </w:p>
        </w:tc>
        <w:tc>
          <w:tcPr>
            <w:tcW w:w="0" w:type="auto"/>
            <w:tcBorders>
              <w:top w:val="single" w:sz="4" w:space="0" w:color="auto"/>
              <w:bottom w:val="single" w:sz="4" w:space="0" w:color="auto"/>
            </w:tcBorders>
          </w:tcPr>
          <w:p w:rsidR="009C4D0C" w:rsidRPr="00274021" w:rsidRDefault="009C4D0C" w:rsidP="00904BA0">
            <w:pPr>
              <w:pStyle w:val="Tabletext"/>
            </w:pPr>
            <w:r>
              <w:t>NR</w:t>
            </w:r>
          </w:p>
        </w:tc>
      </w:tr>
      <w:tr w:rsidR="00BE5920" w:rsidRPr="00FB7201" w:rsidTr="00FB7201">
        <w:tc>
          <w:tcPr>
            <w:tcW w:w="0" w:type="auto"/>
            <w:gridSpan w:val="3"/>
            <w:tcBorders>
              <w:top w:val="single" w:sz="4" w:space="0" w:color="auto"/>
              <w:bottom w:val="single" w:sz="4" w:space="0" w:color="auto"/>
            </w:tcBorders>
          </w:tcPr>
          <w:p w:rsidR="00BE5920" w:rsidRPr="00FB7201" w:rsidRDefault="00BE5920" w:rsidP="00FB7201">
            <w:pPr>
              <w:pStyle w:val="Tabletext"/>
            </w:pPr>
            <w:r w:rsidRPr="00FB7201">
              <w:t>Source:</w:t>
            </w:r>
            <w:r w:rsidR="00FB7201">
              <w:t xml:space="preserve"> Maccallini </w:t>
            </w:r>
            <w:r w:rsidRPr="00FB7201">
              <w:t>2008 Materials and methods p.569</w:t>
            </w:r>
          </w:p>
        </w:tc>
      </w:tr>
      <w:tr w:rsidR="009C4D0C" w:rsidRPr="00274021" w:rsidTr="00FB7201">
        <w:tc>
          <w:tcPr>
            <w:tcW w:w="0" w:type="auto"/>
            <w:tcBorders>
              <w:top w:val="single" w:sz="4" w:space="0" w:color="auto"/>
              <w:bottom w:val="single" w:sz="4" w:space="0" w:color="auto"/>
            </w:tcBorders>
          </w:tcPr>
          <w:p w:rsidR="009C4D0C" w:rsidRPr="00B557B5" w:rsidRDefault="009C4D0C" w:rsidP="00904BA0">
            <w:pPr>
              <w:pStyle w:val="Tabletext"/>
            </w:pPr>
            <w:r w:rsidRPr="00AF6012">
              <w:t>Obwegeser 2001</w:t>
            </w:r>
          </w:p>
        </w:tc>
        <w:tc>
          <w:tcPr>
            <w:tcW w:w="0" w:type="auto"/>
            <w:tcBorders>
              <w:top w:val="single" w:sz="4" w:space="0" w:color="auto"/>
              <w:bottom w:val="single" w:sz="4" w:space="0" w:color="auto"/>
            </w:tcBorders>
          </w:tcPr>
          <w:p w:rsidR="009C4D0C" w:rsidRDefault="00FD6C32" w:rsidP="00904BA0">
            <w:pPr>
              <w:pStyle w:val="Tabletext"/>
            </w:pPr>
            <w:r>
              <w:t xml:space="preserve">Age distribution 15– </w:t>
            </w:r>
            <w:r w:rsidR="009C4D0C">
              <w:t>&gt;</w:t>
            </w:r>
            <w:r>
              <w:t xml:space="preserve"> </w:t>
            </w:r>
            <w:r w:rsidR="009C4D0C">
              <w:t>70 years</w:t>
            </w:r>
          </w:p>
          <w:p w:rsidR="00055224" w:rsidRPr="00274021" w:rsidRDefault="00055224" w:rsidP="00904BA0">
            <w:pPr>
              <w:pStyle w:val="Tabletext"/>
            </w:pPr>
            <w:r>
              <w:t xml:space="preserve">Women visiting 15 gynaecologists in private practice </w:t>
            </w:r>
            <w:r w:rsidR="001E6537">
              <w:t xml:space="preserve">for a pap smear </w:t>
            </w:r>
            <w:r>
              <w:t>were invited to participate. Patients with a previous abnormal Pap smear were included in the study</w:t>
            </w:r>
          </w:p>
        </w:tc>
        <w:tc>
          <w:tcPr>
            <w:tcW w:w="0" w:type="auto"/>
            <w:tcBorders>
              <w:top w:val="single" w:sz="4" w:space="0" w:color="auto"/>
              <w:bottom w:val="single" w:sz="4" w:space="0" w:color="auto"/>
            </w:tcBorders>
          </w:tcPr>
          <w:p w:rsidR="009C4D0C" w:rsidRPr="00274021" w:rsidRDefault="009C4D0C" w:rsidP="00904BA0">
            <w:pPr>
              <w:pStyle w:val="Tabletext"/>
            </w:pPr>
            <w:r>
              <w:t>NR</w:t>
            </w:r>
          </w:p>
        </w:tc>
      </w:tr>
      <w:tr w:rsidR="00BE5920" w:rsidRPr="00FB7201" w:rsidTr="00FB7201">
        <w:tc>
          <w:tcPr>
            <w:tcW w:w="0" w:type="auto"/>
            <w:gridSpan w:val="3"/>
            <w:tcBorders>
              <w:top w:val="single" w:sz="4" w:space="0" w:color="auto"/>
              <w:bottom w:val="single" w:sz="4" w:space="0" w:color="auto"/>
            </w:tcBorders>
          </w:tcPr>
          <w:p w:rsidR="00BE5920" w:rsidRPr="00FB7201" w:rsidRDefault="00BE5920" w:rsidP="00FB7201">
            <w:pPr>
              <w:pStyle w:val="Tabletext"/>
            </w:pPr>
            <w:r w:rsidRPr="00FB7201">
              <w:t>Source:</w:t>
            </w:r>
            <w:r w:rsidR="00FB7201">
              <w:t xml:space="preserve"> Obwegeser </w:t>
            </w:r>
            <w:r w:rsidRPr="00FB7201">
              <w:t>2001</w:t>
            </w:r>
            <w:r w:rsidR="00FB7201">
              <w:t>Materials and methods p.710 and</w:t>
            </w:r>
            <w:r w:rsidR="001E4261">
              <w:t xml:space="preserve"> </w:t>
            </w:r>
            <w:r w:rsidR="00FB7201">
              <w:t>F</w:t>
            </w:r>
            <w:r w:rsidR="00CF34F9" w:rsidRPr="00FB7201">
              <w:t>igure 2 p.711</w:t>
            </w:r>
          </w:p>
        </w:tc>
      </w:tr>
      <w:tr w:rsidR="009C4D0C" w:rsidRPr="00274021" w:rsidTr="001E4261">
        <w:trPr>
          <w:cantSplit/>
        </w:trPr>
        <w:tc>
          <w:tcPr>
            <w:tcW w:w="0" w:type="auto"/>
            <w:tcBorders>
              <w:top w:val="single" w:sz="4" w:space="0" w:color="auto"/>
              <w:bottom w:val="single" w:sz="4" w:space="0" w:color="auto"/>
            </w:tcBorders>
          </w:tcPr>
          <w:p w:rsidR="009C4D0C" w:rsidRPr="00B557B5" w:rsidRDefault="009C4D0C" w:rsidP="00904BA0">
            <w:pPr>
              <w:pStyle w:val="Tabletext"/>
            </w:pPr>
            <w:r>
              <w:lastRenderedPageBreak/>
              <w:t>RHINE-SAAR study</w:t>
            </w:r>
          </w:p>
        </w:tc>
        <w:tc>
          <w:tcPr>
            <w:tcW w:w="0" w:type="auto"/>
            <w:tcBorders>
              <w:top w:val="single" w:sz="4" w:space="0" w:color="auto"/>
              <w:bottom w:val="single" w:sz="4" w:space="0" w:color="auto"/>
            </w:tcBorders>
          </w:tcPr>
          <w:p w:rsidR="009C4D0C" w:rsidRDefault="009C4D0C" w:rsidP="00904BA0">
            <w:pPr>
              <w:pStyle w:val="Tabletext"/>
            </w:pPr>
            <w:r>
              <w:t>Women aged 19 years or older</w:t>
            </w:r>
          </w:p>
          <w:p w:rsidR="00E232E5" w:rsidRPr="00274021" w:rsidRDefault="00E232E5" w:rsidP="00E232E5">
            <w:pPr>
              <w:pStyle w:val="Tabletext"/>
            </w:pPr>
            <w:r>
              <w:t>Included women attending routine cervica</w:t>
            </w:r>
            <w:r w:rsidR="00FD6C32">
              <w:t>l cancer screening at 20 office-</w:t>
            </w:r>
            <w:r>
              <w:t>based gynaecologists. Note: Authors quote that Germany does not have an organised cervical screening program but three year participation rates are equal that in Great Britain</w:t>
            </w:r>
          </w:p>
        </w:tc>
        <w:tc>
          <w:tcPr>
            <w:tcW w:w="0" w:type="auto"/>
            <w:tcBorders>
              <w:top w:val="single" w:sz="4" w:space="0" w:color="auto"/>
              <w:bottom w:val="single" w:sz="4" w:space="0" w:color="auto"/>
            </w:tcBorders>
          </w:tcPr>
          <w:p w:rsidR="009C4D0C" w:rsidRPr="00274021" w:rsidRDefault="009C4D0C" w:rsidP="00904BA0">
            <w:pPr>
              <w:pStyle w:val="Tabletext"/>
            </w:pPr>
            <w:r>
              <w:t>NR</w:t>
            </w:r>
          </w:p>
        </w:tc>
      </w:tr>
      <w:tr w:rsidR="00BE5920" w:rsidRPr="00FB7201" w:rsidTr="00FB7201">
        <w:tc>
          <w:tcPr>
            <w:tcW w:w="0" w:type="auto"/>
            <w:gridSpan w:val="3"/>
            <w:tcBorders>
              <w:top w:val="single" w:sz="4" w:space="0" w:color="auto"/>
              <w:bottom w:val="single" w:sz="4" w:space="0" w:color="auto"/>
            </w:tcBorders>
          </w:tcPr>
          <w:p w:rsidR="00BE5920" w:rsidRPr="00FB7201" w:rsidRDefault="00BE5920" w:rsidP="00FB7201">
            <w:pPr>
              <w:pStyle w:val="Tabletext"/>
            </w:pPr>
            <w:r w:rsidRPr="00FB7201">
              <w:t>Source:</w:t>
            </w:r>
            <w:r w:rsidR="00FB7201">
              <w:t xml:space="preserve"> Ikenberg </w:t>
            </w:r>
            <w:r w:rsidR="00A3684A" w:rsidRPr="00FB7201">
              <w:t>2010a</w:t>
            </w:r>
            <w:r w:rsidR="003F3F65" w:rsidRPr="00FB7201">
              <w:t>,</w:t>
            </w:r>
            <w:r w:rsidR="00FB7201">
              <w:t>b,c;</w:t>
            </w:r>
            <w:r w:rsidR="00A3684A" w:rsidRPr="00FB7201">
              <w:t xml:space="preserve"> 2011 a,b</w:t>
            </w:r>
          </w:p>
        </w:tc>
      </w:tr>
      <w:tr w:rsidR="009C4D0C" w:rsidRPr="00274021" w:rsidTr="00FB7201">
        <w:tc>
          <w:tcPr>
            <w:tcW w:w="0" w:type="auto"/>
            <w:gridSpan w:val="3"/>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FB7201" w:rsidP="00904BA0">
            <w:pPr>
              <w:pStyle w:val="Tabletext"/>
              <w:rPr>
                <w:b/>
              </w:rPr>
            </w:pPr>
            <w:r>
              <w:rPr>
                <w:b/>
              </w:rPr>
              <w:t>Manual versus a</w:t>
            </w:r>
            <w:r w:rsidR="009C4D0C">
              <w:rPr>
                <w:b/>
              </w:rPr>
              <w:t>utomated cytology</w:t>
            </w:r>
          </w:p>
        </w:tc>
      </w:tr>
      <w:tr w:rsidR="009C4D0C" w:rsidRPr="00274021" w:rsidTr="00FB7201">
        <w:tc>
          <w:tcPr>
            <w:tcW w:w="0" w:type="auto"/>
          </w:tcPr>
          <w:p w:rsidR="009C4D0C" w:rsidRPr="00274021" w:rsidRDefault="009C4D0C" w:rsidP="00904BA0">
            <w:pPr>
              <w:pStyle w:val="Tabletext"/>
            </w:pPr>
            <w:r>
              <w:t>MAVARIC</w:t>
            </w:r>
          </w:p>
        </w:tc>
        <w:tc>
          <w:tcPr>
            <w:tcW w:w="0" w:type="auto"/>
          </w:tcPr>
          <w:p w:rsidR="009C4D0C" w:rsidRDefault="009C4D0C" w:rsidP="00904BA0">
            <w:pPr>
              <w:pStyle w:val="Tabletext"/>
            </w:pPr>
            <w:r>
              <w:t>Women aged 25-64 years</w:t>
            </w:r>
          </w:p>
          <w:p w:rsidR="00811374" w:rsidRDefault="00811374" w:rsidP="00811374">
            <w:pPr>
              <w:pStyle w:val="Tabletext"/>
            </w:pPr>
            <w:r>
              <w:t>Included women attending screening within general practices, family planning clinics and colposcopy clinics.</w:t>
            </w:r>
          </w:p>
          <w:p w:rsidR="009C4D0C" w:rsidRPr="00274021" w:rsidRDefault="009C4D0C" w:rsidP="00904BA0">
            <w:pPr>
              <w:pStyle w:val="Tabletext"/>
            </w:pPr>
            <w:r>
              <w:t>Fewer samples were obtained from women aged</w:t>
            </w:r>
            <w:r w:rsidR="00FD6C32">
              <w:t xml:space="preserve"> 45–64 years (21,</w:t>
            </w:r>
            <w:r>
              <w:t xml:space="preserve">231; 29·1%) than were obtained </w:t>
            </w:r>
            <w:r w:rsidR="00FD6C32">
              <w:t>from women aged 25–44 years (47,</w:t>
            </w:r>
            <w:r>
              <w:t>987; 65·7%) because women aged 50–64 years are invited every 5 years for screening, whereas women aged 25–49 years are invited every 3 years. In real life, some women outside these age ranges are screened, and exclusion of these samples was felt to be inappropriate. There were 3619 (5·0%) slides from women outside the screening age range; 3103 from women aged less than 25 years and 606 from women aged 65 years or older</w:t>
            </w:r>
          </w:p>
        </w:tc>
        <w:tc>
          <w:tcPr>
            <w:tcW w:w="0" w:type="auto"/>
          </w:tcPr>
          <w:p w:rsidR="009C4D0C" w:rsidRPr="00274021" w:rsidRDefault="009C4D0C" w:rsidP="00904BA0">
            <w:pPr>
              <w:pStyle w:val="Tabletext"/>
            </w:pPr>
            <w:r>
              <w:t>NR</w:t>
            </w:r>
          </w:p>
        </w:tc>
      </w:tr>
      <w:tr w:rsidR="00BE5920" w:rsidRPr="00FB7201" w:rsidTr="00FB7201">
        <w:tc>
          <w:tcPr>
            <w:tcW w:w="0" w:type="auto"/>
            <w:gridSpan w:val="3"/>
          </w:tcPr>
          <w:p w:rsidR="00BE5920" w:rsidRPr="00FB7201" w:rsidRDefault="00BE5920" w:rsidP="00FB7201">
            <w:pPr>
              <w:pStyle w:val="Tabletext"/>
            </w:pPr>
            <w:r w:rsidRPr="00FB7201">
              <w:t>Source:</w:t>
            </w:r>
            <w:r w:rsidR="00FB7201">
              <w:t xml:space="preserve"> Kitchener </w:t>
            </w:r>
            <w:r w:rsidR="005F7447" w:rsidRPr="00FB7201">
              <w:t>2011 Methods p.57 and Results p.60</w:t>
            </w:r>
          </w:p>
        </w:tc>
      </w:tr>
      <w:tr w:rsidR="009C4D0C" w:rsidRPr="00274021" w:rsidTr="00FB7201">
        <w:tc>
          <w:tcPr>
            <w:tcW w:w="0" w:type="auto"/>
          </w:tcPr>
          <w:p w:rsidR="009C4D0C" w:rsidRDefault="009C4D0C" w:rsidP="00904BA0">
            <w:pPr>
              <w:pStyle w:val="Tabletext"/>
            </w:pPr>
            <w:r>
              <w:t>Palmer</w:t>
            </w:r>
          </w:p>
        </w:tc>
        <w:tc>
          <w:tcPr>
            <w:tcW w:w="0" w:type="auto"/>
          </w:tcPr>
          <w:p w:rsidR="009C4D0C" w:rsidRDefault="00FB7201" w:rsidP="00904BA0">
            <w:pPr>
              <w:pStyle w:val="Tabletext"/>
            </w:pPr>
            <w:r>
              <w:t>Women aged 20–</w:t>
            </w:r>
            <w:r w:rsidR="009C4D0C">
              <w:t>60</w:t>
            </w:r>
            <w:r>
              <w:t xml:space="preserve"> years</w:t>
            </w:r>
          </w:p>
          <w:p w:rsidR="00811374" w:rsidRDefault="001E6537" w:rsidP="00904BA0">
            <w:pPr>
              <w:pStyle w:val="Tabletext"/>
            </w:pPr>
            <w:r>
              <w:t>Samp</w:t>
            </w:r>
            <w:r w:rsidR="00FB7201">
              <w:t>les were all screening program</w:t>
            </w:r>
            <w:r>
              <w:t xml:space="preserve"> LBC preparations</w:t>
            </w:r>
          </w:p>
        </w:tc>
        <w:tc>
          <w:tcPr>
            <w:tcW w:w="0" w:type="auto"/>
          </w:tcPr>
          <w:p w:rsidR="009C4D0C" w:rsidRPr="00274021" w:rsidRDefault="009C4D0C" w:rsidP="00904BA0">
            <w:pPr>
              <w:pStyle w:val="Tabletext"/>
            </w:pPr>
            <w:r>
              <w:t>NR</w:t>
            </w:r>
          </w:p>
        </w:tc>
      </w:tr>
      <w:tr w:rsidR="00BE5920" w:rsidRPr="00FB7201" w:rsidTr="00FB7201">
        <w:tc>
          <w:tcPr>
            <w:tcW w:w="0" w:type="auto"/>
            <w:gridSpan w:val="3"/>
          </w:tcPr>
          <w:p w:rsidR="00BE5920" w:rsidRPr="00FB7201" w:rsidRDefault="00BE5920" w:rsidP="00FB7201">
            <w:pPr>
              <w:pStyle w:val="Tabletext"/>
            </w:pPr>
            <w:r w:rsidRPr="00FB7201">
              <w:t>Source:</w:t>
            </w:r>
            <w:r w:rsidR="00AB79D3">
              <w:t xml:space="preserve"> Palmer </w:t>
            </w:r>
            <w:r w:rsidR="005C35F4" w:rsidRPr="00FB7201">
              <w:t>2012 Methods p.2 and Discussion p.8</w:t>
            </w:r>
          </w:p>
        </w:tc>
      </w:tr>
    </w:tbl>
    <w:p w:rsidR="009C4D0C" w:rsidRDefault="009C4D0C" w:rsidP="00F145F5">
      <w:pPr>
        <w:pStyle w:val="Tabletext"/>
      </w:pPr>
      <w:bookmarkStart w:id="167" w:name="_Toc191822157"/>
      <w:bookmarkStart w:id="168" w:name="_Toc191822207"/>
      <w:bookmarkStart w:id="169" w:name="_Toc191822257"/>
      <w:bookmarkStart w:id="170" w:name="_Toc258501778"/>
      <w:bookmarkStart w:id="171" w:name="_Toc312340157"/>
      <w:r w:rsidRPr="00FD6C32">
        <w:t xml:space="preserve">Abbreviations: </w:t>
      </w:r>
      <w:r w:rsidR="00FD6C32">
        <w:t xml:space="preserve">CC, conventional cytology; CIN, cervical intraepithelial neoplasia; HPV, human papillomavirus; </w:t>
      </w:r>
      <w:r w:rsidRPr="00FD6C32">
        <w:t>NR, not reported</w:t>
      </w:r>
    </w:p>
    <w:p w:rsidR="009C4D0C" w:rsidRPr="00274021" w:rsidRDefault="009C4D0C" w:rsidP="009C4D0C">
      <w:pPr>
        <w:pStyle w:val="Heading30"/>
      </w:pPr>
      <w:bookmarkStart w:id="172" w:name="_Toc316369901"/>
      <w:bookmarkStart w:id="173" w:name="_Toc337546885"/>
      <w:r w:rsidRPr="00274021">
        <w:t>B.4.2</w:t>
      </w:r>
      <w:r w:rsidRPr="00274021">
        <w:tab/>
        <w:t>Patient baseline characteristics</w:t>
      </w:r>
      <w:bookmarkEnd w:id="167"/>
      <w:bookmarkEnd w:id="168"/>
      <w:bookmarkEnd w:id="169"/>
      <w:bookmarkEnd w:id="170"/>
      <w:bookmarkEnd w:id="171"/>
      <w:bookmarkEnd w:id="172"/>
      <w:bookmarkEnd w:id="173"/>
    </w:p>
    <w:p w:rsidR="009C4D0C" w:rsidRDefault="00464DC4" w:rsidP="009C4D0C">
      <w:r>
        <w:t>P</w:t>
      </w:r>
      <w:r w:rsidR="009C4D0C">
        <w:t xml:space="preserve">atient baseline characteristics were </w:t>
      </w:r>
      <w:r>
        <w:t xml:space="preserve">not </w:t>
      </w:r>
      <w:r w:rsidR="009C4D0C">
        <w:t xml:space="preserve">reported in the RODEO Study, the RHINE-SAAR Study, or Palmer 2012. The age of participants was reported in the remaining studies in addition to the mean Townsend deprivation scores in the MAVARIC study. These baseline characteristics are presented in </w:t>
      </w:r>
      <w:r w:rsidR="00086C77">
        <w:fldChar w:fldCharType="begin"/>
      </w:r>
      <w:r w:rsidR="009C4D0C">
        <w:instrText xml:space="preserve"> REF _Ref167248249 \h </w:instrText>
      </w:r>
      <w:r w:rsidR="00086C77">
        <w:fldChar w:fldCharType="separate"/>
      </w:r>
      <w:r w:rsidR="003361A8" w:rsidRPr="00274021">
        <w:t xml:space="preserve">Table </w:t>
      </w:r>
      <w:r w:rsidR="003361A8">
        <w:rPr>
          <w:noProof/>
        </w:rPr>
        <w:t>16</w:t>
      </w:r>
      <w:r w:rsidR="00086C77">
        <w:fldChar w:fldCharType="end"/>
      </w:r>
      <w:r w:rsidR="009C4D0C">
        <w:t xml:space="preserve">. </w:t>
      </w:r>
    </w:p>
    <w:p w:rsidR="00464DC4" w:rsidRPr="00AB79D3" w:rsidRDefault="00464DC4" w:rsidP="00F145F5">
      <w:pPr>
        <w:pStyle w:val="Heading40"/>
      </w:pPr>
      <w:r w:rsidRPr="00AB79D3">
        <w:t>Age</w:t>
      </w:r>
    </w:p>
    <w:p w:rsidR="00945B4B" w:rsidRDefault="009C4D0C" w:rsidP="009C4D0C">
      <w:r>
        <w:t xml:space="preserve">The mean age of participants </w:t>
      </w:r>
      <w:r w:rsidR="00464DC4">
        <w:t xml:space="preserve">between the </w:t>
      </w:r>
      <w:r>
        <w:t>trials was</w:t>
      </w:r>
      <w:r w:rsidR="00464DC4">
        <w:t xml:space="preserve"> </w:t>
      </w:r>
      <w:r>
        <w:t>consistent</w:t>
      </w:r>
      <w:r w:rsidR="00945B4B">
        <w:t xml:space="preserve"> </w:t>
      </w:r>
      <w:r w:rsidR="00464DC4">
        <w:t>and</w:t>
      </w:r>
      <w:r w:rsidR="00945B4B">
        <w:t xml:space="preserve"> generally</w:t>
      </w:r>
      <w:r w:rsidR="00464DC4">
        <w:t xml:space="preserve"> ranged</w:t>
      </w:r>
      <w:r>
        <w:t xml:space="preserve"> between 3</w:t>
      </w:r>
      <w:r w:rsidR="00945B4B">
        <w:t>7</w:t>
      </w:r>
      <w:r>
        <w:t xml:space="preserve"> and 4</w:t>
      </w:r>
      <w:r w:rsidR="00464DC4">
        <w:t>4</w:t>
      </w:r>
      <w:r>
        <w:t xml:space="preserve"> years</w:t>
      </w:r>
      <w:r w:rsidR="00464DC4">
        <w:t xml:space="preserve"> of age</w:t>
      </w:r>
      <w:r>
        <w:t xml:space="preserve">. </w:t>
      </w:r>
    </w:p>
    <w:p w:rsidR="009C4D0C" w:rsidRDefault="00AB79D3" w:rsidP="009C4D0C">
      <w:r>
        <w:t>Only th</w:t>
      </w:r>
      <w:r w:rsidR="00F145F5">
        <w:t>e NETHCON trial and Maccallini 2008</w:t>
      </w:r>
      <w:r>
        <w:t xml:space="preserve"> </w:t>
      </w:r>
      <w:r w:rsidR="009C4D0C">
        <w:t>report</w:t>
      </w:r>
      <w:r>
        <w:t>ed</w:t>
      </w:r>
      <w:r w:rsidR="009C4D0C">
        <w:t xml:space="preserve"> significant differences in age between interventions </w:t>
      </w:r>
      <w:r>
        <w:t>within a trial,</w:t>
      </w:r>
      <w:r w:rsidR="009C4D0C">
        <w:t xml:space="preserve"> </w:t>
      </w:r>
      <w:r>
        <w:t>a</w:t>
      </w:r>
      <w:r w:rsidR="00945B4B">
        <w:t xml:space="preserve">lthough </w:t>
      </w:r>
      <w:r>
        <w:t xml:space="preserve">in both cases </w:t>
      </w:r>
      <w:r w:rsidR="00945B4B">
        <w:t>the difference in the average age was less than one year</w:t>
      </w:r>
      <w:r w:rsidR="003954A4">
        <w:t>,</w:t>
      </w:r>
      <w:r w:rsidR="00945B4B">
        <w:t xml:space="preserve"> and therefore </w:t>
      </w:r>
      <w:r>
        <w:t>un</w:t>
      </w:r>
      <w:r w:rsidR="009C4D0C">
        <w:t>likely to affect the overall results.</w:t>
      </w:r>
    </w:p>
    <w:p w:rsidR="009C4D0C" w:rsidRDefault="00AB79D3" w:rsidP="009C4D0C">
      <w:r>
        <w:t xml:space="preserve">It was also </w:t>
      </w:r>
      <w:r w:rsidR="009C4D0C">
        <w:t>noted that</w:t>
      </w:r>
      <w:r w:rsidR="00945B4B">
        <w:t xml:space="preserve"> the</w:t>
      </w:r>
      <w:r w:rsidR="009C4D0C" w:rsidRPr="00631934">
        <w:t xml:space="preserve"> </w:t>
      </w:r>
      <w:r>
        <w:t xml:space="preserve">difference between </w:t>
      </w:r>
      <w:r w:rsidR="00945B4B">
        <w:t xml:space="preserve">mean </w:t>
      </w:r>
      <w:r w:rsidR="00F145F5">
        <w:t xml:space="preserve">age reported by Strander </w:t>
      </w:r>
      <w:r w:rsidR="00945B4B">
        <w:t>2007, 38.18 ye</w:t>
      </w:r>
      <w:r>
        <w:t xml:space="preserve">ars in the CC arm and 41.67 in the LBC arm was greater than </w:t>
      </w:r>
      <w:r w:rsidR="00945B4B">
        <w:t>the NETHCON trial a</w:t>
      </w:r>
      <w:r w:rsidR="00F145F5">
        <w:t>nd Mac</w:t>
      </w:r>
      <w:r w:rsidR="00FD6C32">
        <w:t>c</w:t>
      </w:r>
      <w:r w:rsidR="00F145F5">
        <w:t>allini 2008</w:t>
      </w:r>
      <w:r>
        <w:t xml:space="preserve">; </w:t>
      </w:r>
      <w:r w:rsidR="009C4D0C">
        <w:t>no sta</w:t>
      </w:r>
      <w:r w:rsidR="00945B4B">
        <w:t>tistical analyses are mentioned</w:t>
      </w:r>
      <w:r w:rsidR="009C4D0C">
        <w:t xml:space="preserve">.  </w:t>
      </w:r>
    </w:p>
    <w:p w:rsidR="009C4D0C" w:rsidRPr="00274021" w:rsidRDefault="009C4D0C" w:rsidP="009C4D0C">
      <w:pPr>
        <w:pStyle w:val="Tablecaption"/>
      </w:pPr>
      <w:bookmarkStart w:id="174" w:name="_Ref167248249"/>
      <w:bookmarkStart w:id="175" w:name="_Toc192319854"/>
      <w:bookmarkStart w:id="176" w:name="_Toc312340201"/>
      <w:bookmarkStart w:id="177" w:name="_Toc316368186"/>
      <w:bookmarkStart w:id="178" w:name="_Toc335665982"/>
      <w:bookmarkStart w:id="179" w:name="_Toc337546953"/>
      <w:r w:rsidRPr="00274021">
        <w:lastRenderedPageBreak/>
        <w:t xml:space="preserve">Table </w:t>
      </w:r>
      <w:fldSimple w:instr=" SEQ Table \* ARABIC ">
        <w:r w:rsidR="003361A8">
          <w:rPr>
            <w:noProof/>
          </w:rPr>
          <w:t>16</w:t>
        </w:r>
      </w:fldSimple>
      <w:bookmarkEnd w:id="174"/>
      <w:r w:rsidRPr="00274021">
        <w:tab/>
        <w:t>Characteristics of participants in the direct randomised trials varying across randomised groups</w:t>
      </w:r>
      <w:bookmarkEnd w:id="175"/>
      <w:bookmarkEnd w:id="176"/>
      <w:bookmarkEnd w:id="177"/>
      <w:bookmarkEnd w:id="178"/>
      <w:bookmarkEnd w:id="1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3"/>
        <w:gridCol w:w="2618"/>
        <w:gridCol w:w="2310"/>
      </w:tblGrid>
      <w:tr w:rsidR="009C4D0C" w:rsidRPr="00274021" w:rsidTr="00AB79D3">
        <w:trPr>
          <w:cantSplit/>
          <w:tblHeader/>
        </w:trPr>
        <w:tc>
          <w:tcPr>
            <w:tcW w:w="2229" w:type="pct"/>
            <w:tcBorders>
              <w:bottom w:val="single" w:sz="4" w:space="0" w:color="auto"/>
            </w:tcBorders>
          </w:tcPr>
          <w:p w:rsidR="009C4D0C" w:rsidRPr="00274021" w:rsidRDefault="00AB79D3" w:rsidP="00904BA0">
            <w:pPr>
              <w:pStyle w:val="Tableheading"/>
            </w:pPr>
            <w:r>
              <w:t>Trial ID/</w:t>
            </w:r>
            <w:r w:rsidR="009C4D0C" w:rsidRPr="00274021">
              <w:t>baseline characteristic</w:t>
            </w:r>
          </w:p>
        </w:tc>
        <w:tc>
          <w:tcPr>
            <w:tcW w:w="1472" w:type="pct"/>
            <w:tcBorders>
              <w:bottom w:val="single" w:sz="4" w:space="0" w:color="auto"/>
            </w:tcBorders>
          </w:tcPr>
          <w:p w:rsidR="009C4D0C" w:rsidRPr="00274021" w:rsidRDefault="009C4D0C" w:rsidP="00904BA0">
            <w:pPr>
              <w:pStyle w:val="Tableheading"/>
              <w:jc w:val="center"/>
            </w:pPr>
          </w:p>
        </w:tc>
        <w:tc>
          <w:tcPr>
            <w:tcW w:w="1299" w:type="pct"/>
            <w:tcBorders>
              <w:bottom w:val="single" w:sz="4" w:space="0" w:color="auto"/>
            </w:tcBorders>
          </w:tcPr>
          <w:p w:rsidR="009C4D0C" w:rsidRPr="00274021" w:rsidRDefault="009C4D0C" w:rsidP="00904BA0">
            <w:pPr>
              <w:pStyle w:val="Tableheading"/>
              <w:jc w:val="center"/>
            </w:pPr>
          </w:p>
        </w:tc>
      </w:tr>
      <w:tr w:rsidR="00AB79D3" w:rsidRPr="00AB79D3" w:rsidTr="00AB79D3">
        <w:trPr>
          <w:cantSplit/>
        </w:trPr>
        <w:tc>
          <w:tcPr>
            <w:tcW w:w="5000" w:type="pct"/>
            <w:gridSpan w:val="3"/>
            <w:tcBorders>
              <w:right w:val="single" w:sz="4" w:space="0" w:color="auto"/>
            </w:tcBorders>
            <w:shd w:val="clear" w:color="auto" w:fill="E6E6E6"/>
          </w:tcPr>
          <w:p w:rsidR="00AB79D3" w:rsidRPr="00AB79D3" w:rsidRDefault="00AB79D3" w:rsidP="00AB79D3">
            <w:pPr>
              <w:pStyle w:val="Tabletext"/>
              <w:rPr>
                <w:b/>
              </w:rPr>
            </w:pPr>
            <w:r w:rsidRPr="00AB79D3">
              <w:rPr>
                <w:b/>
              </w:rPr>
              <w:t xml:space="preserve">Cell enrichment </w:t>
            </w:r>
            <w:r>
              <w:rPr>
                <w:b/>
              </w:rPr>
              <w:t xml:space="preserve">LBC </w:t>
            </w:r>
            <w:r w:rsidRPr="00AB79D3">
              <w:rPr>
                <w:b/>
              </w:rPr>
              <w:t>versus conventional cytology</w:t>
            </w:r>
          </w:p>
        </w:tc>
      </w:tr>
      <w:tr w:rsidR="009C4D0C" w:rsidRPr="00274021" w:rsidTr="00AB79D3">
        <w:trPr>
          <w:cantSplit/>
        </w:trPr>
        <w:tc>
          <w:tcPr>
            <w:tcW w:w="2229" w:type="pct"/>
            <w:tcBorders>
              <w:right w:val="single" w:sz="4" w:space="0" w:color="auto"/>
            </w:tcBorders>
            <w:shd w:val="clear" w:color="auto" w:fill="auto"/>
          </w:tcPr>
          <w:p w:rsidR="009C4D0C" w:rsidRPr="009B6ACD" w:rsidRDefault="009C4D0C" w:rsidP="00904BA0">
            <w:pPr>
              <w:pStyle w:val="Tableheading"/>
            </w:pPr>
            <w:r>
              <w:t>Beerman 2009</w:t>
            </w:r>
          </w:p>
        </w:tc>
        <w:tc>
          <w:tcPr>
            <w:tcW w:w="1472" w:type="pct"/>
            <w:tcBorders>
              <w:left w:val="single" w:sz="4" w:space="0" w:color="auto"/>
              <w:right w:val="single" w:sz="4" w:space="0" w:color="auto"/>
            </w:tcBorders>
            <w:shd w:val="clear" w:color="auto" w:fill="auto"/>
          </w:tcPr>
          <w:p w:rsidR="009C4D0C" w:rsidRPr="00A85FF6" w:rsidRDefault="00AB79D3" w:rsidP="00904BA0">
            <w:pPr>
              <w:pStyle w:val="Tableheading"/>
              <w:jc w:val="center"/>
            </w:pPr>
            <w:r>
              <w:t>CC</w:t>
            </w:r>
          </w:p>
          <w:p w:rsidR="009C4D0C" w:rsidRPr="00A85FF6" w:rsidRDefault="009C4D0C" w:rsidP="00904BA0">
            <w:pPr>
              <w:pStyle w:val="Tableheading"/>
              <w:jc w:val="center"/>
              <w:rPr>
                <w:b w:val="0"/>
              </w:rPr>
            </w:pPr>
            <w:r w:rsidRPr="00A85FF6">
              <w:rPr>
                <w:b w:val="0"/>
              </w:rPr>
              <w:t>N</w:t>
            </w:r>
            <w:r w:rsidR="005E0D57">
              <w:rPr>
                <w:b w:val="0"/>
              </w:rPr>
              <w:t>=</w:t>
            </w:r>
            <w:r w:rsidRPr="00A85FF6">
              <w:rPr>
                <w:b w:val="0"/>
              </w:rPr>
              <w:t>51,154</w:t>
            </w:r>
          </w:p>
        </w:tc>
        <w:tc>
          <w:tcPr>
            <w:tcW w:w="1299" w:type="pct"/>
            <w:tcBorders>
              <w:left w:val="single" w:sz="4" w:space="0" w:color="auto"/>
              <w:right w:val="single" w:sz="4" w:space="0" w:color="auto"/>
            </w:tcBorders>
            <w:shd w:val="clear" w:color="auto" w:fill="auto"/>
          </w:tcPr>
          <w:p w:rsidR="009C4D0C" w:rsidRPr="00A85FF6" w:rsidRDefault="00AB79D3" w:rsidP="00904BA0">
            <w:pPr>
              <w:pStyle w:val="Tableheading"/>
              <w:jc w:val="center"/>
            </w:pPr>
            <w:r>
              <w:t>Cell enrichment LBC</w:t>
            </w:r>
          </w:p>
          <w:p w:rsidR="009C4D0C" w:rsidRPr="00A85FF6" w:rsidRDefault="009C4D0C" w:rsidP="00904BA0">
            <w:pPr>
              <w:pStyle w:val="Tableheading"/>
              <w:jc w:val="center"/>
              <w:rPr>
                <w:b w:val="0"/>
              </w:rPr>
            </w:pPr>
            <w:r w:rsidRPr="00A85FF6">
              <w:rPr>
                <w:b w:val="0"/>
              </w:rPr>
              <w:t>N</w:t>
            </w:r>
            <w:r w:rsidR="005E0D57">
              <w:rPr>
                <w:b w:val="0"/>
              </w:rPr>
              <w:t>=</w:t>
            </w:r>
            <w:r w:rsidRPr="00A85FF6">
              <w:rPr>
                <w:b w:val="0"/>
              </w:rPr>
              <w:t>35,315</w:t>
            </w:r>
          </w:p>
        </w:tc>
      </w:tr>
      <w:tr w:rsidR="009C4D0C" w:rsidRPr="00274021" w:rsidTr="00AB79D3">
        <w:trPr>
          <w:cantSplit/>
        </w:trPr>
        <w:tc>
          <w:tcPr>
            <w:tcW w:w="2229" w:type="pct"/>
            <w:tcBorders>
              <w:right w:val="single" w:sz="4" w:space="0" w:color="auto"/>
            </w:tcBorders>
            <w:shd w:val="clear" w:color="auto" w:fill="auto"/>
          </w:tcPr>
          <w:p w:rsidR="009C4D0C" w:rsidRPr="00274021" w:rsidRDefault="00AB79D3" w:rsidP="00904BA0">
            <w:pPr>
              <w:pStyle w:val="Tabletext"/>
            </w:pPr>
            <w:r>
              <w:t>Mean a</w:t>
            </w:r>
            <w:r w:rsidR="009C4D0C">
              <w:t>ge (years)</w:t>
            </w:r>
          </w:p>
        </w:tc>
        <w:tc>
          <w:tcPr>
            <w:tcW w:w="1472" w:type="pct"/>
            <w:tcBorders>
              <w:left w:val="single" w:sz="4" w:space="0" w:color="auto"/>
              <w:right w:val="single" w:sz="4" w:space="0" w:color="auto"/>
            </w:tcBorders>
            <w:shd w:val="clear" w:color="auto" w:fill="auto"/>
          </w:tcPr>
          <w:p w:rsidR="009C4D0C" w:rsidRPr="004D320B" w:rsidRDefault="009C4D0C" w:rsidP="00904BA0">
            <w:pPr>
              <w:pStyle w:val="Tableheading"/>
              <w:jc w:val="center"/>
              <w:rPr>
                <w:b w:val="0"/>
              </w:rPr>
            </w:pPr>
            <w:r>
              <w:rPr>
                <w:b w:val="0"/>
              </w:rPr>
              <w:t>43.9</w:t>
            </w:r>
          </w:p>
        </w:tc>
        <w:tc>
          <w:tcPr>
            <w:tcW w:w="1299" w:type="pct"/>
            <w:tcBorders>
              <w:left w:val="single" w:sz="4" w:space="0" w:color="auto"/>
              <w:right w:val="single" w:sz="4" w:space="0" w:color="auto"/>
            </w:tcBorders>
            <w:shd w:val="clear" w:color="auto" w:fill="auto"/>
          </w:tcPr>
          <w:p w:rsidR="009C4D0C" w:rsidRPr="004D320B" w:rsidRDefault="009C4D0C" w:rsidP="00904BA0">
            <w:pPr>
              <w:pStyle w:val="Tableheading"/>
              <w:jc w:val="center"/>
              <w:rPr>
                <w:b w:val="0"/>
              </w:rPr>
            </w:pPr>
            <w:r>
              <w:rPr>
                <w:b w:val="0"/>
              </w:rPr>
              <w:t>43.7</w:t>
            </w:r>
          </w:p>
        </w:tc>
      </w:tr>
      <w:tr w:rsidR="0057058A" w:rsidRPr="00274021" w:rsidTr="00AB79D3">
        <w:trPr>
          <w:cantSplit/>
        </w:trPr>
        <w:tc>
          <w:tcPr>
            <w:tcW w:w="5000" w:type="pct"/>
            <w:gridSpan w:val="3"/>
            <w:tcBorders>
              <w:right w:val="single" w:sz="4" w:space="0" w:color="auto"/>
            </w:tcBorders>
            <w:shd w:val="clear" w:color="auto" w:fill="auto"/>
          </w:tcPr>
          <w:p w:rsidR="0057058A" w:rsidRPr="0057058A" w:rsidRDefault="0057058A" w:rsidP="00AB79D3">
            <w:pPr>
              <w:pStyle w:val="Tabletext"/>
            </w:pPr>
            <w:r w:rsidRPr="0057058A">
              <w:t>Source:</w:t>
            </w:r>
            <w:r w:rsidR="00B542C7">
              <w:t xml:space="preserve"> Beerman </w:t>
            </w:r>
            <w:r w:rsidR="00BE28F6">
              <w:t>2009 Results p.574</w:t>
            </w:r>
          </w:p>
        </w:tc>
      </w:tr>
      <w:tr w:rsidR="009C4D0C" w:rsidRPr="00274021" w:rsidTr="00AB79D3">
        <w:trPr>
          <w:cantSplit/>
        </w:trPr>
        <w:tc>
          <w:tcPr>
            <w:tcW w:w="2229" w:type="pct"/>
            <w:tcBorders>
              <w:right w:val="single" w:sz="4" w:space="0" w:color="auto"/>
            </w:tcBorders>
            <w:shd w:val="clear" w:color="auto" w:fill="auto"/>
          </w:tcPr>
          <w:p w:rsidR="009C4D0C" w:rsidRPr="00EE485C" w:rsidRDefault="009C4D0C" w:rsidP="00904BA0">
            <w:pPr>
              <w:pStyle w:val="Tabletext"/>
              <w:rPr>
                <w:b/>
              </w:rPr>
            </w:pPr>
            <w:r w:rsidRPr="00EE485C">
              <w:rPr>
                <w:b/>
              </w:rPr>
              <w:t>RODEO Study</w:t>
            </w:r>
          </w:p>
        </w:tc>
        <w:tc>
          <w:tcPr>
            <w:tcW w:w="1472" w:type="pct"/>
            <w:tcBorders>
              <w:left w:val="single" w:sz="4" w:space="0" w:color="auto"/>
              <w:right w:val="single" w:sz="4" w:space="0" w:color="auto"/>
            </w:tcBorders>
            <w:shd w:val="clear" w:color="auto" w:fill="auto"/>
          </w:tcPr>
          <w:p w:rsidR="009C4D0C" w:rsidRPr="004D320B" w:rsidRDefault="009C4D0C" w:rsidP="00904BA0">
            <w:pPr>
              <w:pStyle w:val="Tableheading"/>
              <w:jc w:val="center"/>
              <w:rPr>
                <w:b w:val="0"/>
              </w:rPr>
            </w:pPr>
          </w:p>
        </w:tc>
        <w:tc>
          <w:tcPr>
            <w:tcW w:w="1299" w:type="pct"/>
            <w:tcBorders>
              <w:left w:val="single" w:sz="4" w:space="0" w:color="auto"/>
              <w:right w:val="single" w:sz="4" w:space="0" w:color="auto"/>
            </w:tcBorders>
            <w:shd w:val="clear" w:color="auto" w:fill="auto"/>
          </w:tcPr>
          <w:p w:rsidR="009C4D0C" w:rsidRPr="004D320B" w:rsidRDefault="009C4D0C" w:rsidP="00904BA0">
            <w:pPr>
              <w:pStyle w:val="Tableheading"/>
              <w:jc w:val="center"/>
              <w:rPr>
                <w:b w:val="0"/>
              </w:rPr>
            </w:pPr>
          </w:p>
        </w:tc>
      </w:tr>
      <w:tr w:rsidR="009C4D0C" w:rsidRPr="00274021" w:rsidTr="00AB79D3">
        <w:trPr>
          <w:cantSplit/>
        </w:trPr>
        <w:tc>
          <w:tcPr>
            <w:tcW w:w="5000" w:type="pct"/>
            <w:gridSpan w:val="3"/>
            <w:tcBorders>
              <w:right w:val="single" w:sz="4" w:space="0" w:color="auto"/>
            </w:tcBorders>
            <w:shd w:val="clear" w:color="auto" w:fill="auto"/>
          </w:tcPr>
          <w:p w:rsidR="009C4D0C" w:rsidRPr="00C90C57" w:rsidRDefault="009C4D0C" w:rsidP="00AB79D3">
            <w:pPr>
              <w:pStyle w:val="Tabletext"/>
            </w:pPr>
            <w:r w:rsidRPr="00C90C57">
              <w:t>No baseline characteristics reported</w:t>
            </w:r>
          </w:p>
        </w:tc>
      </w:tr>
      <w:tr w:rsidR="0057058A" w:rsidRPr="00274021" w:rsidTr="00AB79D3">
        <w:trPr>
          <w:cantSplit/>
        </w:trPr>
        <w:tc>
          <w:tcPr>
            <w:tcW w:w="5000" w:type="pct"/>
            <w:gridSpan w:val="3"/>
            <w:tcBorders>
              <w:right w:val="single" w:sz="4" w:space="0" w:color="auto"/>
            </w:tcBorders>
            <w:shd w:val="clear" w:color="auto" w:fill="auto"/>
          </w:tcPr>
          <w:p w:rsidR="0057058A" w:rsidRPr="00C90C57" w:rsidRDefault="0057058A" w:rsidP="00AB79D3">
            <w:pPr>
              <w:pStyle w:val="Tabletext"/>
            </w:pPr>
            <w:r w:rsidRPr="0057058A">
              <w:t>Source:</w:t>
            </w:r>
            <w:r w:rsidR="00AB79D3">
              <w:t xml:space="preserve"> Longatto-Filho 2011;</w:t>
            </w:r>
            <w:r w:rsidR="00BE28F6" w:rsidRPr="001F034D">
              <w:t xml:space="preserve"> </w:t>
            </w:r>
            <w:r w:rsidR="00AB79D3">
              <w:t xml:space="preserve">Fregnani </w:t>
            </w:r>
            <w:r w:rsidR="00BE28F6" w:rsidRPr="001F034D">
              <w:t>2012</w:t>
            </w:r>
          </w:p>
        </w:tc>
      </w:tr>
      <w:tr w:rsidR="00AB79D3" w:rsidRPr="00274021" w:rsidTr="00AB79D3">
        <w:trPr>
          <w:cantSplit/>
        </w:trPr>
        <w:tc>
          <w:tcPr>
            <w:tcW w:w="5000" w:type="pct"/>
            <w:gridSpan w:val="3"/>
            <w:tcBorders>
              <w:right w:val="single" w:sz="4" w:space="0" w:color="auto"/>
            </w:tcBorders>
            <w:shd w:val="clear" w:color="auto" w:fill="D9D9D9"/>
          </w:tcPr>
          <w:p w:rsidR="00AB79D3" w:rsidRPr="00AB79D3" w:rsidRDefault="00AB79D3" w:rsidP="00AB79D3">
            <w:pPr>
              <w:pStyle w:val="Tabletext"/>
              <w:rPr>
                <w:b/>
              </w:rPr>
            </w:pPr>
            <w:r w:rsidRPr="00AB79D3">
              <w:rPr>
                <w:b/>
              </w:rPr>
              <w:t>Cell filtration LBC versus conventional cytology</w:t>
            </w:r>
          </w:p>
        </w:tc>
      </w:tr>
      <w:tr w:rsidR="009C4D0C" w:rsidRPr="00274021" w:rsidTr="00AB79D3">
        <w:trPr>
          <w:cantSplit/>
        </w:trPr>
        <w:tc>
          <w:tcPr>
            <w:tcW w:w="2229" w:type="pct"/>
            <w:tcBorders>
              <w:right w:val="single" w:sz="4" w:space="0" w:color="auto"/>
            </w:tcBorders>
            <w:shd w:val="clear" w:color="auto" w:fill="auto"/>
          </w:tcPr>
          <w:p w:rsidR="009C4D0C" w:rsidRPr="007A436B" w:rsidRDefault="009C4D0C" w:rsidP="00904BA0">
            <w:pPr>
              <w:pStyle w:val="Tabletext"/>
              <w:rPr>
                <w:b/>
              </w:rPr>
            </w:pPr>
            <w:r w:rsidRPr="007A436B">
              <w:rPr>
                <w:b/>
              </w:rPr>
              <w:t>NTCC Trial</w:t>
            </w:r>
          </w:p>
        </w:tc>
        <w:tc>
          <w:tcPr>
            <w:tcW w:w="1472" w:type="pct"/>
            <w:tcBorders>
              <w:left w:val="single" w:sz="4" w:space="0" w:color="auto"/>
              <w:right w:val="single" w:sz="4" w:space="0" w:color="auto"/>
            </w:tcBorders>
            <w:shd w:val="clear" w:color="auto" w:fill="auto"/>
          </w:tcPr>
          <w:p w:rsidR="009C4D0C" w:rsidRPr="002A12D9" w:rsidRDefault="00AB79D3" w:rsidP="00904BA0">
            <w:pPr>
              <w:pStyle w:val="Tableheading"/>
              <w:jc w:val="center"/>
            </w:pPr>
            <w:r>
              <w:t>CC</w:t>
            </w:r>
          </w:p>
          <w:p w:rsidR="009C4D0C" w:rsidRPr="004D320B" w:rsidRDefault="009C4D0C" w:rsidP="00904BA0">
            <w:pPr>
              <w:pStyle w:val="Tableheading"/>
              <w:jc w:val="center"/>
              <w:rPr>
                <w:b w:val="0"/>
              </w:rPr>
            </w:pPr>
            <w:r>
              <w:rPr>
                <w:b w:val="0"/>
              </w:rPr>
              <w:t>N=22</w:t>
            </w:r>
            <w:r w:rsidR="00AB79D3">
              <w:rPr>
                <w:b w:val="0"/>
              </w:rPr>
              <w:t>,</w:t>
            </w:r>
            <w:r>
              <w:rPr>
                <w:b w:val="0"/>
              </w:rPr>
              <w:t>056</w:t>
            </w:r>
          </w:p>
        </w:tc>
        <w:tc>
          <w:tcPr>
            <w:tcW w:w="1299" w:type="pct"/>
            <w:tcBorders>
              <w:left w:val="single" w:sz="4" w:space="0" w:color="auto"/>
              <w:right w:val="single" w:sz="4" w:space="0" w:color="auto"/>
            </w:tcBorders>
            <w:shd w:val="clear" w:color="auto" w:fill="auto"/>
          </w:tcPr>
          <w:p w:rsidR="009C4D0C" w:rsidRPr="002A12D9" w:rsidRDefault="00AB79D3" w:rsidP="00904BA0">
            <w:pPr>
              <w:pStyle w:val="Tableheading"/>
              <w:jc w:val="center"/>
            </w:pPr>
            <w:r>
              <w:t>Cell filtration LBC</w:t>
            </w:r>
          </w:p>
          <w:p w:rsidR="009C4D0C" w:rsidRPr="004D320B" w:rsidRDefault="009C4D0C" w:rsidP="00904BA0">
            <w:pPr>
              <w:pStyle w:val="Tableheading"/>
              <w:jc w:val="center"/>
              <w:rPr>
                <w:b w:val="0"/>
              </w:rPr>
            </w:pPr>
            <w:r>
              <w:rPr>
                <w:b w:val="0"/>
              </w:rPr>
              <w:t>N=22115</w:t>
            </w:r>
          </w:p>
        </w:tc>
      </w:tr>
      <w:tr w:rsidR="009C4D0C" w:rsidRPr="00274021" w:rsidTr="00AB79D3">
        <w:trPr>
          <w:cantSplit/>
        </w:trPr>
        <w:tc>
          <w:tcPr>
            <w:tcW w:w="2229" w:type="pct"/>
            <w:tcBorders>
              <w:right w:val="single" w:sz="4" w:space="0" w:color="auto"/>
            </w:tcBorders>
            <w:shd w:val="clear" w:color="auto" w:fill="auto"/>
            <w:vAlign w:val="bottom"/>
          </w:tcPr>
          <w:p w:rsidR="009C4D0C" w:rsidRPr="00B557B5" w:rsidRDefault="009C4D0C" w:rsidP="00AB79D3">
            <w:pPr>
              <w:pStyle w:val="Tabletext"/>
            </w:pPr>
            <w:r>
              <w:t xml:space="preserve">Age </w:t>
            </w:r>
            <w:proofErr w:type="gramStart"/>
            <w:r>
              <w:t>n(</w:t>
            </w:r>
            <w:proofErr w:type="gramEnd"/>
            <w:r>
              <w:t>%)</w:t>
            </w:r>
          </w:p>
        </w:tc>
        <w:tc>
          <w:tcPr>
            <w:tcW w:w="1472" w:type="pct"/>
            <w:tcBorders>
              <w:left w:val="single" w:sz="4" w:space="0" w:color="auto"/>
              <w:right w:val="single" w:sz="4" w:space="0" w:color="auto"/>
            </w:tcBorders>
            <w:shd w:val="clear" w:color="auto" w:fill="auto"/>
          </w:tcPr>
          <w:p w:rsidR="009C4D0C" w:rsidRPr="00AB7D33" w:rsidRDefault="009C4D0C" w:rsidP="00AB79D3">
            <w:pPr>
              <w:pStyle w:val="Tabletext"/>
              <w:rPr>
                <w:b/>
                <w:sz w:val="16"/>
                <w:szCs w:val="16"/>
              </w:rPr>
            </w:pPr>
          </w:p>
        </w:tc>
        <w:tc>
          <w:tcPr>
            <w:tcW w:w="1299" w:type="pct"/>
            <w:tcBorders>
              <w:left w:val="single" w:sz="4" w:space="0" w:color="auto"/>
              <w:right w:val="single" w:sz="4" w:space="0" w:color="auto"/>
            </w:tcBorders>
            <w:shd w:val="clear" w:color="auto" w:fill="auto"/>
          </w:tcPr>
          <w:p w:rsidR="009C4D0C" w:rsidRPr="00AB7D33" w:rsidRDefault="009C4D0C" w:rsidP="00AB79D3">
            <w:pPr>
              <w:pStyle w:val="Tabletext"/>
              <w:rPr>
                <w:b/>
                <w:sz w:val="16"/>
                <w:szCs w:val="16"/>
              </w:rPr>
            </w:pPr>
          </w:p>
        </w:tc>
      </w:tr>
      <w:tr w:rsidR="009C4D0C" w:rsidRPr="00274021" w:rsidTr="00AB79D3">
        <w:trPr>
          <w:cantSplit/>
        </w:trPr>
        <w:tc>
          <w:tcPr>
            <w:tcW w:w="2229" w:type="pct"/>
            <w:tcBorders>
              <w:right w:val="single" w:sz="4" w:space="0" w:color="auto"/>
            </w:tcBorders>
            <w:shd w:val="clear" w:color="auto" w:fill="auto"/>
            <w:vAlign w:val="bottom"/>
          </w:tcPr>
          <w:p w:rsidR="009C4D0C" w:rsidRPr="00B557B5" w:rsidRDefault="009C4D0C" w:rsidP="00464E65">
            <w:pPr>
              <w:pStyle w:val="Tabletext"/>
              <w:ind w:left="720"/>
            </w:pPr>
            <w:r>
              <w:t>&lt;</w:t>
            </w:r>
            <w:r w:rsidR="00FD6C32">
              <w:t xml:space="preserve"> </w:t>
            </w:r>
            <w:r>
              <w:t>35</w:t>
            </w:r>
            <w:r w:rsidR="00AB79D3">
              <w:t xml:space="preserve"> years</w:t>
            </w:r>
          </w:p>
        </w:tc>
        <w:tc>
          <w:tcPr>
            <w:tcW w:w="1472" w:type="pct"/>
            <w:tcBorders>
              <w:left w:val="single" w:sz="4" w:space="0" w:color="auto"/>
              <w:right w:val="single" w:sz="4" w:space="0" w:color="auto"/>
            </w:tcBorders>
            <w:shd w:val="clear" w:color="auto" w:fill="auto"/>
          </w:tcPr>
          <w:p w:rsidR="009C4D0C" w:rsidRPr="00AB79D3" w:rsidRDefault="009C4D0C" w:rsidP="00AB79D3">
            <w:pPr>
              <w:pStyle w:val="Tabletext"/>
              <w:jc w:val="center"/>
            </w:pPr>
            <w:r w:rsidRPr="00AB79D3">
              <w:t>5673 (49.2)</w:t>
            </w:r>
          </w:p>
        </w:tc>
        <w:tc>
          <w:tcPr>
            <w:tcW w:w="1299" w:type="pct"/>
            <w:tcBorders>
              <w:left w:val="single" w:sz="4" w:space="0" w:color="auto"/>
              <w:right w:val="single" w:sz="4" w:space="0" w:color="auto"/>
            </w:tcBorders>
            <w:shd w:val="clear" w:color="auto" w:fill="auto"/>
          </w:tcPr>
          <w:p w:rsidR="009C4D0C" w:rsidRPr="00AB79D3" w:rsidRDefault="009C4D0C" w:rsidP="00AB79D3">
            <w:pPr>
              <w:pStyle w:val="Tabletext"/>
              <w:jc w:val="center"/>
            </w:pPr>
            <w:r w:rsidRPr="00AB79D3">
              <w:t>5860 (50.8)</w:t>
            </w:r>
          </w:p>
        </w:tc>
      </w:tr>
      <w:tr w:rsidR="009C4D0C" w:rsidRPr="00274021" w:rsidTr="00AB79D3">
        <w:trPr>
          <w:cantSplit/>
        </w:trPr>
        <w:tc>
          <w:tcPr>
            <w:tcW w:w="2229" w:type="pct"/>
            <w:tcBorders>
              <w:right w:val="single" w:sz="4" w:space="0" w:color="auto"/>
            </w:tcBorders>
            <w:shd w:val="clear" w:color="auto" w:fill="auto"/>
          </w:tcPr>
          <w:p w:rsidR="009C4D0C" w:rsidRPr="00B557B5" w:rsidRDefault="009C4D0C" w:rsidP="00464E65">
            <w:pPr>
              <w:pStyle w:val="Tabletext"/>
              <w:ind w:left="720"/>
            </w:pPr>
            <w:r>
              <w:t>≥ 35</w:t>
            </w:r>
            <w:r w:rsidR="00AB79D3">
              <w:t xml:space="preserve"> years</w:t>
            </w:r>
          </w:p>
        </w:tc>
        <w:tc>
          <w:tcPr>
            <w:tcW w:w="1472" w:type="pct"/>
            <w:tcBorders>
              <w:left w:val="single" w:sz="4" w:space="0" w:color="auto"/>
              <w:right w:val="single" w:sz="4" w:space="0" w:color="auto"/>
            </w:tcBorders>
            <w:shd w:val="clear" w:color="auto" w:fill="auto"/>
          </w:tcPr>
          <w:p w:rsidR="009C4D0C" w:rsidRPr="00AB79D3" w:rsidRDefault="009C4D0C" w:rsidP="00AB79D3">
            <w:pPr>
              <w:pStyle w:val="Tabletext"/>
              <w:jc w:val="center"/>
            </w:pPr>
            <w:r w:rsidRPr="00AB79D3">
              <w:t>16</w:t>
            </w:r>
            <w:r w:rsidR="00AB79D3" w:rsidRPr="00AB79D3">
              <w:t>,</w:t>
            </w:r>
            <w:r w:rsidRPr="00AB79D3">
              <w:t>383 (50.2)</w:t>
            </w:r>
          </w:p>
        </w:tc>
        <w:tc>
          <w:tcPr>
            <w:tcW w:w="1299" w:type="pct"/>
            <w:tcBorders>
              <w:left w:val="single" w:sz="4" w:space="0" w:color="auto"/>
              <w:right w:val="single" w:sz="4" w:space="0" w:color="auto"/>
            </w:tcBorders>
            <w:shd w:val="clear" w:color="auto" w:fill="auto"/>
          </w:tcPr>
          <w:p w:rsidR="009C4D0C" w:rsidRPr="00AB79D3" w:rsidRDefault="009C4D0C" w:rsidP="00AB79D3">
            <w:pPr>
              <w:pStyle w:val="Tabletext"/>
              <w:jc w:val="center"/>
            </w:pPr>
            <w:r w:rsidRPr="00AB79D3">
              <w:t>16</w:t>
            </w:r>
            <w:r w:rsidR="00AB79D3" w:rsidRPr="00AB79D3">
              <w:t>,</w:t>
            </w:r>
            <w:r w:rsidRPr="00AB79D3">
              <w:t>255 (49.8)</w:t>
            </w:r>
          </w:p>
        </w:tc>
      </w:tr>
      <w:tr w:rsidR="0057058A" w:rsidRPr="00AB79D3" w:rsidTr="00AB79D3">
        <w:trPr>
          <w:cantSplit/>
        </w:trPr>
        <w:tc>
          <w:tcPr>
            <w:tcW w:w="5000" w:type="pct"/>
            <w:gridSpan w:val="3"/>
            <w:tcBorders>
              <w:right w:val="single" w:sz="4" w:space="0" w:color="auto"/>
            </w:tcBorders>
            <w:shd w:val="clear" w:color="auto" w:fill="auto"/>
          </w:tcPr>
          <w:p w:rsidR="0057058A" w:rsidRPr="00AB79D3" w:rsidRDefault="0057058A" w:rsidP="00AB79D3">
            <w:pPr>
              <w:pStyle w:val="Tabletext"/>
            </w:pPr>
            <w:r w:rsidRPr="00AB79D3">
              <w:t>Source:</w:t>
            </w:r>
            <w:r w:rsidR="00AB79D3">
              <w:t xml:space="preserve"> Ronco </w:t>
            </w:r>
            <w:r w:rsidR="00C26047" w:rsidRPr="00AB79D3">
              <w:t xml:space="preserve">2006 Figure p.549 </w:t>
            </w:r>
          </w:p>
        </w:tc>
      </w:tr>
      <w:tr w:rsidR="009C4D0C" w:rsidRPr="00274021" w:rsidTr="00AB79D3">
        <w:trPr>
          <w:cantSplit/>
        </w:trPr>
        <w:tc>
          <w:tcPr>
            <w:tcW w:w="2229" w:type="pct"/>
            <w:tcBorders>
              <w:right w:val="single" w:sz="4" w:space="0" w:color="auto"/>
            </w:tcBorders>
            <w:shd w:val="clear" w:color="auto" w:fill="auto"/>
          </w:tcPr>
          <w:p w:rsidR="009C4D0C" w:rsidRPr="007A436B" w:rsidRDefault="009C4D0C" w:rsidP="00904BA0">
            <w:pPr>
              <w:pStyle w:val="Tabletext"/>
              <w:rPr>
                <w:b/>
              </w:rPr>
            </w:pPr>
            <w:r w:rsidRPr="007A436B">
              <w:rPr>
                <w:b/>
              </w:rPr>
              <w:t>NETHCON trial (Siebers 2008)</w:t>
            </w:r>
          </w:p>
        </w:tc>
        <w:tc>
          <w:tcPr>
            <w:tcW w:w="1472" w:type="pct"/>
            <w:tcBorders>
              <w:left w:val="single" w:sz="4" w:space="0" w:color="auto"/>
              <w:right w:val="single" w:sz="4" w:space="0" w:color="auto"/>
            </w:tcBorders>
            <w:shd w:val="clear" w:color="auto" w:fill="auto"/>
          </w:tcPr>
          <w:p w:rsidR="009C4D0C" w:rsidRPr="00D229DA" w:rsidRDefault="00464E65" w:rsidP="00904BA0">
            <w:pPr>
              <w:pStyle w:val="Tableheading"/>
              <w:jc w:val="center"/>
            </w:pPr>
            <w:r>
              <w:t>CC</w:t>
            </w:r>
          </w:p>
          <w:p w:rsidR="009C4D0C" w:rsidRPr="005F6C30" w:rsidRDefault="009C4D0C" w:rsidP="00904BA0">
            <w:pPr>
              <w:pStyle w:val="Tableheading"/>
              <w:jc w:val="center"/>
              <w:rPr>
                <w:b w:val="0"/>
              </w:rPr>
            </w:pPr>
            <w:r>
              <w:rPr>
                <w:b w:val="0"/>
              </w:rPr>
              <w:t>N=39,010</w:t>
            </w:r>
          </w:p>
        </w:tc>
        <w:tc>
          <w:tcPr>
            <w:tcW w:w="1299" w:type="pct"/>
            <w:tcBorders>
              <w:left w:val="single" w:sz="4" w:space="0" w:color="auto"/>
              <w:right w:val="single" w:sz="4" w:space="0" w:color="auto"/>
            </w:tcBorders>
            <w:shd w:val="clear" w:color="auto" w:fill="auto"/>
          </w:tcPr>
          <w:p w:rsidR="00464E65" w:rsidRPr="002A12D9" w:rsidRDefault="00464E65" w:rsidP="00464E65">
            <w:pPr>
              <w:pStyle w:val="Tableheading"/>
              <w:jc w:val="center"/>
            </w:pPr>
            <w:r>
              <w:t>Cell filtration LBC</w:t>
            </w:r>
          </w:p>
          <w:p w:rsidR="009C4D0C" w:rsidRPr="005F6C30" w:rsidRDefault="009C4D0C" w:rsidP="00904BA0">
            <w:pPr>
              <w:pStyle w:val="Tableheading"/>
              <w:jc w:val="center"/>
              <w:rPr>
                <w:b w:val="0"/>
              </w:rPr>
            </w:pPr>
            <w:r>
              <w:rPr>
                <w:b w:val="0"/>
              </w:rPr>
              <w:t>N=46,066</w:t>
            </w:r>
          </w:p>
        </w:tc>
      </w:tr>
      <w:tr w:rsidR="009C4D0C" w:rsidRPr="00AB79D3" w:rsidTr="00AB79D3">
        <w:trPr>
          <w:cantSplit/>
        </w:trPr>
        <w:tc>
          <w:tcPr>
            <w:tcW w:w="2229" w:type="pct"/>
            <w:tcBorders>
              <w:right w:val="single" w:sz="4" w:space="0" w:color="auto"/>
            </w:tcBorders>
            <w:shd w:val="clear" w:color="auto" w:fill="auto"/>
          </w:tcPr>
          <w:p w:rsidR="009C4D0C" w:rsidRPr="00AB79D3" w:rsidRDefault="00464E65" w:rsidP="00AB79D3">
            <w:pPr>
              <w:pStyle w:val="Tabletext"/>
            </w:pPr>
            <w:r>
              <w:t>Mean a</w:t>
            </w:r>
            <w:r w:rsidR="009C4D0C" w:rsidRPr="00AB79D3">
              <w:t>ge (years</w:t>
            </w:r>
            <w:r w:rsidR="00464DC4" w:rsidRPr="00AB79D3">
              <w:t xml:space="preserve"> ± SD</w:t>
            </w:r>
            <w:r w:rsidR="009C4D0C" w:rsidRPr="00AB79D3">
              <w:t>)</w:t>
            </w:r>
          </w:p>
        </w:tc>
        <w:tc>
          <w:tcPr>
            <w:tcW w:w="1472" w:type="pct"/>
            <w:tcBorders>
              <w:left w:val="single" w:sz="4" w:space="0" w:color="auto"/>
              <w:bottom w:val="single" w:sz="4" w:space="0" w:color="auto"/>
              <w:right w:val="single" w:sz="4" w:space="0" w:color="auto"/>
            </w:tcBorders>
            <w:shd w:val="clear" w:color="auto" w:fill="auto"/>
          </w:tcPr>
          <w:p w:rsidR="009C4D0C" w:rsidRPr="00AB79D3" w:rsidRDefault="009C4D0C" w:rsidP="00AB79D3">
            <w:pPr>
              <w:pStyle w:val="Tabletext"/>
              <w:jc w:val="center"/>
            </w:pPr>
            <w:r w:rsidRPr="00AB79D3">
              <w:t>44.1 (±9.2)†</w:t>
            </w:r>
          </w:p>
        </w:tc>
        <w:tc>
          <w:tcPr>
            <w:tcW w:w="1299" w:type="pct"/>
            <w:tcBorders>
              <w:left w:val="single" w:sz="4" w:space="0" w:color="auto"/>
              <w:bottom w:val="single" w:sz="4" w:space="0" w:color="auto"/>
              <w:right w:val="single" w:sz="4" w:space="0" w:color="auto"/>
            </w:tcBorders>
            <w:shd w:val="clear" w:color="auto" w:fill="auto"/>
          </w:tcPr>
          <w:p w:rsidR="009C4D0C" w:rsidRPr="00AB79D3" w:rsidRDefault="009C4D0C" w:rsidP="00AB79D3">
            <w:pPr>
              <w:pStyle w:val="Tabletext"/>
              <w:jc w:val="center"/>
            </w:pPr>
            <w:r w:rsidRPr="00AB79D3">
              <w:t>43.8 (±9.2)†</w:t>
            </w:r>
          </w:p>
        </w:tc>
      </w:tr>
      <w:tr w:rsidR="009C4D0C" w:rsidRPr="00AB79D3" w:rsidTr="00AB79D3">
        <w:trPr>
          <w:cantSplit/>
        </w:trPr>
        <w:tc>
          <w:tcPr>
            <w:tcW w:w="2229" w:type="pct"/>
            <w:tcBorders>
              <w:right w:val="single" w:sz="4" w:space="0" w:color="auto"/>
            </w:tcBorders>
            <w:shd w:val="clear" w:color="auto" w:fill="auto"/>
          </w:tcPr>
          <w:p w:rsidR="009C4D0C" w:rsidRPr="00AB79D3" w:rsidRDefault="00AB79D3" w:rsidP="00AB79D3">
            <w:pPr>
              <w:pStyle w:val="Tabletext"/>
            </w:pPr>
            <w:r>
              <w:t>Number of p</w:t>
            </w:r>
            <w:r w:rsidR="009C4D0C" w:rsidRPr="00AB79D3">
              <w:t>ractices</w:t>
            </w:r>
          </w:p>
        </w:tc>
        <w:tc>
          <w:tcPr>
            <w:tcW w:w="1472" w:type="pct"/>
            <w:tcBorders>
              <w:left w:val="single" w:sz="4" w:space="0" w:color="auto"/>
              <w:bottom w:val="single" w:sz="4" w:space="0" w:color="auto"/>
              <w:right w:val="single" w:sz="4" w:space="0" w:color="auto"/>
            </w:tcBorders>
            <w:shd w:val="clear" w:color="auto" w:fill="auto"/>
          </w:tcPr>
          <w:p w:rsidR="009C4D0C" w:rsidRPr="00AB79D3" w:rsidRDefault="009C4D0C" w:rsidP="00AB79D3">
            <w:pPr>
              <w:pStyle w:val="Tabletext"/>
              <w:jc w:val="center"/>
            </w:pPr>
            <w:r w:rsidRPr="00AB79D3">
              <w:t>124</w:t>
            </w:r>
          </w:p>
        </w:tc>
        <w:tc>
          <w:tcPr>
            <w:tcW w:w="1299" w:type="pct"/>
            <w:tcBorders>
              <w:left w:val="single" w:sz="4" w:space="0" w:color="auto"/>
              <w:bottom w:val="single" w:sz="4" w:space="0" w:color="auto"/>
              <w:right w:val="single" w:sz="4" w:space="0" w:color="auto"/>
            </w:tcBorders>
            <w:shd w:val="clear" w:color="auto" w:fill="auto"/>
          </w:tcPr>
          <w:p w:rsidR="009C4D0C" w:rsidRPr="00AB79D3" w:rsidRDefault="009C4D0C" w:rsidP="00AB79D3">
            <w:pPr>
              <w:pStyle w:val="Tabletext"/>
              <w:jc w:val="center"/>
            </w:pPr>
            <w:r w:rsidRPr="00AB79D3">
              <w:t>122</w:t>
            </w:r>
          </w:p>
        </w:tc>
      </w:tr>
      <w:tr w:rsidR="0057058A" w:rsidRPr="00AB79D3" w:rsidTr="00AB79D3">
        <w:trPr>
          <w:cantSplit/>
        </w:trPr>
        <w:tc>
          <w:tcPr>
            <w:tcW w:w="5000" w:type="pct"/>
            <w:gridSpan w:val="3"/>
            <w:tcBorders>
              <w:right w:val="single" w:sz="4" w:space="0" w:color="auto"/>
            </w:tcBorders>
            <w:shd w:val="clear" w:color="auto" w:fill="auto"/>
          </w:tcPr>
          <w:p w:rsidR="0057058A" w:rsidRPr="00AB79D3" w:rsidRDefault="0057058A" w:rsidP="00AB79D3">
            <w:pPr>
              <w:pStyle w:val="Tabletext"/>
            </w:pPr>
            <w:r w:rsidRPr="00AB79D3">
              <w:t>Source:</w:t>
            </w:r>
            <w:r w:rsidR="00F145F5">
              <w:t xml:space="preserve"> Siebers </w:t>
            </w:r>
            <w:r w:rsidR="00267817" w:rsidRPr="00AB79D3">
              <w:t>2008 Table 1 p.1331</w:t>
            </w:r>
          </w:p>
        </w:tc>
      </w:tr>
      <w:tr w:rsidR="009C4D0C" w:rsidRPr="00274021" w:rsidTr="00AB79D3">
        <w:trPr>
          <w:cantSplit/>
        </w:trPr>
        <w:tc>
          <w:tcPr>
            <w:tcW w:w="2229" w:type="pct"/>
            <w:tcBorders>
              <w:right w:val="single" w:sz="4" w:space="0" w:color="auto"/>
            </w:tcBorders>
            <w:shd w:val="clear" w:color="auto" w:fill="auto"/>
          </w:tcPr>
          <w:p w:rsidR="009C4D0C" w:rsidRPr="007A436B" w:rsidRDefault="009C4D0C" w:rsidP="00904BA0">
            <w:pPr>
              <w:pStyle w:val="Tabletext"/>
              <w:rPr>
                <w:b/>
              </w:rPr>
            </w:pPr>
            <w:r w:rsidRPr="007A436B">
              <w:rPr>
                <w:b/>
              </w:rPr>
              <w:t>Strander 2007</w:t>
            </w:r>
          </w:p>
        </w:tc>
        <w:tc>
          <w:tcPr>
            <w:tcW w:w="1472" w:type="pct"/>
            <w:tcBorders>
              <w:top w:val="single" w:sz="4" w:space="0" w:color="auto"/>
              <w:left w:val="single" w:sz="4" w:space="0" w:color="auto"/>
              <w:bottom w:val="single" w:sz="4" w:space="0" w:color="auto"/>
              <w:right w:val="single" w:sz="4" w:space="0" w:color="auto"/>
            </w:tcBorders>
            <w:shd w:val="clear" w:color="auto" w:fill="auto"/>
          </w:tcPr>
          <w:p w:rsidR="009C4D0C" w:rsidRPr="00F319E9" w:rsidRDefault="00464E65" w:rsidP="00904BA0">
            <w:pPr>
              <w:pStyle w:val="Tableheading"/>
              <w:jc w:val="center"/>
            </w:pPr>
            <w:r>
              <w:t>CC</w:t>
            </w:r>
          </w:p>
          <w:p w:rsidR="009C4D0C" w:rsidRPr="00F319E9" w:rsidRDefault="009C4D0C" w:rsidP="00904BA0">
            <w:pPr>
              <w:pStyle w:val="Tableheading"/>
              <w:jc w:val="center"/>
              <w:rPr>
                <w:b w:val="0"/>
              </w:rPr>
            </w:pPr>
            <w:r w:rsidRPr="00F319E9">
              <w:rPr>
                <w:b w:val="0"/>
              </w:rPr>
              <w:t>N=8810</w:t>
            </w:r>
          </w:p>
        </w:tc>
        <w:tc>
          <w:tcPr>
            <w:tcW w:w="1299" w:type="pct"/>
            <w:tcBorders>
              <w:top w:val="single" w:sz="4" w:space="0" w:color="auto"/>
              <w:left w:val="single" w:sz="4" w:space="0" w:color="auto"/>
              <w:bottom w:val="single" w:sz="4" w:space="0" w:color="auto"/>
              <w:right w:val="single" w:sz="4" w:space="0" w:color="auto"/>
            </w:tcBorders>
            <w:shd w:val="clear" w:color="auto" w:fill="auto"/>
          </w:tcPr>
          <w:p w:rsidR="00464E65" w:rsidRPr="002A12D9" w:rsidRDefault="00464E65" w:rsidP="00464E65">
            <w:pPr>
              <w:pStyle w:val="Tableheading"/>
              <w:jc w:val="center"/>
            </w:pPr>
            <w:r>
              <w:t>Cell filtration LBC</w:t>
            </w:r>
          </w:p>
          <w:p w:rsidR="009C4D0C" w:rsidRPr="00F319E9" w:rsidRDefault="009C4D0C" w:rsidP="00904BA0">
            <w:pPr>
              <w:pStyle w:val="Tableheading"/>
              <w:jc w:val="center"/>
              <w:rPr>
                <w:b w:val="0"/>
              </w:rPr>
            </w:pPr>
            <w:r w:rsidRPr="00F319E9">
              <w:rPr>
                <w:b w:val="0"/>
              </w:rPr>
              <w:t>N=4674</w:t>
            </w:r>
          </w:p>
        </w:tc>
      </w:tr>
      <w:tr w:rsidR="009C4D0C" w:rsidRPr="00274021" w:rsidTr="00AB79D3">
        <w:trPr>
          <w:cantSplit/>
        </w:trPr>
        <w:tc>
          <w:tcPr>
            <w:tcW w:w="2229" w:type="pct"/>
            <w:tcBorders>
              <w:right w:val="single" w:sz="4" w:space="0" w:color="auto"/>
            </w:tcBorders>
            <w:shd w:val="clear" w:color="auto" w:fill="auto"/>
          </w:tcPr>
          <w:p w:rsidR="009C4D0C" w:rsidRPr="00B557B5" w:rsidRDefault="009C4D0C" w:rsidP="00904BA0">
            <w:pPr>
              <w:pStyle w:val="Tabletext"/>
            </w:pPr>
            <w:r>
              <w:t>Age (years)</w:t>
            </w:r>
          </w:p>
        </w:tc>
        <w:tc>
          <w:tcPr>
            <w:tcW w:w="1472" w:type="pct"/>
            <w:tcBorders>
              <w:top w:val="single" w:sz="4" w:space="0" w:color="auto"/>
              <w:left w:val="single" w:sz="4" w:space="0" w:color="auto"/>
              <w:right w:val="single" w:sz="4" w:space="0" w:color="auto"/>
            </w:tcBorders>
            <w:shd w:val="clear" w:color="auto" w:fill="auto"/>
          </w:tcPr>
          <w:p w:rsidR="009C4D0C" w:rsidRPr="005A60B0" w:rsidRDefault="009C4D0C" w:rsidP="00904BA0">
            <w:pPr>
              <w:pStyle w:val="Tableheading"/>
              <w:jc w:val="center"/>
            </w:pPr>
          </w:p>
        </w:tc>
        <w:tc>
          <w:tcPr>
            <w:tcW w:w="1299" w:type="pct"/>
            <w:tcBorders>
              <w:top w:val="single" w:sz="4" w:space="0" w:color="auto"/>
              <w:left w:val="single" w:sz="4" w:space="0" w:color="auto"/>
              <w:right w:val="single" w:sz="4" w:space="0" w:color="auto"/>
            </w:tcBorders>
            <w:shd w:val="clear" w:color="auto" w:fill="auto"/>
          </w:tcPr>
          <w:p w:rsidR="009C4D0C" w:rsidRPr="005A60B0" w:rsidRDefault="009C4D0C" w:rsidP="00904BA0">
            <w:pPr>
              <w:pStyle w:val="Tableheading"/>
              <w:jc w:val="center"/>
            </w:pPr>
          </w:p>
        </w:tc>
      </w:tr>
      <w:tr w:rsidR="009C4D0C" w:rsidRPr="00274021" w:rsidTr="00AB79D3">
        <w:trPr>
          <w:cantSplit/>
        </w:trPr>
        <w:tc>
          <w:tcPr>
            <w:tcW w:w="2229" w:type="pct"/>
            <w:tcBorders>
              <w:right w:val="single" w:sz="4" w:space="0" w:color="auto"/>
            </w:tcBorders>
            <w:shd w:val="clear" w:color="auto" w:fill="auto"/>
          </w:tcPr>
          <w:p w:rsidR="009C4D0C" w:rsidRPr="00B557B5" w:rsidRDefault="009C4D0C" w:rsidP="00464E65">
            <w:pPr>
              <w:pStyle w:val="Tabletext"/>
              <w:ind w:left="720"/>
            </w:pPr>
            <w:r>
              <w:t>Median</w:t>
            </w:r>
          </w:p>
        </w:tc>
        <w:tc>
          <w:tcPr>
            <w:tcW w:w="1472" w:type="pct"/>
            <w:tcBorders>
              <w:left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39.28</w:t>
            </w:r>
          </w:p>
        </w:tc>
        <w:tc>
          <w:tcPr>
            <w:tcW w:w="1299" w:type="pct"/>
            <w:tcBorders>
              <w:left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42.13</w:t>
            </w:r>
          </w:p>
        </w:tc>
      </w:tr>
      <w:tr w:rsidR="009C4D0C" w:rsidRPr="00274021" w:rsidTr="00AB79D3">
        <w:trPr>
          <w:cantSplit/>
        </w:trPr>
        <w:tc>
          <w:tcPr>
            <w:tcW w:w="2229" w:type="pct"/>
            <w:tcBorders>
              <w:right w:val="single" w:sz="4" w:space="0" w:color="auto"/>
            </w:tcBorders>
            <w:shd w:val="clear" w:color="auto" w:fill="auto"/>
          </w:tcPr>
          <w:p w:rsidR="009C4D0C" w:rsidRPr="00B557B5" w:rsidRDefault="009C4D0C" w:rsidP="00464E65">
            <w:pPr>
              <w:pStyle w:val="Tabletext"/>
              <w:ind w:left="720"/>
            </w:pPr>
            <w:r>
              <w:t>Mean</w:t>
            </w:r>
          </w:p>
        </w:tc>
        <w:tc>
          <w:tcPr>
            <w:tcW w:w="1472" w:type="pct"/>
            <w:tcBorders>
              <w:left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38.18</w:t>
            </w:r>
            <w:r w:rsidR="00945B4B">
              <w:rPr>
                <w:b w:val="0"/>
              </w:rPr>
              <w:t>^</w:t>
            </w:r>
          </w:p>
        </w:tc>
        <w:tc>
          <w:tcPr>
            <w:tcW w:w="1299" w:type="pct"/>
            <w:tcBorders>
              <w:left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41.67</w:t>
            </w:r>
            <w:r w:rsidR="00945B4B">
              <w:rPr>
                <w:b w:val="0"/>
              </w:rPr>
              <w:t>^</w:t>
            </w:r>
          </w:p>
        </w:tc>
      </w:tr>
      <w:tr w:rsidR="0057058A" w:rsidRPr="00274021" w:rsidTr="00AB79D3">
        <w:trPr>
          <w:cantSplit/>
        </w:trPr>
        <w:tc>
          <w:tcPr>
            <w:tcW w:w="5000" w:type="pct"/>
            <w:gridSpan w:val="3"/>
            <w:tcBorders>
              <w:right w:val="single" w:sz="4" w:space="0" w:color="auto"/>
            </w:tcBorders>
            <w:shd w:val="clear" w:color="auto" w:fill="auto"/>
          </w:tcPr>
          <w:p w:rsidR="0057058A" w:rsidRDefault="0057058A" w:rsidP="00464E65">
            <w:pPr>
              <w:pStyle w:val="Tabletext"/>
            </w:pPr>
            <w:r w:rsidRPr="0057058A">
              <w:t>Source:</w:t>
            </w:r>
            <w:r w:rsidR="00464E65">
              <w:t xml:space="preserve"> Strander </w:t>
            </w:r>
            <w:r w:rsidR="00890EEF">
              <w:t>2007 Table 1 p.287</w:t>
            </w:r>
          </w:p>
        </w:tc>
      </w:tr>
      <w:tr w:rsidR="00945B4B" w:rsidRPr="00274021" w:rsidTr="00AB79D3">
        <w:trPr>
          <w:cantSplit/>
        </w:trPr>
        <w:tc>
          <w:tcPr>
            <w:tcW w:w="2229" w:type="pct"/>
            <w:tcBorders>
              <w:right w:val="single" w:sz="4" w:space="0" w:color="auto"/>
            </w:tcBorders>
            <w:shd w:val="clear" w:color="auto" w:fill="auto"/>
          </w:tcPr>
          <w:p w:rsidR="00945B4B" w:rsidRPr="007A436B" w:rsidRDefault="00945B4B" w:rsidP="00904BA0">
            <w:pPr>
              <w:pStyle w:val="Tabletext"/>
              <w:rPr>
                <w:b/>
              </w:rPr>
            </w:pPr>
            <w:r w:rsidRPr="007A436B">
              <w:rPr>
                <w:b/>
              </w:rPr>
              <w:t>Maccallini 2008</w:t>
            </w:r>
          </w:p>
        </w:tc>
        <w:tc>
          <w:tcPr>
            <w:tcW w:w="1472" w:type="pct"/>
            <w:tcBorders>
              <w:left w:val="single" w:sz="4" w:space="0" w:color="auto"/>
              <w:right w:val="single" w:sz="4" w:space="0" w:color="auto"/>
            </w:tcBorders>
            <w:shd w:val="clear" w:color="auto" w:fill="auto"/>
          </w:tcPr>
          <w:p w:rsidR="00945B4B" w:rsidRPr="00F319E9" w:rsidRDefault="00464E65" w:rsidP="00945B4B">
            <w:pPr>
              <w:pStyle w:val="Tableheading"/>
              <w:jc w:val="center"/>
            </w:pPr>
            <w:r>
              <w:t>CC</w:t>
            </w:r>
          </w:p>
          <w:p w:rsidR="00945B4B" w:rsidRPr="005F6C30" w:rsidRDefault="00945B4B" w:rsidP="00904BA0">
            <w:pPr>
              <w:pStyle w:val="Tableheading"/>
              <w:jc w:val="center"/>
              <w:rPr>
                <w:b w:val="0"/>
              </w:rPr>
            </w:pPr>
            <w:r>
              <w:rPr>
                <w:b w:val="0"/>
              </w:rPr>
              <w:t>N=4299</w:t>
            </w:r>
          </w:p>
        </w:tc>
        <w:tc>
          <w:tcPr>
            <w:tcW w:w="1299" w:type="pct"/>
            <w:tcBorders>
              <w:left w:val="single" w:sz="4" w:space="0" w:color="auto"/>
              <w:right w:val="single" w:sz="4" w:space="0" w:color="auto"/>
            </w:tcBorders>
            <w:shd w:val="clear" w:color="auto" w:fill="auto"/>
          </w:tcPr>
          <w:p w:rsidR="00464E65" w:rsidRPr="002A12D9" w:rsidRDefault="00464E65" w:rsidP="00464E65">
            <w:pPr>
              <w:pStyle w:val="Tableheading"/>
              <w:jc w:val="center"/>
            </w:pPr>
            <w:r>
              <w:t>Cell filtration LBC</w:t>
            </w:r>
          </w:p>
          <w:p w:rsidR="00945B4B" w:rsidRPr="005F6C30" w:rsidRDefault="00945B4B" w:rsidP="00904BA0">
            <w:pPr>
              <w:pStyle w:val="Tableheading"/>
              <w:jc w:val="center"/>
              <w:rPr>
                <w:b w:val="0"/>
              </w:rPr>
            </w:pPr>
            <w:r>
              <w:rPr>
                <w:b w:val="0"/>
              </w:rPr>
              <w:t>N=4355</w:t>
            </w:r>
          </w:p>
        </w:tc>
      </w:tr>
      <w:tr w:rsidR="00464DC4" w:rsidRPr="00274021" w:rsidTr="00AB79D3">
        <w:trPr>
          <w:cantSplit/>
        </w:trPr>
        <w:tc>
          <w:tcPr>
            <w:tcW w:w="2229" w:type="pct"/>
            <w:tcBorders>
              <w:right w:val="single" w:sz="4" w:space="0" w:color="auto"/>
            </w:tcBorders>
            <w:shd w:val="clear" w:color="auto" w:fill="auto"/>
          </w:tcPr>
          <w:p w:rsidR="00464DC4" w:rsidRPr="007A436B" w:rsidRDefault="00464E65" w:rsidP="00464E65">
            <w:pPr>
              <w:pStyle w:val="Tabletext"/>
              <w:ind w:left="720"/>
              <w:rPr>
                <w:b/>
              </w:rPr>
            </w:pPr>
            <w:r>
              <w:t>Mean a</w:t>
            </w:r>
            <w:r w:rsidR="00464DC4">
              <w:t>ge (years)</w:t>
            </w:r>
          </w:p>
        </w:tc>
        <w:tc>
          <w:tcPr>
            <w:tcW w:w="1472" w:type="pct"/>
            <w:tcBorders>
              <w:left w:val="single" w:sz="4" w:space="0" w:color="auto"/>
              <w:right w:val="single" w:sz="4" w:space="0" w:color="auto"/>
            </w:tcBorders>
            <w:shd w:val="clear" w:color="auto" w:fill="auto"/>
          </w:tcPr>
          <w:p w:rsidR="00464DC4" w:rsidRPr="005F6C30" w:rsidRDefault="00945B4B" w:rsidP="00904BA0">
            <w:pPr>
              <w:pStyle w:val="Tableheading"/>
              <w:jc w:val="center"/>
              <w:rPr>
                <w:b w:val="0"/>
              </w:rPr>
            </w:pPr>
            <w:r>
              <w:rPr>
                <w:b w:val="0"/>
              </w:rPr>
              <w:t>36.9*</w:t>
            </w:r>
          </w:p>
        </w:tc>
        <w:tc>
          <w:tcPr>
            <w:tcW w:w="1299" w:type="pct"/>
            <w:tcBorders>
              <w:left w:val="single" w:sz="4" w:space="0" w:color="auto"/>
              <w:right w:val="single" w:sz="4" w:space="0" w:color="auto"/>
            </w:tcBorders>
            <w:shd w:val="clear" w:color="auto" w:fill="auto"/>
          </w:tcPr>
          <w:p w:rsidR="00464DC4" w:rsidRPr="005F6C30" w:rsidRDefault="00945B4B" w:rsidP="00904BA0">
            <w:pPr>
              <w:pStyle w:val="Tableheading"/>
              <w:jc w:val="center"/>
              <w:rPr>
                <w:b w:val="0"/>
              </w:rPr>
            </w:pPr>
            <w:r>
              <w:rPr>
                <w:b w:val="0"/>
              </w:rPr>
              <w:t>37.6*</w:t>
            </w:r>
          </w:p>
        </w:tc>
      </w:tr>
      <w:tr w:rsidR="0057058A" w:rsidRPr="00274021" w:rsidTr="00AB79D3">
        <w:trPr>
          <w:cantSplit/>
        </w:trPr>
        <w:tc>
          <w:tcPr>
            <w:tcW w:w="5000" w:type="pct"/>
            <w:gridSpan w:val="3"/>
            <w:tcBorders>
              <w:right w:val="single" w:sz="4" w:space="0" w:color="auto"/>
            </w:tcBorders>
            <w:shd w:val="clear" w:color="auto" w:fill="auto"/>
          </w:tcPr>
          <w:p w:rsidR="0057058A" w:rsidRDefault="0057058A" w:rsidP="00464E65">
            <w:pPr>
              <w:pStyle w:val="Tabletext"/>
            </w:pPr>
            <w:r w:rsidRPr="0057058A">
              <w:t>Source:</w:t>
            </w:r>
            <w:r w:rsidR="00464E65">
              <w:t xml:space="preserve"> Maccallini </w:t>
            </w:r>
            <w:r w:rsidR="00890EEF">
              <w:t>2008 Results p.571</w:t>
            </w:r>
          </w:p>
        </w:tc>
      </w:tr>
      <w:tr w:rsidR="009C4D0C" w:rsidRPr="00274021" w:rsidTr="00AB79D3">
        <w:trPr>
          <w:cantSplit/>
        </w:trPr>
        <w:tc>
          <w:tcPr>
            <w:tcW w:w="2229" w:type="pct"/>
            <w:tcBorders>
              <w:right w:val="single" w:sz="4" w:space="0" w:color="auto"/>
            </w:tcBorders>
            <w:shd w:val="clear" w:color="auto" w:fill="auto"/>
          </w:tcPr>
          <w:p w:rsidR="009C4D0C" w:rsidRPr="007A436B" w:rsidRDefault="009C4D0C" w:rsidP="00904BA0">
            <w:pPr>
              <w:pStyle w:val="Tabletext"/>
              <w:rPr>
                <w:b/>
              </w:rPr>
            </w:pPr>
            <w:r w:rsidRPr="007A436B">
              <w:rPr>
                <w:b/>
              </w:rPr>
              <w:t>Obwegeser 2001</w:t>
            </w:r>
          </w:p>
        </w:tc>
        <w:tc>
          <w:tcPr>
            <w:tcW w:w="1472" w:type="pct"/>
            <w:tcBorders>
              <w:left w:val="single" w:sz="4" w:space="0" w:color="auto"/>
              <w:right w:val="single" w:sz="4" w:space="0" w:color="auto"/>
            </w:tcBorders>
            <w:shd w:val="clear" w:color="auto" w:fill="auto"/>
          </w:tcPr>
          <w:p w:rsidR="009C4D0C" w:rsidRPr="00F319E9" w:rsidRDefault="00464E65" w:rsidP="00904BA0">
            <w:pPr>
              <w:pStyle w:val="Tableheading"/>
              <w:jc w:val="center"/>
            </w:pPr>
            <w:r>
              <w:t>CC</w:t>
            </w:r>
          </w:p>
          <w:p w:rsidR="009C4D0C" w:rsidRPr="00F319E9" w:rsidRDefault="009C4D0C" w:rsidP="00904BA0">
            <w:pPr>
              <w:pStyle w:val="Tableheading"/>
              <w:jc w:val="center"/>
              <w:rPr>
                <w:b w:val="0"/>
              </w:rPr>
            </w:pPr>
            <w:r w:rsidRPr="00F319E9">
              <w:rPr>
                <w:b w:val="0"/>
              </w:rPr>
              <w:t>N=</w:t>
            </w:r>
            <w:r>
              <w:rPr>
                <w:b w:val="0"/>
              </w:rPr>
              <w:t>1002</w:t>
            </w:r>
          </w:p>
        </w:tc>
        <w:tc>
          <w:tcPr>
            <w:tcW w:w="1299" w:type="pct"/>
            <w:tcBorders>
              <w:left w:val="single" w:sz="4" w:space="0" w:color="auto"/>
              <w:right w:val="single" w:sz="4" w:space="0" w:color="auto"/>
            </w:tcBorders>
            <w:shd w:val="clear" w:color="auto" w:fill="auto"/>
          </w:tcPr>
          <w:p w:rsidR="00464E65" w:rsidRPr="002A12D9" w:rsidRDefault="00464E65" w:rsidP="00464E65">
            <w:pPr>
              <w:pStyle w:val="Tableheading"/>
              <w:jc w:val="center"/>
            </w:pPr>
            <w:r>
              <w:t>Cell filtration LBC</w:t>
            </w:r>
          </w:p>
          <w:p w:rsidR="009C4D0C" w:rsidRPr="00F319E9" w:rsidRDefault="009C4D0C" w:rsidP="00904BA0">
            <w:pPr>
              <w:pStyle w:val="Tableheading"/>
              <w:jc w:val="center"/>
              <w:rPr>
                <w:b w:val="0"/>
              </w:rPr>
            </w:pPr>
            <w:r w:rsidRPr="00F319E9">
              <w:rPr>
                <w:b w:val="0"/>
              </w:rPr>
              <w:t>N=</w:t>
            </w:r>
            <w:r>
              <w:rPr>
                <w:b w:val="0"/>
              </w:rPr>
              <w:t>997</w:t>
            </w:r>
          </w:p>
        </w:tc>
      </w:tr>
      <w:tr w:rsidR="009C4D0C" w:rsidRPr="00274021" w:rsidTr="00AB79D3">
        <w:trPr>
          <w:cantSplit/>
        </w:trPr>
        <w:tc>
          <w:tcPr>
            <w:tcW w:w="2229" w:type="pct"/>
            <w:tcBorders>
              <w:right w:val="single" w:sz="4" w:space="0" w:color="auto"/>
            </w:tcBorders>
            <w:shd w:val="clear" w:color="auto" w:fill="auto"/>
          </w:tcPr>
          <w:p w:rsidR="009C4D0C" w:rsidRDefault="009C4D0C" w:rsidP="00904BA0">
            <w:pPr>
              <w:pStyle w:val="Tabletext"/>
            </w:pPr>
            <w:r>
              <w:t>Age n</w:t>
            </w:r>
            <w:r w:rsidRPr="00746463">
              <w:rPr>
                <w:vertAlign w:val="superscript"/>
              </w:rPr>
              <w:t>a</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p>
        </w:tc>
      </w:tr>
      <w:tr w:rsidR="009C4D0C" w:rsidRPr="00274021" w:rsidTr="00AB79D3">
        <w:trPr>
          <w:cantSplit/>
        </w:trPr>
        <w:tc>
          <w:tcPr>
            <w:tcW w:w="2229" w:type="pct"/>
            <w:tcBorders>
              <w:right w:val="single" w:sz="4" w:space="0" w:color="auto"/>
            </w:tcBorders>
            <w:shd w:val="clear" w:color="auto" w:fill="auto"/>
          </w:tcPr>
          <w:p w:rsidR="009C4D0C" w:rsidRPr="00B557B5" w:rsidRDefault="00464E65" w:rsidP="00464E65">
            <w:pPr>
              <w:pStyle w:val="Tabletext"/>
              <w:ind w:left="720"/>
            </w:pPr>
            <w:r>
              <w:t>15–</w:t>
            </w:r>
            <w:r w:rsidR="009C4D0C">
              <w:t>19</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 xml:space="preserve">16 </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21</w:t>
            </w:r>
          </w:p>
        </w:tc>
      </w:tr>
      <w:tr w:rsidR="009C4D0C" w:rsidRPr="00274021" w:rsidTr="00AB79D3">
        <w:trPr>
          <w:cantSplit/>
        </w:trPr>
        <w:tc>
          <w:tcPr>
            <w:tcW w:w="2229" w:type="pct"/>
            <w:tcBorders>
              <w:right w:val="single" w:sz="4" w:space="0" w:color="auto"/>
            </w:tcBorders>
            <w:shd w:val="clear" w:color="auto" w:fill="auto"/>
          </w:tcPr>
          <w:p w:rsidR="009C4D0C" w:rsidRPr="00B557B5" w:rsidRDefault="00464E65" w:rsidP="00464E65">
            <w:pPr>
              <w:pStyle w:val="Tabletext"/>
              <w:ind w:left="720"/>
            </w:pPr>
            <w:r>
              <w:t>20–</w:t>
            </w:r>
            <w:r w:rsidR="009C4D0C">
              <w:t>24</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 xml:space="preserve">84 </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70</w:t>
            </w:r>
          </w:p>
        </w:tc>
      </w:tr>
      <w:tr w:rsidR="009C4D0C" w:rsidRPr="00274021" w:rsidTr="00AB79D3">
        <w:trPr>
          <w:cantSplit/>
        </w:trPr>
        <w:tc>
          <w:tcPr>
            <w:tcW w:w="2229" w:type="pct"/>
            <w:tcBorders>
              <w:right w:val="single" w:sz="4" w:space="0" w:color="auto"/>
            </w:tcBorders>
            <w:shd w:val="clear" w:color="auto" w:fill="auto"/>
          </w:tcPr>
          <w:p w:rsidR="009C4D0C" w:rsidRPr="00B557B5" w:rsidRDefault="00464E65" w:rsidP="00464E65">
            <w:pPr>
              <w:pStyle w:val="Tabletext"/>
              <w:ind w:left="720"/>
            </w:pPr>
            <w:r>
              <w:t>25–</w:t>
            </w:r>
            <w:r w:rsidR="009C4D0C">
              <w:t>29</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 xml:space="preserve">130 </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138</w:t>
            </w:r>
          </w:p>
        </w:tc>
      </w:tr>
      <w:tr w:rsidR="009C4D0C" w:rsidRPr="00274021" w:rsidTr="00AB79D3">
        <w:trPr>
          <w:cantSplit/>
        </w:trPr>
        <w:tc>
          <w:tcPr>
            <w:tcW w:w="2229" w:type="pct"/>
            <w:tcBorders>
              <w:right w:val="single" w:sz="4" w:space="0" w:color="auto"/>
            </w:tcBorders>
            <w:shd w:val="clear" w:color="auto" w:fill="auto"/>
          </w:tcPr>
          <w:p w:rsidR="009C4D0C" w:rsidRPr="00B557B5" w:rsidRDefault="00464E65" w:rsidP="00464E65">
            <w:pPr>
              <w:pStyle w:val="Tabletext"/>
              <w:ind w:left="720"/>
            </w:pPr>
            <w:r>
              <w:t>30–</w:t>
            </w:r>
            <w:r w:rsidR="009C4D0C">
              <w:t>34</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 xml:space="preserve">165 </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178</w:t>
            </w:r>
          </w:p>
        </w:tc>
      </w:tr>
      <w:tr w:rsidR="009C4D0C" w:rsidRPr="00274021" w:rsidTr="00AB79D3">
        <w:trPr>
          <w:cantSplit/>
        </w:trPr>
        <w:tc>
          <w:tcPr>
            <w:tcW w:w="2229" w:type="pct"/>
            <w:tcBorders>
              <w:right w:val="single" w:sz="4" w:space="0" w:color="auto"/>
            </w:tcBorders>
            <w:shd w:val="clear" w:color="auto" w:fill="auto"/>
          </w:tcPr>
          <w:p w:rsidR="009C4D0C" w:rsidRPr="00B557B5" w:rsidRDefault="00464E65" w:rsidP="00464E65">
            <w:pPr>
              <w:pStyle w:val="Tabletext"/>
              <w:ind w:left="720"/>
            </w:pPr>
            <w:r>
              <w:lastRenderedPageBreak/>
              <w:t>40–</w:t>
            </w:r>
            <w:r w:rsidR="009C4D0C">
              <w:t>44</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 xml:space="preserve">94 </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86</w:t>
            </w:r>
          </w:p>
        </w:tc>
      </w:tr>
      <w:tr w:rsidR="009C4D0C" w:rsidRPr="00274021" w:rsidTr="00AB79D3">
        <w:trPr>
          <w:cantSplit/>
        </w:trPr>
        <w:tc>
          <w:tcPr>
            <w:tcW w:w="2229" w:type="pct"/>
            <w:tcBorders>
              <w:right w:val="single" w:sz="4" w:space="0" w:color="auto"/>
            </w:tcBorders>
            <w:shd w:val="clear" w:color="auto" w:fill="auto"/>
          </w:tcPr>
          <w:p w:rsidR="009C4D0C" w:rsidRPr="00B557B5" w:rsidRDefault="00464E65" w:rsidP="00464E65">
            <w:pPr>
              <w:pStyle w:val="Tabletext"/>
              <w:ind w:left="720"/>
            </w:pPr>
            <w:r>
              <w:t>45–</w:t>
            </w:r>
            <w:r w:rsidR="009C4D0C">
              <w:t>49</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 xml:space="preserve">68 </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58</w:t>
            </w:r>
          </w:p>
        </w:tc>
      </w:tr>
      <w:tr w:rsidR="009C4D0C" w:rsidRPr="00274021" w:rsidTr="00AB79D3">
        <w:trPr>
          <w:cantSplit/>
        </w:trPr>
        <w:tc>
          <w:tcPr>
            <w:tcW w:w="2229" w:type="pct"/>
            <w:tcBorders>
              <w:right w:val="single" w:sz="4" w:space="0" w:color="auto"/>
            </w:tcBorders>
            <w:shd w:val="clear" w:color="auto" w:fill="auto"/>
          </w:tcPr>
          <w:p w:rsidR="009C4D0C" w:rsidRPr="00B557B5" w:rsidRDefault="00464E65" w:rsidP="00464E65">
            <w:pPr>
              <w:pStyle w:val="Tabletext"/>
              <w:ind w:left="720"/>
            </w:pPr>
            <w:r>
              <w:t>50–</w:t>
            </w:r>
            <w:r w:rsidR="009C4D0C">
              <w:t>54</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 xml:space="preserve">64 </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64</w:t>
            </w:r>
          </w:p>
        </w:tc>
      </w:tr>
      <w:tr w:rsidR="009C4D0C" w:rsidRPr="00274021" w:rsidTr="00AB79D3">
        <w:trPr>
          <w:cantSplit/>
        </w:trPr>
        <w:tc>
          <w:tcPr>
            <w:tcW w:w="2229" w:type="pct"/>
            <w:tcBorders>
              <w:right w:val="single" w:sz="4" w:space="0" w:color="auto"/>
            </w:tcBorders>
            <w:shd w:val="clear" w:color="auto" w:fill="auto"/>
          </w:tcPr>
          <w:p w:rsidR="009C4D0C" w:rsidRPr="00B557B5" w:rsidRDefault="00464E65" w:rsidP="00464E65">
            <w:pPr>
              <w:pStyle w:val="Tabletext"/>
              <w:ind w:left="720"/>
            </w:pPr>
            <w:r>
              <w:t>55–</w:t>
            </w:r>
            <w:r w:rsidR="009C4D0C">
              <w:t>59</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 xml:space="preserve">44 </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40</w:t>
            </w:r>
          </w:p>
        </w:tc>
      </w:tr>
      <w:tr w:rsidR="009C4D0C" w:rsidRPr="00274021" w:rsidTr="00AB79D3">
        <w:trPr>
          <w:cantSplit/>
        </w:trPr>
        <w:tc>
          <w:tcPr>
            <w:tcW w:w="2229" w:type="pct"/>
            <w:tcBorders>
              <w:right w:val="single" w:sz="4" w:space="0" w:color="auto"/>
            </w:tcBorders>
            <w:shd w:val="clear" w:color="auto" w:fill="auto"/>
          </w:tcPr>
          <w:p w:rsidR="009C4D0C" w:rsidRDefault="00464E65" w:rsidP="00464E65">
            <w:pPr>
              <w:pStyle w:val="Tabletext"/>
              <w:ind w:left="720"/>
            </w:pPr>
            <w:r>
              <w:t>60–</w:t>
            </w:r>
            <w:r w:rsidR="009C4D0C">
              <w:t>64</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 xml:space="preserve">28 </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44</w:t>
            </w:r>
          </w:p>
        </w:tc>
      </w:tr>
      <w:tr w:rsidR="009C4D0C" w:rsidRPr="00274021" w:rsidTr="00AB79D3">
        <w:trPr>
          <w:cantSplit/>
        </w:trPr>
        <w:tc>
          <w:tcPr>
            <w:tcW w:w="2229" w:type="pct"/>
            <w:tcBorders>
              <w:right w:val="single" w:sz="4" w:space="0" w:color="auto"/>
            </w:tcBorders>
            <w:shd w:val="clear" w:color="auto" w:fill="auto"/>
          </w:tcPr>
          <w:p w:rsidR="009C4D0C" w:rsidRDefault="00464E65" w:rsidP="00464E65">
            <w:pPr>
              <w:pStyle w:val="Tabletext"/>
              <w:ind w:left="720"/>
            </w:pPr>
            <w:r>
              <w:t>65–</w:t>
            </w:r>
            <w:r w:rsidR="009C4D0C">
              <w:t>69</w:t>
            </w:r>
            <w:r>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20</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26</w:t>
            </w:r>
          </w:p>
        </w:tc>
      </w:tr>
      <w:tr w:rsidR="009C4D0C" w:rsidRPr="00274021" w:rsidTr="00AB79D3">
        <w:trPr>
          <w:cantSplit/>
        </w:trPr>
        <w:tc>
          <w:tcPr>
            <w:tcW w:w="2229" w:type="pct"/>
            <w:tcBorders>
              <w:right w:val="single" w:sz="4" w:space="0" w:color="auto"/>
            </w:tcBorders>
            <w:shd w:val="clear" w:color="auto" w:fill="auto"/>
          </w:tcPr>
          <w:p w:rsidR="009C4D0C" w:rsidRPr="00B557B5" w:rsidRDefault="009C4D0C" w:rsidP="00464E65">
            <w:pPr>
              <w:pStyle w:val="Tabletext"/>
              <w:ind w:left="720"/>
            </w:pPr>
            <w:r>
              <w:t>&gt;</w:t>
            </w:r>
            <w:r w:rsidR="00464E65">
              <w:t xml:space="preserve"> </w:t>
            </w:r>
            <w:r>
              <w:t>70</w:t>
            </w:r>
            <w:r w:rsidR="00464E65">
              <w:t xml:space="preserve"> years</w:t>
            </w:r>
          </w:p>
        </w:tc>
        <w:tc>
          <w:tcPr>
            <w:tcW w:w="1472"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22</w:t>
            </w:r>
          </w:p>
        </w:tc>
        <w:tc>
          <w:tcPr>
            <w:tcW w:w="1299" w:type="pct"/>
            <w:tcBorders>
              <w:left w:val="single" w:sz="4" w:space="0" w:color="auto"/>
              <w:bottom w:val="single" w:sz="4" w:space="0" w:color="auto"/>
              <w:right w:val="single" w:sz="4" w:space="0" w:color="auto"/>
            </w:tcBorders>
            <w:shd w:val="clear" w:color="auto" w:fill="auto"/>
          </w:tcPr>
          <w:p w:rsidR="009C4D0C" w:rsidRPr="005F6C30" w:rsidRDefault="009C4D0C" w:rsidP="00904BA0">
            <w:pPr>
              <w:pStyle w:val="Tableheading"/>
              <w:jc w:val="center"/>
              <w:rPr>
                <w:b w:val="0"/>
              </w:rPr>
            </w:pPr>
            <w:r>
              <w:rPr>
                <w:b w:val="0"/>
              </w:rPr>
              <w:t>14</w:t>
            </w:r>
          </w:p>
        </w:tc>
      </w:tr>
      <w:tr w:rsidR="0057058A" w:rsidRPr="00274021" w:rsidTr="00AB79D3">
        <w:trPr>
          <w:cantSplit/>
        </w:trPr>
        <w:tc>
          <w:tcPr>
            <w:tcW w:w="5000" w:type="pct"/>
            <w:gridSpan w:val="3"/>
            <w:tcBorders>
              <w:right w:val="single" w:sz="4" w:space="0" w:color="auto"/>
            </w:tcBorders>
            <w:shd w:val="clear" w:color="auto" w:fill="auto"/>
          </w:tcPr>
          <w:p w:rsidR="0057058A" w:rsidRDefault="0057058A" w:rsidP="00464E65">
            <w:pPr>
              <w:pStyle w:val="Tabletext"/>
            </w:pPr>
            <w:r w:rsidRPr="0057058A">
              <w:t>Source:</w:t>
            </w:r>
            <w:r w:rsidR="00464E65">
              <w:t xml:space="preserve"> Obwegeser </w:t>
            </w:r>
            <w:r>
              <w:t>2001 Figure 2 p.711</w:t>
            </w:r>
          </w:p>
        </w:tc>
      </w:tr>
      <w:tr w:rsidR="009C4D0C" w:rsidRPr="00274021" w:rsidTr="00AB79D3">
        <w:trPr>
          <w:cantSplit/>
        </w:trPr>
        <w:tc>
          <w:tcPr>
            <w:tcW w:w="2229" w:type="pct"/>
          </w:tcPr>
          <w:p w:rsidR="009C4D0C" w:rsidRPr="007A436B" w:rsidRDefault="009C4D0C" w:rsidP="00904BA0">
            <w:pPr>
              <w:pStyle w:val="Tabletext"/>
              <w:rPr>
                <w:b/>
              </w:rPr>
            </w:pPr>
            <w:r>
              <w:rPr>
                <w:b/>
              </w:rPr>
              <w:t>RHINE-SAAR Study</w:t>
            </w:r>
          </w:p>
        </w:tc>
        <w:tc>
          <w:tcPr>
            <w:tcW w:w="1472" w:type="pct"/>
          </w:tcPr>
          <w:p w:rsidR="009C4D0C" w:rsidRPr="00274021" w:rsidRDefault="009C4D0C" w:rsidP="00904BA0">
            <w:pPr>
              <w:pStyle w:val="Tabletext"/>
              <w:jc w:val="center"/>
            </w:pPr>
          </w:p>
        </w:tc>
        <w:tc>
          <w:tcPr>
            <w:tcW w:w="1299" w:type="pct"/>
          </w:tcPr>
          <w:p w:rsidR="009C4D0C" w:rsidRPr="00274021" w:rsidRDefault="009C4D0C" w:rsidP="00904BA0">
            <w:pPr>
              <w:pStyle w:val="Tabletext"/>
              <w:jc w:val="center"/>
            </w:pPr>
          </w:p>
        </w:tc>
      </w:tr>
      <w:tr w:rsidR="009C4D0C" w:rsidRPr="00464E65" w:rsidTr="00AB79D3">
        <w:trPr>
          <w:cantSplit/>
        </w:trPr>
        <w:tc>
          <w:tcPr>
            <w:tcW w:w="5000" w:type="pct"/>
            <w:gridSpan w:val="3"/>
          </w:tcPr>
          <w:p w:rsidR="009C4D0C" w:rsidRPr="00464E65" w:rsidRDefault="009C4D0C" w:rsidP="00464E65">
            <w:pPr>
              <w:pStyle w:val="Tabletext"/>
            </w:pPr>
            <w:r w:rsidRPr="00464E65">
              <w:t>No baseline characteristics reported</w:t>
            </w:r>
          </w:p>
        </w:tc>
      </w:tr>
      <w:tr w:rsidR="0057058A" w:rsidRPr="00464E65" w:rsidTr="00AB79D3">
        <w:trPr>
          <w:cantSplit/>
        </w:trPr>
        <w:tc>
          <w:tcPr>
            <w:tcW w:w="5000" w:type="pct"/>
            <w:gridSpan w:val="3"/>
          </w:tcPr>
          <w:p w:rsidR="0057058A" w:rsidRPr="00464E65" w:rsidRDefault="0057058A" w:rsidP="00464E65">
            <w:pPr>
              <w:pStyle w:val="Tabletext"/>
            </w:pPr>
            <w:r w:rsidRPr="00464E65">
              <w:t>Source:</w:t>
            </w:r>
            <w:r w:rsidR="00464E65">
              <w:t xml:space="preserve"> Ikenberg 2010a,b,c;</w:t>
            </w:r>
            <w:r w:rsidRPr="00464E65">
              <w:t xml:space="preserve"> 2011a,b</w:t>
            </w:r>
          </w:p>
        </w:tc>
      </w:tr>
      <w:tr w:rsidR="009C4D0C" w:rsidRPr="00274021" w:rsidTr="00AB79D3">
        <w:trPr>
          <w:cantSplit/>
        </w:trPr>
        <w:tc>
          <w:tcPr>
            <w:tcW w:w="2229" w:type="pct"/>
            <w:shd w:val="clear" w:color="auto" w:fill="D9D9D9"/>
          </w:tcPr>
          <w:p w:rsidR="009C4D0C" w:rsidRPr="007A436B" w:rsidRDefault="00464E65" w:rsidP="00904BA0">
            <w:pPr>
              <w:pStyle w:val="Tabletext"/>
              <w:rPr>
                <w:b/>
              </w:rPr>
            </w:pPr>
            <w:r>
              <w:rPr>
                <w:b/>
              </w:rPr>
              <w:t>Manual versus a</w:t>
            </w:r>
            <w:r w:rsidR="009C4D0C" w:rsidRPr="007A436B">
              <w:rPr>
                <w:b/>
              </w:rPr>
              <w:t>utomated</w:t>
            </w:r>
          </w:p>
        </w:tc>
        <w:tc>
          <w:tcPr>
            <w:tcW w:w="1472" w:type="pct"/>
            <w:shd w:val="clear" w:color="auto" w:fill="D9D9D9"/>
          </w:tcPr>
          <w:p w:rsidR="009C4D0C" w:rsidRPr="00274021" w:rsidRDefault="009C4D0C" w:rsidP="00904BA0">
            <w:pPr>
              <w:pStyle w:val="Tabletext"/>
              <w:jc w:val="center"/>
            </w:pPr>
          </w:p>
        </w:tc>
        <w:tc>
          <w:tcPr>
            <w:tcW w:w="1299" w:type="pct"/>
            <w:shd w:val="clear" w:color="auto" w:fill="D9D9D9"/>
          </w:tcPr>
          <w:p w:rsidR="009C4D0C" w:rsidRPr="00274021" w:rsidRDefault="009C4D0C" w:rsidP="00904BA0">
            <w:pPr>
              <w:pStyle w:val="Tabletext"/>
              <w:jc w:val="center"/>
            </w:pPr>
          </w:p>
        </w:tc>
      </w:tr>
      <w:tr w:rsidR="009C4D0C" w:rsidRPr="00274021" w:rsidTr="00AB79D3">
        <w:trPr>
          <w:cantSplit/>
        </w:trPr>
        <w:tc>
          <w:tcPr>
            <w:tcW w:w="2229" w:type="pct"/>
          </w:tcPr>
          <w:p w:rsidR="009C4D0C" w:rsidRPr="00FF68F3" w:rsidRDefault="009C4D0C" w:rsidP="00904BA0">
            <w:pPr>
              <w:pStyle w:val="Tabletext"/>
              <w:rPr>
                <w:b/>
              </w:rPr>
            </w:pPr>
            <w:r>
              <w:rPr>
                <w:b/>
              </w:rPr>
              <w:t>MAVARIC</w:t>
            </w:r>
          </w:p>
        </w:tc>
        <w:tc>
          <w:tcPr>
            <w:tcW w:w="1472" w:type="pct"/>
          </w:tcPr>
          <w:p w:rsidR="009C4D0C" w:rsidRPr="0013333B" w:rsidRDefault="00464E65" w:rsidP="00904BA0">
            <w:pPr>
              <w:pStyle w:val="Tabletext"/>
              <w:jc w:val="center"/>
              <w:rPr>
                <w:b/>
              </w:rPr>
            </w:pPr>
            <w:r>
              <w:rPr>
                <w:b/>
              </w:rPr>
              <w:t>Manual a</w:t>
            </w:r>
            <w:r w:rsidR="009C4D0C" w:rsidRPr="0013333B">
              <w:rPr>
                <w:b/>
              </w:rPr>
              <w:t>rm</w:t>
            </w:r>
          </w:p>
        </w:tc>
        <w:tc>
          <w:tcPr>
            <w:tcW w:w="1299" w:type="pct"/>
          </w:tcPr>
          <w:p w:rsidR="009C4D0C" w:rsidRPr="0013333B" w:rsidRDefault="00464E65" w:rsidP="00904BA0">
            <w:pPr>
              <w:pStyle w:val="Tabletext"/>
              <w:jc w:val="center"/>
              <w:rPr>
                <w:b/>
              </w:rPr>
            </w:pPr>
            <w:r>
              <w:rPr>
                <w:b/>
              </w:rPr>
              <w:t>Paired a</w:t>
            </w:r>
            <w:r w:rsidR="009C4D0C" w:rsidRPr="0013333B">
              <w:rPr>
                <w:b/>
              </w:rPr>
              <w:t>rm</w:t>
            </w:r>
          </w:p>
        </w:tc>
      </w:tr>
      <w:tr w:rsidR="009C4D0C" w:rsidRPr="00274021" w:rsidTr="00AB79D3">
        <w:trPr>
          <w:cantSplit/>
        </w:trPr>
        <w:tc>
          <w:tcPr>
            <w:tcW w:w="2229" w:type="pct"/>
          </w:tcPr>
          <w:p w:rsidR="009C4D0C" w:rsidRPr="00274021" w:rsidRDefault="009C4D0C" w:rsidP="00464E65">
            <w:pPr>
              <w:pStyle w:val="Tabletext"/>
              <w:ind w:left="720"/>
            </w:pPr>
            <w:r>
              <w:t>Mean age (years)</w:t>
            </w:r>
          </w:p>
        </w:tc>
        <w:tc>
          <w:tcPr>
            <w:tcW w:w="1472" w:type="pct"/>
          </w:tcPr>
          <w:p w:rsidR="009C4D0C" w:rsidRPr="00274021" w:rsidRDefault="009C4D0C" w:rsidP="00904BA0">
            <w:pPr>
              <w:pStyle w:val="Tabletext"/>
              <w:jc w:val="center"/>
            </w:pPr>
            <w:r>
              <w:t>39</w:t>
            </w:r>
          </w:p>
        </w:tc>
        <w:tc>
          <w:tcPr>
            <w:tcW w:w="1299" w:type="pct"/>
          </w:tcPr>
          <w:p w:rsidR="009C4D0C" w:rsidRPr="00274021" w:rsidRDefault="009C4D0C" w:rsidP="00904BA0">
            <w:pPr>
              <w:pStyle w:val="Tabletext"/>
              <w:jc w:val="center"/>
            </w:pPr>
            <w:r>
              <w:t>39</w:t>
            </w:r>
          </w:p>
        </w:tc>
      </w:tr>
      <w:tr w:rsidR="009C4D0C" w:rsidRPr="00274021" w:rsidTr="00AB79D3">
        <w:trPr>
          <w:cantSplit/>
        </w:trPr>
        <w:tc>
          <w:tcPr>
            <w:tcW w:w="2229" w:type="pct"/>
          </w:tcPr>
          <w:p w:rsidR="009C4D0C" w:rsidRPr="00274021" w:rsidRDefault="009C4D0C" w:rsidP="00FA5639">
            <w:pPr>
              <w:pStyle w:val="Tabletext"/>
              <w:ind w:left="720" w:hanging="436"/>
            </w:pPr>
            <w:r>
              <w:t>Mean Townsend deprivation score</w:t>
            </w:r>
          </w:p>
        </w:tc>
        <w:tc>
          <w:tcPr>
            <w:tcW w:w="1472" w:type="pct"/>
          </w:tcPr>
          <w:p w:rsidR="009C4D0C" w:rsidRPr="00274021" w:rsidRDefault="009C4D0C" w:rsidP="00904BA0">
            <w:pPr>
              <w:pStyle w:val="Tabletext"/>
              <w:jc w:val="center"/>
            </w:pPr>
          </w:p>
        </w:tc>
        <w:tc>
          <w:tcPr>
            <w:tcW w:w="1299" w:type="pct"/>
          </w:tcPr>
          <w:p w:rsidR="009C4D0C" w:rsidRPr="00274021" w:rsidRDefault="009C4D0C" w:rsidP="00904BA0">
            <w:pPr>
              <w:pStyle w:val="Tabletext"/>
              <w:jc w:val="center"/>
            </w:pPr>
          </w:p>
        </w:tc>
      </w:tr>
      <w:tr w:rsidR="009C4D0C" w:rsidRPr="00274021" w:rsidTr="00AB79D3">
        <w:trPr>
          <w:cantSplit/>
        </w:trPr>
        <w:tc>
          <w:tcPr>
            <w:tcW w:w="2229" w:type="pct"/>
          </w:tcPr>
          <w:p w:rsidR="009C4D0C" w:rsidRPr="00464E65" w:rsidRDefault="00464E65" w:rsidP="00464E65">
            <w:pPr>
              <w:pStyle w:val="Tabletext"/>
              <w:ind w:left="720"/>
            </w:pPr>
            <w:r w:rsidRPr="00464E65">
              <w:t>Cell filtration LBC</w:t>
            </w:r>
          </w:p>
        </w:tc>
        <w:tc>
          <w:tcPr>
            <w:tcW w:w="1472" w:type="pct"/>
          </w:tcPr>
          <w:p w:rsidR="009C4D0C" w:rsidRPr="0013333B" w:rsidRDefault="009C4D0C" w:rsidP="00904BA0">
            <w:pPr>
              <w:pStyle w:val="Tabletext"/>
              <w:jc w:val="center"/>
            </w:pPr>
            <w:r w:rsidRPr="0013333B">
              <w:t>3.99</w:t>
            </w:r>
          </w:p>
        </w:tc>
        <w:tc>
          <w:tcPr>
            <w:tcW w:w="1299" w:type="pct"/>
          </w:tcPr>
          <w:p w:rsidR="009C4D0C" w:rsidRPr="0013333B" w:rsidRDefault="009C4D0C" w:rsidP="00904BA0">
            <w:pPr>
              <w:pStyle w:val="Tabletext"/>
              <w:jc w:val="center"/>
            </w:pPr>
            <w:r w:rsidRPr="0013333B">
              <w:t>3.85</w:t>
            </w:r>
          </w:p>
        </w:tc>
      </w:tr>
      <w:tr w:rsidR="009C4D0C" w:rsidRPr="00274021" w:rsidTr="00AB79D3">
        <w:trPr>
          <w:cantSplit/>
        </w:trPr>
        <w:tc>
          <w:tcPr>
            <w:tcW w:w="2229" w:type="pct"/>
          </w:tcPr>
          <w:p w:rsidR="009C4D0C" w:rsidRPr="00274021" w:rsidRDefault="00464E65" w:rsidP="00464E65">
            <w:pPr>
              <w:pStyle w:val="Tabletext"/>
              <w:ind w:left="720"/>
            </w:pPr>
            <w:r>
              <w:t>Cell enrichment LBC</w:t>
            </w:r>
          </w:p>
        </w:tc>
        <w:tc>
          <w:tcPr>
            <w:tcW w:w="1472" w:type="pct"/>
          </w:tcPr>
          <w:p w:rsidR="009C4D0C" w:rsidRPr="00274021" w:rsidRDefault="009C4D0C" w:rsidP="00904BA0">
            <w:pPr>
              <w:pStyle w:val="Tabletext"/>
              <w:jc w:val="center"/>
            </w:pPr>
            <w:r>
              <w:t>3.84</w:t>
            </w:r>
          </w:p>
        </w:tc>
        <w:tc>
          <w:tcPr>
            <w:tcW w:w="1299" w:type="pct"/>
          </w:tcPr>
          <w:p w:rsidR="009C4D0C" w:rsidRPr="00274021" w:rsidRDefault="009C4D0C" w:rsidP="00904BA0">
            <w:pPr>
              <w:pStyle w:val="Tabletext"/>
              <w:jc w:val="center"/>
            </w:pPr>
            <w:r>
              <w:t>3.64</w:t>
            </w:r>
          </w:p>
        </w:tc>
      </w:tr>
      <w:tr w:rsidR="0057058A" w:rsidRPr="00464E65" w:rsidTr="00AB79D3">
        <w:trPr>
          <w:cantSplit/>
        </w:trPr>
        <w:tc>
          <w:tcPr>
            <w:tcW w:w="5000" w:type="pct"/>
            <w:gridSpan w:val="3"/>
          </w:tcPr>
          <w:p w:rsidR="0057058A" w:rsidRPr="00464E65" w:rsidRDefault="0057058A" w:rsidP="00464E65">
            <w:pPr>
              <w:pStyle w:val="Tabletext"/>
            </w:pPr>
            <w:r w:rsidRPr="00464E65">
              <w:t>Source:</w:t>
            </w:r>
            <w:r w:rsidR="00464E65">
              <w:t xml:space="preserve"> Kitchener </w:t>
            </w:r>
            <w:r w:rsidRPr="00464E65">
              <w:t>2011 Results p.60</w:t>
            </w:r>
          </w:p>
        </w:tc>
      </w:tr>
      <w:tr w:rsidR="009C4D0C" w:rsidRPr="00274021" w:rsidTr="00AB79D3">
        <w:trPr>
          <w:cantSplit/>
        </w:trPr>
        <w:tc>
          <w:tcPr>
            <w:tcW w:w="2229" w:type="pct"/>
          </w:tcPr>
          <w:p w:rsidR="009C4D0C" w:rsidRPr="003F10B5" w:rsidRDefault="009C4D0C" w:rsidP="00904BA0">
            <w:pPr>
              <w:pStyle w:val="Tabletext"/>
              <w:rPr>
                <w:b/>
              </w:rPr>
            </w:pPr>
            <w:r w:rsidRPr="003F10B5">
              <w:rPr>
                <w:b/>
              </w:rPr>
              <w:t>Palmer 2012</w:t>
            </w:r>
          </w:p>
        </w:tc>
        <w:tc>
          <w:tcPr>
            <w:tcW w:w="1472" w:type="pct"/>
          </w:tcPr>
          <w:p w:rsidR="009C4D0C" w:rsidRDefault="009C4D0C" w:rsidP="00904BA0">
            <w:pPr>
              <w:pStyle w:val="Tabletext"/>
              <w:jc w:val="center"/>
            </w:pPr>
          </w:p>
        </w:tc>
        <w:tc>
          <w:tcPr>
            <w:tcW w:w="1299" w:type="pct"/>
          </w:tcPr>
          <w:p w:rsidR="009C4D0C" w:rsidRDefault="009C4D0C" w:rsidP="00904BA0">
            <w:pPr>
              <w:pStyle w:val="Tabletext"/>
              <w:jc w:val="center"/>
            </w:pPr>
          </w:p>
        </w:tc>
      </w:tr>
      <w:tr w:rsidR="009C4D0C" w:rsidRPr="00C81AA5" w:rsidTr="00AB79D3">
        <w:trPr>
          <w:cantSplit/>
        </w:trPr>
        <w:tc>
          <w:tcPr>
            <w:tcW w:w="5000" w:type="pct"/>
            <w:gridSpan w:val="3"/>
          </w:tcPr>
          <w:p w:rsidR="009C4D0C" w:rsidRPr="00C81AA5" w:rsidRDefault="009C4D0C" w:rsidP="00C81AA5">
            <w:pPr>
              <w:pStyle w:val="Tabletext"/>
            </w:pPr>
            <w:r w:rsidRPr="00C81AA5">
              <w:t>No baseline characteristics reported</w:t>
            </w:r>
          </w:p>
        </w:tc>
      </w:tr>
      <w:tr w:rsidR="0057058A" w:rsidRPr="00464E65" w:rsidTr="00AB79D3">
        <w:trPr>
          <w:cantSplit/>
        </w:trPr>
        <w:tc>
          <w:tcPr>
            <w:tcW w:w="5000" w:type="pct"/>
            <w:gridSpan w:val="3"/>
          </w:tcPr>
          <w:p w:rsidR="0057058A" w:rsidRPr="00464E65" w:rsidRDefault="0057058A" w:rsidP="00464E65">
            <w:pPr>
              <w:pStyle w:val="Tabletext"/>
            </w:pPr>
            <w:r w:rsidRPr="00464E65">
              <w:t>Source:</w:t>
            </w:r>
            <w:r w:rsidR="00464E65">
              <w:t xml:space="preserve"> Palmer </w:t>
            </w:r>
            <w:r w:rsidRPr="00464E65">
              <w:t>2012</w:t>
            </w:r>
          </w:p>
        </w:tc>
      </w:tr>
    </w:tbl>
    <w:p w:rsidR="00FD6C32" w:rsidRDefault="009C4D0C" w:rsidP="00F145F5">
      <w:pPr>
        <w:pStyle w:val="Tabletext"/>
      </w:pPr>
      <w:r w:rsidRPr="00274021">
        <w:t xml:space="preserve">Abbreviations: </w:t>
      </w:r>
      <w:bookmarkStart w:id="180" w:name="_Ref169671267"/>
      <w:r w:rsidR="00464E65">
        <w:t xml:space="preserve">CC, conventional cytology; LBC, liquid-based cytology; </w:t>
      </w:r>
      <w:r w:rsidR="00464DC4">
        <w:t>SD, standard deviation</w:t>
      </w:r>
    </w:p>
    <w:p w:rsidR="00FD6C32" w:rsidRDefault="009C4D0C" w:rsidP="00F145F5">
      <w:pPr>
        <w:pStyle w:val="Tabletext"/>
      </w:pPr>
      <w:proofErr w:type="gramStart"/>
      <w:r>
        <w:t>a</w:t>
      </w:r>
      <w:proofErr w:type="gramEnd"/>
      <w:r w:rsidR="00945B4B">
        <w:tab/>
      </w:r>
      <w:r>
        <w:t>Age distribution of patients calculated manually from the g</w:t>
      </w:r>
      <w:r w:rsidR="00464E65">
        <w:t xml:space="preserve">raph in Figure 2, Obwegeser </w:t>
      </w:r>
      <w:r>
        <w:t>2001 p.711</w:t>
      </w:r>
    </w:p>
    <w:p w:rsidR="00FD6C32" w:rsidRDefault="00945B4B" w:rsidP="00F145F5">
      <w:pPr>
        <w:pStyle w:val="Tabletext"/>
      </w:pPr>
      <w:r>
        <w:t xml:space="preserve">† </w:t>
      </w:r>
      <w:r>
        <w:tab/>
      </w:r>
      <w:r w:rsidR="009C4D0C" w:rsidRPr="004C2540">
        <w:t>P</w:t>
      </w:r>
      <w:r w:rsidR="00FD6C32">
        <w:t xml:space="preserve"> </w:t>
      </w:r>
      <w:r w:rsidR="009C4D0C" w:rsidRPr="004C2540">
        <w:t>&lt;</w:t>
      </w:r>
      <w:r w:rsidR="00FD6C32">
        <w:t xml:space="preserve"> 0.001, using the S</w:t>
      </w:r>
      <w:r w:rsidR="009C4D0C" w:rsidRPr="004C2540">
        <w:t>tudent t test</w:t>
      </w:r>
    </w:p>
    <w:p w:rsidR="00FD6C32" w:rsidRDefault="00945B4B" w:rsidP="00FD6C32">
      <w:pPr>
        <w:pStyle w:val="Tabletext"/>
        <w:ind w:left="720" w:hanging="720"/>
      </w:pPr>
      <w:r>
        <w:t xml:space="preserve">* </w:t>
      </w:r>
      <w:r>
        <w:tab/>
        <w:t>The authors report that the slight difference in age (CCT 36.9 years, LBC 37.6 years) is, “statistically significant but is compatible with the adopted method of randomisation and is not likely to affect the overall results”(Ma</w:t>
      </w:r>
      <w:r w:rsidR="00FD6C32">
        <w:t xml:space="preserve">ccallini </w:t>
      </w:r>
      <w:r>
        <w:t>2008 p. 571)</w:t>
      </w:r>
    </w:p>
    <w:p w:rsidR="009C4D0C" w:rsidRDefault="00945B4B" w:rsidP="00FD6C32">
      <w:pPr>
        <w:pStyle w:val="Tabletext"/>
        <w:ind w:left="720" w:hanging="720"/>
      </w:pPr>
      <w:r>
        <w:t xml:space="preserve">^ </w:t>
      </w:r>
      <w:r>
        <w:tab/>
        <w:t>The authors report that the, “distribution was uneven but random”, and no statistical compariso</w:t>
      </w:r>
      <w:r w:rsidR="00464E65">
        <w:t xml:space="preserve">n was provided (Strander </w:t>
      </w:r>
      <w:r>
        <w:t>2007 p. 287)</w:t>
      </w:r>
    </w:p>
    <w:p w:rsidR="009C4D0C" w:rsidRDefault="009C4D0C" w:rsidP="009C4D0C">
      <w:pPr>
        <w:pStyle w:val="Tablenotes"/>
      </w:pPr>
    </w:p>
    <w:p w:rsidR="009C4D0C" w:rsidRPr="00274021" w:rsidRDefault="009C4D0C" w:rsidP="009C4D0C">
      <w:pPr>
        <w:pStyle w:val="Tablenotes"/>
        <w:sectPr w:rsidR="009C4D0C" w:rsidRPr="00274021" w:rsidSect="008846BA">
          <w:pgSz w:w="11907" w:h="16840" w:code="9"/>
          <w:pgMar w:top="1418" w:right="1418" w:bottom="1701" w:left="1814" w:header="720" w:footer="720" w:gutter="0"/>
          <w:paperSrc w:first="7" w:other="7"/>
          <w:cols w:space="720"/>
          <w:noEndnote/>
        </w:sectPr>
      </w:pPr>
    </w:p>
    <w:p w:rsidR="009C4D0C" w:rsidRPr="00C81AA5" w:rsidRDefault="009C4D0C" w:rsidP="009C4D0C">
      <w:pPr>
        <w:pStyle w:val="Heading30"/>
      </w:pPr>
      <w:bookmarkStart w:id="181" w:name="_Ref191792519"/>
      <w:bookmarkStart w:id="182" w:name="_Toc191822158"/>
      <w:bookmarkStart w:id="183" w:name="_Toc191822208"/>
      <w:bookmarkStart w:id="184" w:name="_Toc191822258"/>
      <w:bookmarkStart w:id="185" w:name="_Toc258501779"/>
      <w:bookmarkStart w:id="186" w:name="_Toc312340158"/>
      <w:bookmarkStart w:id="187" w:name="_Toc316369902"/>
      <w:bookmarkStart w:id="188" w:name="_Toc337546886"/>
      <w:r w:rsidRPr="00C81AA5">
        <w:lastRenderedPageBreak/>
        <w:t>B.4.3</w:t>
      </w:r>
      <w:r w:rsidRPr="00C81AA5">
        <w:tab/>
        <w:t>Interventions in the direct randomised trials</w:t>
      </w:r>
      <w:bookmarkEnd w:id="181"/>
      <w:bookmarkEnd w:id="182"/>
      <w:bookmarkEnd w:id="183"/>
      <w:bookmarkEnd w:id="184"/>
      <w:bookmarkEnd w:id="185"/>
      <w:bookmarkEnd w:id="186"/>
      <w:bookmarkEnd w:id="187"/>
      <w:bookmarkEnd w:id="188"/>
    </w:p>
    <w:p w:rsidR="009C4D0C" w:rsidRPr="00C81AA5" w:rsidRDefault="009C4D0C" w:rsidP="009C4D0C">
      <w:r w:rsidRPr="00C81AA5">
        <w:t xml:space="preserve">The methods of sample collection, slide preparation and the tools and equipment used varied between the included trials. </w:t>
      </w:r>
      <w:r w:rsidR="00086C77">
        <w:fldChar w:fldCharType="begin"/>
      </w:r>
      <w:r w:rsidR="00086C77">
        <w:instrText xml:space="preserve"> REF _Ref191364274 \h  \* MERGEFORMAT </w:instrText>
      </w:r>
      <w:r w:rsidR="00086C77">
        <w:fldChar w:fldCharType="separate"/>
      </w:r>
      <w:r w:rsidR="003361A8" w:rsidRPr="00274021">
        <w:t xml:space="preserve">Table </w:t>
      </w:r>
      <w:r w:rsidR="003361A8">
        <w:rPr>
          <w:noProof/>
        </w:rPr>
        <w:t>17</w:t>
      </w:r>
      <w:r w:rsidR="00086C77">
        <w:fldChar w:fldCharType="end"/>
      </w:r>
      <w:r w:rsidRPr="00C81AA5">
        <w:t xml:space="preserve"> compares these interventions and the different protocols applied.</w:t>
      </w:r>
    </w:p>
    <w:p w:rsidR="009C4D0C" w:rsidRPr="00C81AA5" w:rsidRDefault="00D27B2F" w:rsidP="00F145F5">
      <w:pPr>
        <w:pStyle w:val="Heading40"/>
      </w:pPr>
      <w:r w:rsidRPr="00C81AA5">
        <w:t>Sample collection and training</w:t>
      </w:r>
    </w:p>
    <w:p w:rsidR="009C4D0C" w:rsidRDefault="00D27B2F" w:rsidP="009C4D0C">
      <w:r>
        <w:t xml:space="preserve">Generally </w:t>
      </w:r>
      <w:r w:rsidR="00864BC9">
        <w:t>midwives, GPs or gynaecologists</w:t>
      </w:r>
      <w:r w:rsidR="00C81AA5">
        <w:t xml:space="preserve"> collected samples for</w:t>
      </w:r>
      <w:r>
        <w:t xml:space="preserve"> the trials</w:t>
      </w:r>
      <w:r w:rsidR="00C81AA5">
        <w:t>; an</w:t>
      </w:r>
      <w:r>
        <w:t xml:space="preserve"> except</w:t>
      </w:r>
      <w:r w:rsidR="00C81AA5">
        <w:t xml:space="preserve">ion was Obwegeser </w:t>
      </w:r>
      <w:r>
        <w:t xml:space="preserve">2001 in which </w:t>
      </w:r>
      <w:r w:rsidR="000B10C9">
        <w:t xml:space="preserve">only </w:t>
      </w:r>
      <w:r>
        <w:t>gynaec</w:t>
      </w:r>
      <w:r w:rsidR="00C81AA5">
        <w:t xml:space="preserve">ologists collected the samples. </w:t>
      </w:r>
      <w:r w:rsidR="009C4D0C">
        <w:t>Obwegeser 2001</w:t>
      </w:r>
      <w:r w:rsidR="00C81AA5">
        <w:t xml:space="preserve"> describes</w:t>
      </w:r>
      <w:r w:rsidR="009C4D0C">
        <w:t xml:space="preserve"> a very different method of sample collection whereby </w:t>
      </w:r>
      <w:r w:rsidR="000B10C9">
        <w:t>mucus and debris of the cervix we</w:t>
      </w:r>
      <w:r w:rsidR="009C4D0C">
        <w:t>re removed with a cellulos</w:t>
      </w:r>
      <w:r w:rsidR="00C81AA5">
        <w:t>e swab before cervical cells were collected</w:t>
      </w:r>
      <w:r w:rsidR="009C4D0C">
        <w:t xml:space="preserve"> under colposcopic guidance. Colposcopic guidance was </w:t>
      </w:r>
      <w:r w:rsidR="00C81AA5">
        <w:t>not reported in any other trial</w:t>
      </w:r>
      <w:r w:rsidR="009C4D0C">
        <w:t xml:space="preserve"> and is not p</w:t>
      </w:r>
      <w:r w:rsidR="00C81AA5">
        <w:t>ossible in many countries. W</w:t>
      </w:r>
      <w:r w:rsidR="009C4D0C">
        <w:t>hilst removing mucus and cellular debris may increase the specimen adequacy of slides, degenerated abnormal cells can be lost on the cellulose swab prior to cell collec</w:t>
      </w:r>
      <w:r w:rsidR="00C81AA5">
        <w:t xml:space="preserve">tion (Obwegeser 2001). The </w:t>
      </w:r>
      <w:r w:rsidR="009C4D0C">
        <w:t>collection methods used by Obwegeser 2001 may explain the uncharacteristic result of higher unsatisfactory rates in the LBC arm c</w:t>
      </w:r>
      <w:r w:rsidR="00C81AA5">
        <w:t>ompared to CC</w:t>
      </w:r>
      <w:r w:rsidR="00FD6C32">
        <w:t xml:space="preserve"> (see s</w:t>
      </w:r>
      <w:r w:rsidR="009C4D0C">
        <w:t xml:space="preserve">ection </w:t>
      </w:r>
      <w:r w:rsidR="007476F2">
        <w:t>B.6</w:t>
      </w:r>
      <w:r w:rsidR="009C4D0C">
        <w:t>).</w:t>
      </w:r>
      <w:r w:rsidRPr="00D27B2F">
        <w:t xml:space="preserve"> </w:t>
      </w:r>
      <w:r>
        <w:t xml:space="preserve">The NETHCON trials and </w:t>
      </w:r>
      <w:r w:rsidR="00C81AA5">
        <w:t xml:space="preserve">Strander </w:t>
      </w:r>
      <w:r>
        <w:t>2007 report</w:t>
      </w:r>
      <w:r w:rsidR="00C81AA5">
        <w:t>ed</w:t>
      </w:r>
      <w:r>
        <w:t xml:space="preserve"> the provision of specific training for the collection of the LBC sample.</w:t>
      </w:r>
    </w:p>
    <w:p w:rsidR="009C4D0C" w:rsidRPr="00C81AA5" w:rsidRDefault="00C81AA5" w:rsidP="00F145F5">
      <w:pPr>
        <w:pStyle w:val="Heading40"/>
      </w:pPr>
      <w:r>
        <w:t>Collection t</w:t>
      </w:r>
      <w:r w:rsidR="009C4D0C" w:rsidRPr="00C81AA5">
        <w:t>ool</w:t>
      </w:r>
    </w:p>
    <w:p w:rsidR="009C4D0C" w:rsidRDefault="00D27B2F" w:rsidP="009C4D0C">
      <w:r>
        <w:t>The collection tool used was not reported for all trials</w:t>
      </w:r>
      <w:r w:rsidR="00C81AA5">
        <w:t>, but in</w:t>
      </w:r>
      <w:r>
        <w:t xml:space="preserve"> those </w:t>
      </w:r>
      <w:r w:rsidR="00A978A9">
        <w:t>t</w:t>
      </w:r>
      <w:r>
        <w:t xml:space="preserve">hat did report the </w:t>
      </w:r>
      <w:r w:rsidR="00C81AA5">
        <w:t>tool type, these were</w:t>
      </w:r>
      <w:r>
        <w:t xml:space="preserve"> identical in both arms of eac</w:t>
      </w:r>
      <w:r w:rsidR="00C81AA5">
        <w:t xml:space="preserve">h trial with the exception of Obwegeser </w:t>
      </w:r>
      <w:r>
        <w:t>2001</w:t>
      </w:r>
      <w:r w:rsidR="00C81AA5">
        <w:t>, wherein a Szalay s</w:t>
      </w:r>
      <w:r>
        <w:t xml:space="preserve">patula was used for the collection </w:t>
      </w:r>
      <w:r w:rsidR="00C81AA5">
        <w:t>of cells for CC</w:t>
      </w:r>
      <w:r>
        <w:t>, with either a Rovers Cervix-Brush or an Orifice Oribrush to collect cells for LBC.</w:t>
      </w:r>
      <w:r w:rsidR="009C4D0C">
        <w:t xml:space="preserve"> The Strander 2007 protocol was for fornix and portio cells to be collected using a</w:t>
      </w:r>
      <w:r w:rsidR="00C81AA5">
        <w:t xml:space="preserve"> wooden spatula for the CC</w:t>
      </w:r>
      <w:r w:rsidR="009C4D0C">
        <w:t xml:space="preserve"> slide and a plastic spatula for LBC slides. Endocervical cells were to be collected using a cytobrush regardless of the intervention. </w:t>
      </w:r>
      <w:r>
        <w:t xml:space="preserve">Generally a cytobrush or </w:t>
      </w:r>
      <w:r w:rsidR="003954A4">
        <w:t>spatula</w:t>
      </w:r>
      <w:r w:rsidR="000B10C9">
        <w:t xml:space="preserve"> was</w:t>
      </w:r>
      <w:r>
        <w:t xml:space="preserve"> used to collect samples</w:t>
      </w:r>
      <w:r w:rsidR="009C4D0C">
        <w:t>.</w:t>
      </w:r>
    </w:p>
    <w:p w:rsidR="00214FDA" w:rsidRDefault="00214FDA" w:rsidP="00214FDA">
      <w:pPr>
        <w:pStyle w:val="Heading40"/>
      </w:pPr>
      <w:r>
        <w:t>A</w:t>
      </w:r>
      <w:r w:rsidRPr="00214FDA">
        <w:t xml:space="preserve">pplied quality system </w:t>
      </w:r>
    </w:p>
    <w:p w:rsidR="00214FDA" w:rsidRDefault="00214FDA" w:rsidP="009C4D0C">
      <w:r>
        <w:t xml:space="preserve">Most trials reported a quality system that </w:t>
      </w:r>
      <w:r w:rsidRPr="00214FDA">
        <w:t>assure</w:t>
      </w:r>
      <w:r>
        <w:t>d</w:t>
      </w:r>
      <w:r w:rsidRPr="00214FDA">
        <w:t xml:space="preserve"> reliability </w:t>
      </w:r>
      <w:r>
        <w:t>of the test and outcome result.</w:t>
      </w:r>
    </w:p>
    <w:p w:rsidR="009C4D0C" w:rsidRPr="00C81AA5" w:rsidRDefault="009C4D0C" w:rsidP="00F145F5">
      <w:pPr>
        <w:pStyle w:val="Heading40"/>
      </w:pPr>
      <w:r w:rsidRPr="00C81AA5">
        <w:t>Technology</w:t>
      </w:r>
      <w:r w:rsidR="00D27B2F" w:rsidRPr="00C81AA5">
        <w:t xml:space="preserve"> and experience</w:t>
      </w:r>
    </w:p>
    <w:p w:rsidR="009C4D0C" w:rsidRDefault="009C4D0C" w:rsidP="009C4D0C">
      <w:r>
        <w:t xml:space="preserve">Strander 2007 and Obwegeser 2001 used the ThinPrep2000 processor and </w:t>
      </w:r>
      <w:r w:rsidR="00C81AA5">
        <w:t>the NETHCON trial used the ThinP</w:t>
      </w:r>
      <w:r>
        <w:t>rep3000 processor for LBC cells. The MAVARIC study used both the Focal</w:t>
      </w:r>
      <w:r w:rsidR="00CD48EA">
        <w:t xml:space="preserve">Point GS imaging system for review </w:t>
      </w:r>
      <w:r>
        <w:t>of SurePath slides and the ThinPrep imaging for ThinPrep slides. The ThinPrep Remote Imaging System, MultiCyte</w:t>
      </w:r>
      <w:r w:rsidRPr="00A24B4F">
        <w:rPr>
          <w:vertAlign w:val="superscript"/>
        </w:rPr>
        <w:t>™</w:t>
      </w:r>
      <w:r>
        <w:t xml:space="preserve"> was used in Palmer 2012.</w:t>
      </w:r>
    </w:p>
    <w:p w:rsidR="00D27B2F" w:rsidRDefault="003F4F7D" w:rsidP="009C4D0C">
      <w:r>
        <w:t>Most trials reported specific LBC training for cytotechn</w:t>
      </w:r>
      <w:r w:rsidR="003F1915">
        <w:t>ologists</w:t>
      </w:r>
      <w:r>
        <w:t xml:space="preserve"> and cytologists; exceptions were the RODEO and</w:t>
      </w:r>
      <w:r w:rsidR="00D27B2F">
        <w:t xml:space="preserve"> NTCC trial</w:t>
      </w:r>
      <w:r>
        <w:t>s, and Macallini 2008.</w:t>
      </w:r>
    </w:p>
    <w:p w:rsidR="00456E86" w:rsidRPr="00C06D8A" w:rsidRDefault="003F4F7D" w:rsidP="00456E86">
      <w:r>
        <w:lastRenderedPageBreak/>
        <w:t>In the MAVARIC trials of</w:t>
      </w:r>
      <w:r w:rsidR="00456E86" w:rsidRPr="00C06D8A">
        <w:t xml:space="preserve"> automated versus manual review </w:t>
      </w:r>
      <w:r>
        <w:t xml:space="preserve">of slides </w:t>
      </w:r>
      <w:r w:rsidR="00456E86" w:rsidRPr="00C06D8A">
        <w:t xml:space="preserve">was conducted in a single centre. The Palmer </w:t>
      </w:r>
      <w:r>
        <w:t xml:space="preserve">2012 study </w:t>
      </w:r>
      <w:r w:rsidR="00456E86" w:rsidRPr="00C06D8A">
        <w:t xml:space="preserve">encompassed six laboratories and used only one new technology. </w:t>
      </w:r>
      <w:r w:rsidR="00456E86">
        <w:t xml:space="preserve">In the MAVARIC trial there was a variety of experience with manual and automated </w:t>
      </w:r>
      <w:proofErr w:type="gramStart"/>
      <w:r w:rsidR="00456E86">
        <w:t>LBC,</w:t>
      </w:r>
      <w:proofErr w:type="gramEnd"/>
      <w:r w:rsidR="00456E86">
        <w:t xml:space="preserve"> training was provided to a pool of cytoscreeners. </w:t>
      </w:r>
      <w:r w:rsidR="00456E86" w:rsidRPr="00C06D8A">
        <w:t>There is no mention of feedback to screeners in the MAVARI</w:t>
      </w:r>
      <w:r>
        <w:t>C study after initial training.</w:t>
      </w:r>
      <w:r w:rsidR="00456E86" w:rsidRPr="00C06D8A">
        <w:t xml:space="preserve"> By contrast, review and reinforcement of training was carried out in the Palmer</w:t>
      </w:r>
      <w:r>
        <w:t xml:space="preserve"> 2012</w:t>
      </w:r>
      <w:r w:rsidR="00456E86" w:rsidRPr="00C06D8A">
        <w:t xml:space="preserve"> study when screening errors were identified by quality control review. </w:t>
      </w:r>
    </w:p>
    <w:p w:rsidR="009C4D0C" w:rsidRPr="00D90F2E" w:rsidRDefault="009C4D0C" w:rsidP="009C4D0C">
      <w:pPr>
        <w:sectPr w:rsidR="009C4D0C" w:rsidRPr="00D90F2E" w:rsidSect="008846BA">
          <w:pgSz w:w="11907" w:h="16840" w:code="9"/>
          <w:pgMar w:top="1418" w:right="1418" w:bottom="1701" w:left="1814" w:header="720" w:footer="720" w:gutter="0"/>
          <w:paperSrc w:first="7" w:other="7"/>
          <w:cols w:space="720"/>
          <w:noEndnote/>
        </w:sectPr>
      </w:pPr>
      <w:r>
        <w:t xml:space="preserve">The diverse range of sampling methods, collection tools and processing technology may provide an explanation for some of the discrepancies identified in the results between the included trials (See section </w:t>
      </w:r>
      <w:r w:rsidR="00D27B2F">
        <w:t>B.6</w:t>
      </w:r>
      <w:r>
        <w:t xml:space="preserve">). </w:t>
      </w:r>
    </w:p>
    <w:p w:rsidR="009C4D0C" w:rsidRPr="00274021" w:rsidRDefault="009C4D0C" w:rsidP="009C4D0C">
      <w:pPr>
        <w:pStyle w:val="Tablecaption"/>
      </w:pPr>
      <w:bookmarkStart w:id="189" w:name="_Ref191364274"/>
      <w:bookmarkStart w:id="190" w:name="_Toc192319857"/>
      <w:bookmarkStart w:id="191" w:name="_Ref311627757"/>
      <w:bookmarkStart w:id="192" w:name="_Toc312340202"/>
      <w:bookmarkStart w:id="193" w:name="_Toc316368189"/>
      <w:bookmarkStart w:id="194" w:name="_Ref333304908"/>
      <w:bookmarkStart w:id="195" w:name="_Toc335665983"/>
      <w:bookmarkStart w:id="196" w:name="_Toc337546954"/>
      <w:r w:rsidRPr="00274021">
        <w:lastRenderedPageBreak/>
        <w:t xml:space="preserve">Table </w:t>
      </w:r>
      <w:fldSimple w:instr=" SEQ Table \* ARABIC ">
        <w:r w:rsidR="003361A8">
          <w:rPr>
            <w:noProof/>
          </w:rPr>
          <w:t>17</w:t>
        </w:r>
      </w:fldSimple>
      <w:bookmarkEnd w:id="180"/>
      <w:bookmarkEnd w:id="189"/>
      <w:r w:rsidRPr="00274021">
        <w:tab/>
        <w:t>Interventions compared by the direct randomised trials</w:t>
      </w:r>
      <w:bookmarkEnd w:id="190"/>
      <w:bookmarkEnd w:id="191"/>
      <w:bookmarkEnd w:id="192"/>
      <w:bookmarkEnd w:id="193"/>
      <w:bookmarkEnd w:id="194"/>
      <w:bookmarkEnd w:id="195"/>
      <w:bookmarkEnd w:id="1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4"/>
        <w:gridCol w:w="1320"/>
        <w:gridCol w:w="1005"/>
        <w:gridCol w:w="981"/>
        <w:gridCol w:w="1449"/>
        <w:gridCol w:w="1961"/>
        <w:gridCol w:w="2151"/>
        <w:gridCol w:w="2627"/>
        <w:gridCol w:w="1268"/>
      </w:tblGrid>
      <w:tr w:rsidR="00416B1C" w:rsidRPr="001702A4" w:rsidTr="00416B1C">
        <w:trPr>
          <w:tblHeader/>
        </w:trPr>
        <w:tc>
          <w:tcPr>
            <w:tcW w:w="0" w:type="auto"/>
            <w:tcBorders>
              <w:bottom w:val="single" w:sz="4" w:space="0" w:color="auto"/>
            </w:tcBorders>
          </w:tcPr>
          <w:p w:rsidR="00416B1C" w:rsidRPr="00F92017" w:rsidRDefault="00416B1C" w:rsidP="00904BA0">
            <w:pPr>
              <w:pStyle w:val="Tableheading"/>
            </w:pPr>
            <w:r w:rsidRPr="00F92017">
              <w:t>Trial ID</w:t>
            </w:r>
          </w:p>
        </w:tc>
        <w:tc>
          <w:tcPr>
            <w:tcW w:w="0" w:type="auto"/>
          </w:tcPr>
          <w:p w:rsidR="00416B1C" w:rsidRPr="00F92017" w:rsidRDefault="00416B1C" w:rsidP="00904BA0">
            <w:pPr>
              <w:pStyle w:val="Tableheading"/>
            </w:pPr>
            <w:r w:rsidRPr="00F92017">
              <w:t>Intervention</w:t>
            </w:r>
          </w:p>
        </w:tc>
        <w:tc>
          <w:tcPr>
            <w:tcW w:w="0" w:type="auto"/>
            <w:gridSpan w:val="2"/>
          </w:tcPr>
          <w:p w:rsidR="00416B1C" w:rsidRPr="00F92017" w:rsidRDefault="00416B1C" w:rsidP="00904BA0">
            <w:pPr>
              <w:pStyle w:val="Tableheading"/>
            </w:pPr>
            <w:r>
              <w:t>Professional groups taking the smears</w:t>
            </w:r>
          </w:p>
        </w:tc>
        <w:tc>
          <w:tcPr>
            <w:tcW w:w="0" w:type="auto"/>
          </w:tcPr>
          <w:p w:rsidR="00416B1C" w:rsidRPr="00F92017" w:rsidRDefault="00416B1C" w:rsidP="00904BA0">
            <w:pPr>
              <w:pStyle w:val="Tableheading"/>
            </w:pPr>
            <w:r>
              <w:t>Collection t</w:t>
            </w:r>
            <w:r w:rsidRPr="00F92017">
              <w:t>ool</w:t>
            </w:r>
            <w:r>
              <w:t>/s</w:t>
            </w:r>
          </w:p>
        </w:tc>
        <w:tc>
          <w:tcPr>
            <w:tcW w:w="0" w:type="auto"/>
          </w:tcPr>
          <w:p w:rsidR="00416B1C" w:rsidRPr="00F92017" w:rsidRDefault="00416B1C" w:rsidP="00904BA0">
            <w:pPr>
              <w:pStyle w:val="Tableheading"/>
            </w:pPr>
            <w:r w:rsidRPr="00F92017">
              <w:t>Technology used for slide preparation</w:t>
            </w:r>
          </w:p>
        </w:tc>
        <w:tc>
          <w:tcPr>
            <w:tcW w:w="0" w:type="auto"/>
          </w:tcPr>
          <w:p w:rsidR="00416B1C" w:rsidRDefault="00416B1C" w:rsidP="00904BA0">
            <w:pPr>
              <w:pStyle w:val="Tableheading"/>
            </w:pPr>
            <w:r>
              <w:t>A</w:t>
            </w:r>
            <w:r w:rsidRPr="00292411">
              <w:t>pplied quality system</w:t>
            </w:r>
          </w:p>
        </w:tc>
        <w:tc>
          <w:tcPr>
            <w:tcW w:w="0" w:type="auto"/>
          </w:tcPr>
          <w:p w:rsidR="00416B1C" w:rsidRPr="00F92017" w:rsidRDefault="00416B1C" w:rsidP="00904BA0">
            <w:pPr>
              <w:pStyle w:val="Tableheading"/>
            </w:pPr>
            <w:r>
              <w:t>Experience with technology</w:t>
            </w:r>
          </w:p>
        </w:tc>
        <w:tc>
          <w:tcPr>
            <w:tcW w:w="0" w:type="auto"/>
            <w:tcBorders>
              <w:bottom w:val="single" w:sz="4" w:space="0" w:color="auto"/>
            </w:tcBorders>
          </w:tcPr>
          <w:p w:rsidR="00416B1C" w:rsidRPr="00F92017" w:rsidRDefault="00416B1C" w:rsidP="00904BA0">
            <w:pPr>
              <w:pStyle w:val="Tableheading"/>
            </w:pPr>
            <w:r w:rsidRPr="00F92017">
              <w:t>Technology of imaging system</w:t>
            </w:r>
          </w:p>
        </w:tc>
      </w:tr>
      <w:tr w:rsidR="008F1CDB" w:rsidRPr="001702A4" w:rsidTr="008F1CDB">
        <w:tc>
          <w:tcPr>
            <w:tcW w:w="0" w:type="auto"/>
            <w:gridSpan w:val="9"/>
            <w:tcBorders>
              <w:bottom w:val="single" w:sz="4" w:space="0" w:color="auto"/>
            </w:tcBorders>
            <w:shd w:val="clear" w:color="auto" w:fill="D9D9D9"/>
          </w:tcPr>
          <w:p w:rsidR="008F1CDB" w:rsidRDefault="008F1CDB" w:rsidP="00904BA0">
            <w:pPr>
              <w:pStyle w:val="Tableheading"/>
            </w:pPr>
            <w:r>
              <w:t>Cell enrichment versus conventional cytology</w:t>
            </w:r>
          </w:p>
        </w:tc>
      </w:tr>
      <w:tr w:rsidR="008F1CDB" w:rsidRPr="001702A4" w:rsidTr="008F1CDB">
        <w:tc>
          <w:tcPr>
            <w:tcW w:w="0" w:type="auto"/>
            <w:gridSpan w:val="9"/>
            <w:tcBorders>
              <w:bottom w:val="single" w:sz="4" w:space="0" w:color="auto"/>
            </w:tcBorders>
          </w:tcPr>
          <w:p w:rsidR="008F1CDB" w:rsidRPr="00966E04" w:rsidRDefault="008F1CDB" w:rsidP="00904BA0">
            <w:pPr>
              <w:pStyle w:val="Tableheading"/>
              <w:rPr>
                <w:b w:val="0"/>
              </w:rPr>
            </w:pPr>
            <w:r w:rsidRPr="00966E04">
              <w:t>Beerman 2009</w:t>
            </w:r>
          </w:p>
        </w:tc>
      </w:tr>
      <w:tr w:rsidR="008F1CDB" w:rsidRPr="001702A4" w:rsidTr="00416B1C">
        <w:tc>
          <w:tcPr>
            <w:tcW w:w="0" w:type="auto"/>
            <w:tcBorders>
              <w:bottom w:val="single" w:sz="4" w:space="0" w:color="auto"/>
            </w:tcBorders>
          </w:tcPr>
          <w:p w:rsidR="008F1CDB" w:rsidRPr="00274021" w:rsidRDefault="008F1CDB" w:rsidP="00904BA0">
            <w:pPr>
              <w:pStyle w:val="Tableheading"/>
              <w:rPr>
                <w:b w:val="0"/>
              </w:rPr>
            </w:pPr>
            <w:r>
              <w:rPr>
                <w:b w:val="0"/>
              </w:rPr>
              <w:t>Conventional</w:t>
            </w:r>
          </w:p>
        </w:tc>
        <w:tc>
          <w:tcPr>
            <w:tcW w:w="0" w:type="auto"/>
          </w:tcPr>
          <w:p w:rsidR="008F1CDB" w:rsidRPr="00274021" w:rsidRDefault="008F1CDB" w:rsidP="00904BA0">
            <w:pPr>
              <w:pStyle w:val="Tableheading"/>
              <w:rPr>
                <w:b w:val="0"/>
              </w:rPr>
            </w:pPr>
            <w:r>
              <w:rPr>
                <w:b w:val="0"/>
              </w:rPr>
              <w:t>Conventional Pap smear</w:t>
            </w:r>
          </w:p>
        </w:tc>
        <w:tc>
          <w:tcPr>
            <w:tcW w:w="0" w:type="auto"/>
            <w:gridSpan w:val="2"/>
          </w:tcPr>
          <w:p w:rsidR="008F1CDB" w:rsidRPr="001702A4" w:rsidRDefault="008F1CDB" w:rsidP="00904BA0">
            <w:pPr>
              <w:pStyle w:val="Tableheading"/>
              <w:rPr>
                <w:b w:val="0"/>
              </w:rPr>
            </w:pPr>
            <w:r>
              <w:rPr>
                <w:b w:val="0"/>
              </w:rPr>
              <w:t>Collected by GP. Method not outlined</w:t>
            </w:r>
          </w:p>
        </w:tc>
        <w:tc>
          <w:tcPr>
            <w:tcW w:w="0" w:type="auto"/>
          </w:tcPr>
          <w:p w:rsidR="008F1CDB" w:rsidRPr="001702A4" w:rsidRDefault="008F1CDB" w:rsidP="00904BA0">
            <w:pPr>
              <w:pStyle w:val="Tableheading"/>
              <w:rPr>
                <w:b w:val="0"/>
              </w:rPr>
            </w:pPr>
            <w:r>
              <w:rPr>
                <w:b w:val="0"/>
              </w:rPr>
              <w:t>Rovers Cervix-Brush</w:t>
            </w:r>
          </w:p>
        </w:tc>
        <w:tc>
          <w:tcPr>
            <w:tcW w:w="0" w:type="auto"/>
          </w:tcPr>
          <w:p w:rsidR="008F1CDB" w:rsidRPr="001702A4" w:rsidRDefault="008F1CDB" w:rsidP="00743935">
            <w:pPr>
              <w:pStyle w:val="Tableheading"/>
              <w:rPr>
                <w:b w:val="0"/>
              </w:rPr>
            </w:pPr>
            <w:r>
              <w:rPr>
                <w:b w:val="0"/>
              </w:rPr>
              <w:t>Slides prepared according to standard laboratory protocols and stained with Pap stain</w:t>
            </w:r>
          </w:p>
        </w:tc>
        <w:tc>
          <w:tcPr>
            <w:tcW w:w="0" w:type="auto"/>
            <w:vMerge w:val="restart"/>
          </w:tcPr>
          <w:p w:rsidR="008F1CDB" w:rsidRPr="00292411" w:rsidRDefault="008F1CDB" w:rsidP="00416B1C">
            <w:pPr>
              <w:pStyle w:val="Tableheading"/>
              <w:rPr>
                <w:b w:val="0"/>
              </w:rPr>
            </w:pPr>
            <w:r w:rsidRPr="00292411">
              <w:rPr>
                <w:b w:val="0"/>
              </w:rPr>
              <w:t>All abnormal</w:t>
            </w:r>
            <w:r>
              <w:rPr>
                <w:b w:val="0"/>
              </w:rPr>
              <w:t xml:space="preserve"> </w:t>
            </w:r>
            <w:r w:rsidRPr="00292411">
              <w:rPr>
                <w:b w:val="0"/>
              </w:rPr>
              <w:t>smears of ASCUS or higher were reviewed by experienced cytopathologists</w:t>
            </w:r>
          </w:p>
          <w:p w:rsidR="008F1CDB" w:rsidRDefault="008F1CDB" w:rsidP="00904BA0">
            <w:pPr>
              <w:pStyle w:val="Tableheading"/>
              <w:rPr>
                <w:b w:val="0"/>
              </w:rPr>
            </w:pPr>
          </w:p>
        </w:tc>
        <w:tc>
          <w:tcPr>
            <w:tcW w:w="0" w:type="auto"/>
          </w:tcPr>
          <w:p w:rsidR="008F1CDB"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NR</w:t>
            </w:r>
          </w:p>
        </w:tc>
      </w:tr>
      <w:tr w:rsidR="008F1CDB" w:rsidRPr="001702A4" w:rsidTr="00416B1C">
        <w:trPr>
          <w:trHeight w:val="232"/>
        </w:trPr>
        <w:tc>
          <w:tcPr>
            <w:tcW w:w="0" w:type="auto"/>
            <w:tcBorders>
              <w:bottom w:val="single" w:sz="4" w:space="0" w:color="auto"/>
            </w:tcBorders>
          </w:tcPr>
          <w:p w:rsidR="008F1CDB" w:rsidRPr="00274021" w:rsidRDefault="008F1CDB" w:rsidP="00904BA0">
            <w:pPr>
              <w:pStyle w:val="Tableheading"/>
              <w:rPr>
                <w:b w:val="0"/>
              </w:rPr>
            </w:pPr>
            <w:r>
              <w:rPr>
                <w:b w:val="0"/>
              </w:rPr>
              <w:t>LBC</w:t>
            </w:r>
          </w:p>
        </w:tc>
        <w:tc>
          <w:tcPr>
            <w:tcW w:w="0" w:type="auto"/>
          </w:tcPr>
          <w:p w:rsidR="008F1CDB" w:rsidRPr="00274021" w:rsidRDefault="008F1CDB" w:rsidP="00904BA0">
            <w:pPr>
              <w:pStyle w:val="Tableheading"/>
              <w:rPr>
                <w:b w:val="0"/>
              </w:rPr>
            </w:pPr>
            <w:r>
              <w:rPr>
                <w:b w:val="0"/>
              </w:rPr>
              <w:t>SurePath</w:t>
            </w:r>
          </w:p>
        </w:tc>
        <w:tc>
          <w:tcPr>
            <w:tcW w:w="0" w:type="auto"/>
            <w:gridSpan w:val="2"/>
          </w:tcPr>
          <w:p w:rsidR="008F1CDB" w:rsidRPr="001702A4" w:rsidRDefault="008F1CDB" w:rsidP="00904BA0">
            <w:pPr>
              <w:pStyle w:val="Tableheading"/>
              <w:rPr>
                <w:b w:val="0"/>
              </w:rPr>
            </w:pPr>
            <w:r>
              <w:rPr>
                <w:b w:val="0"/>
              </w:rPr>
              <w:t>Collected by GP. Method not outlined</w:t>
            </w:r>
          </w:p>
        </w:tc>
        <w:tc>
          <w:tcPr>
            <w:tcW w:w="0" w:type="auto"/>
          </w:tcPr>
          <w:p w:rsidR="008F1CDB" w:rsidRPr="001702A4" w:rsidRDefault="008F1CDB" w:rsidP="00904BA0">
            <w:pPr>
              <w:pStyle w:val="Tableheading"/>
              <w:rPr>
                <w:b w:val="0"/>
              </w:rPr>
            </w:pPr>
            <w:r>
              <w:rPr>
                <w:b w:val="0"/>
              </w:rPr>
              <w:t>Rovers Cervix-Brush</w:t>
            </w:r>
          </w:p>
        </w:tc>
        <w:tc>
          <w:tcPr>
            <w:tcW w:w="0" w:type="auto"/>
          </w:tcPr>
          <w:p w:rsidR="008F1CDB" w:rsidRPr="001702A4" w:rsidRDefault="008F1CDB" w:rsidP="00904BA0">
            <w:pPr>
              <w:pStyle w:val="Tableheading"/>
              <w:rPr>
                <w:b w:val="0"/>
              </w:rPr>
            </w:pPr>
            <w:r>
              <w:rPr>
                <w:b w:val="0"/>
              </w:rPr>
              <w:t>Tip of the brush removed and completely immersed in a disposable collection vial from TriPath Imaging. Slides were then prepared according to manufacturer’s guidelines</w:t>
            </w:r>
          </w:p>
        </w:tc>
        <w:tc>
          <w:tcPr>
            <w:tcW w:w="0" w:type="auto"/>
            <w:vMerge/>
          </w:tcPr>
          <w:p w:rsidR="008F1CDB" w:rsidRDefault="008F1CDB" w:rsidP="00E00C23">
            <w:pPr>
              <w:pStyle w:val="Tableheading"/>
              <w:rPr>
                <w:b w:val="0"/>
              </w:rPr>
            </w:pPr>
          </w:p>
        </w:tc>
        <w:tc>
          <w:tcPr>
            <w:tcW w:w="0" w:type="auto"/>
          </w:tcPr>
          <w:p w:rsidR="008F1CDB" w:rsidRDefault="008F1CDB" w:rsidP="00E00C23">
            <w:pPr>
              <w:pStyle w:val="Tableheading"/>
              <w:rPr>
                <w:b w:val="0"/>
              </w:rPr>
            </w:pPr>
            <w:r>
              <w:rPr>
                <w:b w:val="0"/>
              </w:rPr>
              <w:t>Slides prepared according to manufacturer’s guidelines. Participating cytopathologists and cytotechnicians trained in interpretation of LBC prior to study start</w:t>
            </w:r>
          </w:p>
        </w:tc>
        <w:tc>
          <w:tcPr>
            <w:tcW w:w="0" w:type="auto"/>
            <w:tcBorders>
              <w:bottom w:val="single" w:sz="4" w:space="0" w:color="auto"/>
            </w:tcBorders>
          </w:tcPr>
          <w:p w:rsidR="008F1CDB" w:rsidRPr="001702A4" w:rsidRDefault="008F1CDB" w:rsidP="00904BA0">
            <w:pPr>
              <w:pStyle w:val="Tableheading"/>
              <w:rPr>
                <w:b w:val="0"/>
              </w:rPr>
            </w:pPr>
            <w:r>
              <w:rPr>
                <w:b w:val="0"/>
              </w:rPr>
              <w:t>NR</w:t>
            </w:r>
          </w:p>
        </w:tc>
      </w:tr>
      <w:tr w:rsidR="008F1CDB" w:rsidRPr="001702A4" w:rsidTr="008F1CDB">
        <w:tc>
          <w:tcPr>
            <w:tcW w:w="0" w:type="auto"/>
            <w:gridSpan w:val="9"/>
            <w:tcBorders>
              <w:bottom w:val="single" w:sz="4" w:space="0" w:color="auto"/>
            </w:tcBorders>
          </w:tcPr>
          <w:p w:rsidR="008F1CDB" w:rsidRDefault="008F1CDB" w:rsidP="003F4F7D">
            <w:pPr>
              <w:pStyle w:val="Tabletext"/>
            </w:pPr>
            <w:r>
              <w:t xml:space="preserve">Source: Beerman 2009 </w:t>
            </w:r>
          </w:p>
        </w:tc>
      </w:tr>
      <w:tr w:rsidR="008F1CDB" w:rsidRPr="001702A4" w:rsidTr="008F1CDB">
        <w:tc>
          <w:tcPr>
            <w:tcW w:w="0" w:type="auto"/>
            <w:gridSpan w:val="9"/>
            <w:tcBorders>
              <w:bottom w:val="single" w:sz="4" w:space="0" w:color="auto"/>
            </w:tcBorders>
          </w:tcPr>
          <w:p w:rsidR="008F1CDB" w:rsidRDefault="008F1CDB" w:rsidP="00904BA0">
            <w:pPr>
              <w:pStyle w:val="Tableheading"/>
            </w:pPr>
            <w:r>
              <w:t>RODEO study</w:t>
            </w:r>
          </w:p>
        </w:tc>
      </w:tr>
      <w:tr w:rsidR="008F1CDB" w:rsidRPr="001702A4" w:rsidTr="00416B1C">
        <w:tc>
          <w:tcPr>
            <w:tcW w:w="0" w:type="auto"/>
            <w:tcBorders>
              <w:bottom w:val="single" w:sz="4" w:space="0" w:color="auto"/>
            </w:tcBorders>
          </w:tcPr>
          <w:p w:rsidR="008F1CDB" w:rsidRPr="00274021" w:rsidRDefault="008F1CDB" w:rsidP="00904BA0">
            <w:pPr>
              <w:pStyle w:val="Tableheading"/>
              <w:rPr>
                <w:b w:val="0"/>
              </w:rPr>
            </w:pPr>
            <w:r>
              <w:rPr>
                <w:b w:val="0"/>
              </w:rPr>
              <w:t>Conventional</w:t>
            </w:r>
          </w:p>
        </w:tc>
        <w:tc>
          <w:tcPr>
            <w:tcW w:w="0" w:type="auto"/>
          </w:tcPr>
          <w:p w:rsidR="008F1CDB" w:rsidRPr="00274021" w:rsidRDefault="008F1CDB" w:rsidP="00904BA0">
            <w:pPr>
              <w:pStyle w:val="Tableheading"/>
              <w:rPr>
                <w:b w:val="0"/>
              </w:rPr>
            </w:pPr>
            <w:r>
              <w:rPr>
                <w:b w:val="0"/>
              </w:rPr>
              <w:t>Conventional Pap smear</w:t>
            </w:r>
          </w:p>
        </w:tc>
        <w:tc>
          <w:tcPr>
            <w:tcW w:w="0" w:type="auto"/>
            <w:gridSpan w:val="2"/>
          </w:tcPr>
          <w:p w:rsidR="008F1CDB" w:rsidRPr="001702A4"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NR</w:t>
            </w:r>
          </w:p>
        </w:tc>
        <w:tc>
          <w:tcPr>
            <w:tcW w:w="0" w:type="auto"/>
            <w:vMerge w:val="restart"/>
          </w:tcPr>
          <w:p w:rsidR="008F1CDB" w:rsidRDefault="008F1CDB" w:rsidP="00904BA0">
            <w:pPr>
              <w:pStyle w:val="Tableheading"/>
              <w:rPr>
                <w:b w:val="0"/>
              </w:rPr>
            </w:pPr>
            <w:r>
              <w:rPr>
                <w:b w:val="0"/>
              </w:rPr>
              <w:t>NR</w:t>
            </w:r>
          </w:p>
        </w:tc>
        <w:tc>
          <w:tcPr>
            <w:tcW w:w="0" w:type="auto"/>
          </w:tcPr>
          <w:p w:rsidR="008F1CDB"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Manual</w:t>
            </w:r>
          </w:p>
        </w:tc>
      </w:tr>
      <w:tr w:rsidR="008F1CDB" w:rsidRPr="001702A4" w:rsidTr="00416B1C">
        <w:tc>
          <w:tcPr>
            <w:tcW w:w="0" w:type="auto"/>
            <w:tcBorders>
              <w:bottom w:val="single" w:sz="4" w:space="0" w:color="auto"/>
            </w:tcBorders>
          </w:tcPr>
          <w:p w:rsidR="008F1CDB" w:rsidRPr="00274021" w:rsidRDefault="008F1CDB" w:rsidP="00904BA0">
            <w:pPr>
              <w:pStyle w:val="Tableheading"/>
              <w:rPr>
                <w:b w:val="0"/>
              </w:rPr>
            </w:pPr>
            <w:r>
              <w:rPr>
                <w:b w:val="0"/>
              </w:rPr>
              <w:t>LBC</w:t>
            </w:r>
          </w:p>
        </w:tc>
        <w:tc>
          <w:tcPr>
            <w:tcW w:w="0" w:type="auto"/>
          </w:tcPr>
          <w:p w:rsidR="008F1CDB" w:rsidRPr="00274021" w:rsidRDefault="008F1CDB" w:rsidP="00904BA0">
            <w:pPr>
              <w:pStyle w:val="Tableheading"/>
              <w:rPr>
                <w:b w:val="0"/>
              </w:rPr>
            </w:pPr>
            <w:r>
              <w:rPr>
                <w:b w:val="0"/>
              </w:rPr>
              <w:t>SurePath</w:t>
            </w:r>
          </w:p>
        </w:tc>
        <w:tc>
          <w:tcPr>
            <w:tcW w:w="0" w:type="auto"/>
            <w:gridSpan w:val="2"/>
          </w:tcPr>
          <w:p w:rsidR="008F1CDB" w:rsidRPr="001702A4"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NR</w:t>
            </w:r>
          </w:p>
        </w:tc>
        <w:tc>
          <w:tcPr>
            <w:tcW w:w="0" w:type="auto"/>
            <w:vMerge/>
          </w:tcPr>
          <w:p w:rsidR="008F1CDB" w:rsidRDefault="008F1CDB" w:rsidP="00904BA0">
            <w:pPr>
              <w:pStyle w:val="Tableheading"/>
              <w:rPr>
                <w:b w:val="0"/>
              </w:rPr>
            </w:pPr>
          </w:p>
        </w:tc>
        <w:tc>
          <w:tcPr>
            <w:tcW w:w="0" w:type="auto"/>
          </w:tcPr>
          <w:p w:rsidR="008F1CDB" w:rsidRDefault="008F1CDB" w:rsidP="00904BA0">
            <w:pPr>
              <w:pStyle w:val="Tableheading"/>
              <w:rPr>
                <w:b w:val="0"/>
              </w:rPr>
            </w:pPr>
            <w:r>
              <w:rPr>
                <w:b w:val="0"/>
              </w:rPr>
              <w:t>Prior LBC experience by lab not mentioned</w:t>
            </w:r>
          </w:p>
        </w:tc>
        <w:tc>
          <w:tcPr>
            <w:tcW w:w="0" w:type="auto"/>
            <w:tcBorders>
              <w:bottom w:val="single" w:sz="4" w:space="0" w:color="auto"/>
            </w:tcBorders>
          </w:tcPr>
          <w:p w:rsidR="008F1CDB" w:rsidRPr="001702A4" w:rsidRDefault="008F1CDB" w:rsidP="00904BA0">
            <w:pPr>
              <w:pStyle w:val="Tableheading"/>
              <w:rPr>
                <w:b w:val="0"/>
              </w:rPr>
            </w:pPr>
            <w:r>
              <w:rPr>
                <w:b w:val="0"/>
              </w:rPr>
              <w:t>Manual</w:t>
            </w:r>
          </w:p>
        </w:tc>
      </w:tr>
      <w:tr w:rsidR="00416B1C" w:rsidRPr="001702A4" w:rsidTr="00416B1C">
        <w:tc>
          <w:tcPr>
            <w:tcW w:w="0" w:type="auto"/>
            <w:gridSpan w:val="3"/>
            <w:tcBorders>
              <w:bottom w:val="single" w:sz="4" w:space="0" w:color="auto"/>
            </w:tcBorders>
          </w:tcPr>
          <w:p w:rsidR="00416B1C" w:rsidRDefault="00416B1C" w:rsidP="003F4F7D">
            <w:pPr>
              <w:pStyle w:val="Tabletext"/>
            </w:pPr>
          </w:p>
        </w:tc>
        <w:tc>
          <w:tcPr>
            <w:tcW w:w="0" w:type="auto"/>
            <w:gridSpan w:val="6"/>
            <w:tcBorders>
              <w:bottom w:val="single" w:sz="4" w:space="0" w:color="auto"/>
            </w:tcBorders>
          </w:tcPr>
          <w:p w:rsidR="00416B1C" w:rsidRPr="004A5341" w:rsidRDefault="00416B1C" w:rsidP="003F4F7D">
            <w:pPr>
              <w:pStyle w:val="Tabletext"/>
            </w:pPr>
            <w:r>
              <w:t xml:space="preserve">Source: Longatto-Filho </w:t>
            </w:r>
            <w:r w:rsidRPr="001F034D">
              <w:t>2011</w:t>
            </w:r>
            <w:r>
              <w:t xml:space="preserve">; Fregnani </w:t>
            </w:r>
            <w:r w:rsidRPr="001F034D">
              <w:t>2012</w:t>
            </w:r>
          </w:p>
        </w:tc>
      </w:tr>
      <w:tr w:rsidR="008F1CDB" w:rsidRPr="001702A4" w:rsidTr="008F1CDB">
        <w:tc>
          <w:tcPr>
            <w:tcW w:w="0" w:type="auto"/>
            <w:gridSpan w:val="9"/>
            <w:tcBorders>
              <w:bottom w:val="single" w:sz="4" w:space="0" w:color="auto"/>
            </w:tcBorders>
            <w:shd w:val="clear" w:color="auto" w:fill="D9D9D9"/>
          </w:tcPr>
          <w:p w:rsidR="008F1CDB" w:rsidRPr="00143418" w:rsidRDefault="008F1CDB" w:rsidP="00904BA0">
            <w:pPr>
              <w:pStyle w:val="Tableheading"/>
            </w:pPr>
            <w:r>
              <w:t>Cell filtration versus conventional c</w:t>
            </w:r>
            <w:r w:rsidRPr="00143418">
              <w:t>ytology</w:t>
            </w:r>
          </w:p>
        </w:tc>
      </w:tr>
      <w:tr w:rsidR="008F1CDB" w:rsidRPr="001702A4" w:rsidTr="008F1CDB">
        <w:tc>
          <w:tcPr>
            <w:tcW w:w="0" w:type="auto"/>
            <w:gridSpan w:val="9"/>
            <w:tcBorders>
              <w:bottom w:val="single" w:sz="4" w:space="0" w:color="auto"/>
            </w:tcBorders>
          </w:tcPr>
          <w:p w:rsidR="008F1CDB" w:rsidRPr="001F034D" w:rsidRDefault="008F1CDB" w:rsidP="00904BA0">
            <w:pPr>
              <w:pStyle w:val="Tableheading"/>
            </w:pPr>
            <w:r w:rsidRPr="001F034D">
              <w:t>NTCC Trial</w:t>
            </w:r>
          </w:p>
        </w:tc>
      </w:tr>
      <w:tr w:rsidR="008F1CDB" w:rsidRPr="001702A4" w:rsidTr="00416B1C">
        <w:tc>
          <w:tcPr>
            <w:tcW w:w="0" w:type="auto"/>
            <w:tcBorders>
              <w:bottom w:val="single" w:sz="4" w:space="0" w:color="auto"/>
            </w:tcBorders>
          </w:tcPr>
          <w:p w:rsidR="008F1CDB" w:rsidRPr="00274021" w:rsidRDefault="008F1CDB" w:rsidP="00904BA0">
            <w:pPr>
              <w:pStyle w:val="Tableheading"/>
              <w:rPr>
                <w:b w:val="0"/>
              </w:rPr>
            </w:pPr>
            <w:r>
              <w:rPr>
                <w:b w:val="0"/>
              </w:rPr>
              <w:lastRenderedPageBreak/>
              <w:t>Conventional</w:t>
            </w:r>
          </w:p>
        </w:tc>
        <w:tc>
          <w:tcPr>
            <w:tcW w:w="0" w:type="auto"/>
          </w:tcPr>
          <w:p w:rsidR="008F1CDB" w:rsidRPr="001702A4" w:rsidRDefault="008F1CDB" w:rsidP="00904BA0">
            <w:pPr>
              <w:pStyle w:val="Tableheading"/>
              <w:rPr>
                <w:b w:val="0"/>
              </w:rPr>
            </w:pPr>
            <w:r>
              <w:rPr>
                <w:b w:val="0"/>
              </w:rPr>
              <w:t>Conventional Pap smear</w:t>
            </w:r>
          </w:p>
        </w:tc>
        <w:tc>
          <w:tcPr>
            <w:tcW w:w="0" w:type="auto"/>
            <w:gridSpan w:val="2"/>
          </w:tcPr>
          <w:p w:rsidR="008F1CDB" w:rsidRPr="001702A4"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Plastic Ayre’s spatula and cytobrush</w:t>
            </w:r>
          </w:p>
        </w:tc>
        <w:tc>
          <w:tcPr>
            <w:tcW w:w="0" w:type="auto"/>
          </w:tcPr>
          <w:p w:rsidR="008F1CDB" w:rsidRPr="001702A4" w:rsidRDefault="008F1CDB" w:rsidP="00904BA0">
            <w:pPr>
              <w:pStyle w:val="Tableheading"/>
              <w:rPr>
                <w:b w:val="0"/>
              </w:rPr>
            </w:pPr>
            <w:r>
              <w:rPr>
                <w:b w:val="0"/>
              </w:rPr>
              <w:t>A standard Pap smear was prepared</w:t>
            </w:r>
          </w:p>
        </w:tc>
        <w:tc>
          <w:tcPr>
            <w:tcW w:w="0" w:type="auto"/>
            <w:vMerge w:val="restart"/>
          </w:tcPr>
          <w:p w:rsidR="008F1CDB" w:rsidRDefault="008F1CDB" w:rsidP="00904BA0">
            <w:pPr>
              <w:pStyle w:val="Tableheading"/>
              <w:rPr>
                <w:b w:val="0"/>
              </w:rPr>
            </w:pPr>
            <w:r w:rsidRPr="00292411">
              <w:rPr>
                <w:b w:val="0"/>
              </w:rPr>
              <w:t>The same cytologists were assigned to liquid-based and</w:t>
            </w:r>
            <w:r>
              <w:rPr>
                <w:b w:val="0"/>
              </w:rPr>
              <w:t xml:space="preserve"> </w:t>
            </w:r>
            <w:r w:rsidRPr="00292411">
              <w:rPr>
                <w:b w:val="0"/>
              </w:rPr>
              <w:t>conventional cytology. Abnormal slides were reviewed by a local</w:t>
            </w:r>
            <w:r>
              <w:rPr>
                <w:b w:val="0"/>
              </w:rPr>
              <w:t xml:space="preserve"> </w:t>
            </w:r>
            <w:r w:rsidRPr="00292411">
              <w:rPr>
                <w:b w:val="0"/>
              </w:rPr>
              <w:t>supervisor or, by a panel of cytologists) before they</w:t>
            </w:r>
            <w:r>
              <w:rPr>
                <w:b w:val="0"/>
              </w:rPr>
              <w:t xml:space="preserve"> </w:t>
            </w:r>
            <w:r w:rsidRPr="00292411">
              <w:rPr>
                <w:b w:val="0"/>
              </w:rPr>
              <w:t>reported the results to the women.</w:t>
            </w:r>
          </w:p>
        </w:tc>
        <w:tc>
          <w:tcPr>
            <w:tcW w:w="0" w:type="auto"/>
          </w:tcPr>
          <w:p w:rsidR="008F1CDB"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NR</w:t>
            </w:r>
          </w:p>
        </w:tc>
      </w:tr>
      <w:tr w:rsidR="008F1CDB" w:rsidRPr="001702A4" w:rsidTr="00416B1C">
        <w:trPr>
          <w:cantSplit/>
        </w:trPr>
        <w:tc>
          <w:tcPr>
            <w:tcW w:w="0" w:type="auto"/>
            <w:tcBorders>
              <w:bottom w:val="single" w:sz="4" w:space="0" w:color="auto"/>
            </w:tcBorders>
          </w:tcPr>
          <w:p w:rsidR="008F1CDB" w:rsidRPr="00274021" w:rsidRDefault="008F1CDB" w:rsidP="00904BA0">
            <w:pPr>
              <w:pStyle w:val="Tableheading"/>
              <w:rPr>
                <w:b w:val="0"/>
              </w:rPr>
            </w:pPr>
            <w:r>
              <w:rPr>
                <w:b w:val="0"/>
              </w:rPr>
              <w:t>LBC</w:t>
            </w:r>
          </w:p>
        </w:tc>
        <w:tc>
          <w:tcPr>
            <w:tcW w:w="0" w:type="auto"/>
          </w:tcPr>
          <w:p w:rsidR="008F1CDB" w:rsidRPr="001702A4" w:rsidRDefault="008F1CDB" w:rsidP="000C20D6">
            <w:pPr>
              <w:pStyle w:val="Tableheading"/>
              <w:rPr>
                <w:b w:val="0"/>
              </w:rPr>
            </w:pPr>
            <w:r>
              <w:rPr>
                <w:b w:val="0"/>
              </w:rPr>
              <w:t>ThinPrep + HPV testing (Hybrid Capture 2, HC2)</w:t>
            </w:r>
          </w:p>
        </w:tc>
        <w:tc>
          <w:tcPr>
            <w:tcW w:w="0" w:type="auto"/>
            <w:gridSpan w:val="2"/>
          </w:tcPr>
          <w:p w:rsidR="008F1CDB" w:rsidRPr="001702A4"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Plastic Ayre’s spatula and cytobrush</w:t>
            </w:r>
          </w:p>
        </w:tc>
        <w:tc>
          <w:tcPr>
            <w:tcW w:w="0" w:type="auto"/>
          </w:tcPr>
          <w:p w:rsidR="008F1CDB" w:rsidRPr="001702A4" w:rsidRDefault="008F1CDB" w:rsidP="00904BA0">
            <w:pPr>
              <w:pStyle w:val="Tableheading"/>
              <w:rPr>
                <w:b w:val="0"/>
              </w:rPr>
            </w:pPr>
            <w:r>
              <w:rPr>
                <w:b w:val="0"/>
              </w:rPr>
              <w:t>Cells were placed in PreserveCyt Solution and prepared using the ThinPrep system</w:t>
            </w:r>
          </w:p>
        </w:tc>
        <w:tc>
          <w:tcPr>
            <w:tcW w:w="0" w:type="auto"/>
            <w:vMerge/>
          </w:tcPr>
          <w:p w:rsidR="008F1CDB" w:rsidRDefault="008F1CDB" w:rsidP="00904BA0">
            <w:pPr>
              <w:pStyle w:val="Tableheading"/>
              <w:rPr>
                <w:b w:val="0"/>
              </w:rPr>
            </w:pPr>
          </w:p>
        </w:tc>
        <w:tc>
          <w:tcPr>
            <w:tcW w:w="0" w:type="auto"/>
          </w:tcPr>
          <w:p w:rsidR="008F1CDB" w:rsidRDefault="008F1CDB" w:rsidP="00904BA0">
            <w:pPr>
              <w:pStyle w:val="Tableheading"/>
              <w:rPr>
                <w:b w:val="0"/>
              </w:rPr>
            </w:pPr>
            <w:r>
              <w:rPr>
                <w:b w:val="0"/>
              </w:rPr>
              <w:t>Prior LBC experience by lab not mentioned</w:t>
            </w:r>
          </w:p>
        </w:tc>
        <w:tc>
          <w:tcPr>
            <w:tcW w:w="0" w:type="auto"/>
            <w:tcBorders>
              <w:bottom w:val="single" w:sz="4" w:space="0" w:color="auto"/>
            </w:tcBorders>
          </w:tcPr>
          <w:p w:rsidR="008F1CDB" w:rsidRPr="001702A4" w:rsidRDefault="008F1CDB" w:rsidP="00904BA0">
            <w:pPr>
              <w:pStyle w:val="Tableheading"/>
              <w:rPr>
                <w:b w:val="0"/>
              </w:rPr>
            </w:pPr>
            <w:r>
              <w:rPr>
                <w:b w:val="0"/>
              </w:rPr>
              <w:t>NR</w:t>
            </w:r>
          </w:p>
        </w:tc>
      </w:tr>
      <w:tr w:rsidR="008F1CDB" w:rsidRPr="001702A4" w:rsidTr="008F1CDB">
        <w:tc>
          <w:tcPr>
            <w:tcW w:w="0" w:type="auto"/>
            <w:gridSpan w:val="9"/>
            <w:tcBorders>
              <w:bottom w:val="single" w:sz="4" w:space="0" w:color="auto"/>
            </w:tcBorders>
          </w:tcPr>
          <w:p w:rsidR="008F1CDB" w:rsidRPr="004A5341" w:rsidRDefault="008F1CDB" w:rsidP="003F4F7D">
            <w:pPr>
              <w:pStyle w:val="Tabletext"/>
            </w:pPr>
            <w:r>
              <w:t>Source: Ronco 2006a,b; Ronco 2007</w:t>
            </w:r>
          </w:p>
        </w:tc>
      </w:tr>
      <w:tr w:rsidR="008F1CDB" w:rsidRPr="001702A4" w:rsidTr="008F1CDB">
        <w:tc>
          <w:tcPr>
            <w:tcW w:w="0" w:type="auto"/>
            <w:gridSpan w:val="9"/>
            <w:tcBorders>
              <w:bottom w:val="single" w:sz="4" w:space="0" w:color="auto"/>
            </w:tcBorders>
          </w:tcPr>
          <w:p w:rsidR="008F1CDB" w:rsidRPr="001702A4" w:rsidRDefault="008F1CDB" w:rsidP="00904BA0">
            <w:pPr>
              <w:pStyle w:val="Tableheading"/>
              <w:rPr>
                <w:b w:val="0"/>
              </w:rPr>
            </w:pPr>
            <w:r w:rsidRPr="001F034D">
              <w:t>NETHCON Trial</w:t>
            </w:r>
          </w:p>
        </w:tc>
      </w:tr>
      <w:tr w:rsidR="008F1CDB" w:rsidRPr="001702A4" w:rsidTr="00416B1C">
        <w:tc>
          <w:tcPr>
            <w:tcW w:w="0" w:type="auto"/>
            <w:tcBorders>
              <w:bottom w:val="single" w:sz="4" w:space="0" w:color="auto"/>
            </w:tcBorders>
          </w:tcPr>
          <w:p w:rsidR="008F1CDB" w:rsidRPr="00274021" w:rsidRDefault="008F1CDB" w:rsidP="00904BA0">
            <w:pPr>
              <w:pStyle w:val="Tableheading"/>
              <w:rPr>
                <w:b w:val="0"/>
              </w:rPr>
            </w:pPr>
            <w:r>
              <w:rPr>
                <w:b w:val="0"/>
              </w:rPr>
              <w:t>Conventional</w:t>
            </w:r>
          </w:p>
        </w:tc>
        <w:tc>
          <w:tcPr>
            <w:tcW w:w="0" w:type="auto"/>
            <w:tcBorders>
              <w:bottom w:val="single" w:sz="4" w:space="0" w:color="auto"/>
            </w:tcBorders>
          </w:tcPr>
          <w:p w:rsidR="008F1CDB" w:rsidRPr="001702A4" w:rsidRDefault="008F1CDB" w:rsidP="00904BA0">
            <w:pPr>
              <w:pStyle w:val="Tableheading"/>
              <w:rPr>
                <w:b w:val="0"/>
              </w:rPr>
            </w:pPr>
            <w:r>
              <w:rPr>
                <w:b w:val="0"/>
              </w:rPr>
              <w:t>Conventional Pap smear</w:t>
            </w:r>
          </w:p>
        </w:tc>
        <w:tc>
          <w:tcPr>
            <w:tcW w:w="0" w:type="auto"/>
            <w:gridSpan w:val="2"/>
            <w:tcBorders>
              <w:bottom w:val="single" w:sz="4" w:space="0" w:color="auto"/>
            </w:tcBorders>
          </w:tcPr>
          <w:p w:rsidR="008F1CDB" w:rsidRPr="001702A4" w:rsidRDefault="008F1CDB" w:rsidP="00904BA0">
            <w:pPr>
              <w:pStyle w:val="Tableheading"/>
              <w:rPr>
                <w:b w:val="0"/>
              </w:rPr>
            </w:pPr>
            <w:r>
              <w:rPr>
                <w:b w:val="0"/>
              </w:rPr>
              <w:t>Collected by family physician or their assistant. Method not outlined</w:t>
            </w:r>
          </w:p>
        </w:tc>
        <w:tc>
          <w:tcPr>
            <w:tcW w:w="0" w:type="auto"/>
            <w:tcBorders>
              <w:bottom w:val="single" w:sz="4" w:space="0" w:color="auto"/>
            </w:tcBorders>
          </w:tcPr>
          <w:p w:rsidR="008F1CDB" w:rsidRPr="001702A4" w:rsidRDefault="008F1CDB" w:rsidP="00904BA0">
            <w:pPr>
              <w:pStyle w:val="Tableheading"/>
              <w:rPr>
                <w:b w:val="0"/>
              </w:rPr>
            </w:pPr>
            <w:r>
              <w:rPr>
                <w:b w:val="0"/>
              </w:rPr>
              <w:t>Rovers Cervix-Brush</w:t>
            </w:r>
          </w:p>
        </w:tc>
        <w:tc>
          <w:tcPr>
            <w:tcW w:w="0" w:type="auto"/>
          </w:tcPr>
          <w:p w:rsidR="008F1CDB" w:rsidRPr="001702A4" w:rsidRDefault="008F1CDB" w:rsidP="00904BA0">
            <w:pPr>
              <w:pStyle w:val="Tableheading"/>
              <w:rPr>
                <w:b w:val="0"/>
              </w:rPr>
            </w:pPr>
            <w:r>
              <w:rPr>
                <w:b w:val="0"/>
              </w:rPr>
              <w:t>Slides were prepared by spreading cells quickly on a glass slide and performing cell fixation within a few seconds</w:t>
            </w:r>
          </w:p>
        </w:tc>
        <w:tc>
          <w:tcPr>
            <w:tcW w:w="0" w:type="auto"/>
            <w:vMerge w:val="restart"/>
          </w:tcPr>
          <w:p w:rsidR="008F1CDB" w:rsidRPr="00292411" w:rsidRDefault="008F1CDB" w:rsidP="0064141B">
            <w:pPr>
              <w:pStyle w:val="Tableheading"/>
              <w:rPr>
                <w:b w:val="0"/>
              </w:rPr>
            </w:pPr>
            <w:r w:rsidRPr="00292411">
              <w:rPr>
                <w:b w:val="0"/>
              </w:rPr>
              <w:t>Abnormal slides with diagnosis HSIL were reviewed</w:t>
            </w:r>
            <w:r>
              <w:rPr>
                <w:b w:val="0"/>
              </w:rPr>
              <w:t xml:space="preserve"> </w:t>
            </w:r>
            <w:r w:rsidRPr="00292411">
              <w:rPr>
                <w:b w:val="0"/>
              </w:rPr>
              <w:t>by a senior cytotechnologist and a trained pathologist</w:t>
            </w:r>
            <w:r>
              <w:rPr>
                <w:b w:val="0"/>
              </w:rPr>
              <w:t xml:space="preserve"> </w:t>
            </w:r>
            <w:r w:rsidRPr="00292411">
              <w:rPr>
                <w:b w:val="0"/>
              </w:rPr>
              <w:t>as were slides with diagnosis ASCUS/AGUS/</w:t>
            </w:r>
            <w:r>
              <w:rPr>
                <w:b w:val="0"/>
              </w:rPr>
              <w:t xml:space="preserve"> LSIL.</w:t>
            </w:r>
          </w:p>
          <w:p w:rsidR="008F1CDB" w:rsidRDefault="008F1CDB" w:rsidP="00904BA0">
            <w:pPr>
              <w:pStyle w:val="Tableheading"/>
              <w:rPr>
                <w:b w:val="0"/>
              </w:rPr>
            </w:pPr>
          </w:p>
        </w:tc>
        <w:tc>
          <w:tcPr>
            <w:tcW w:w="0" w:type="auto"/>
          </w:tcPr>
          <w:p w:rsidR="008F1CDB" w:rsidRDefault="008F1CDB" w:rsidP="00904BA0">
            <w:pPr>
              <w:pStyle w:val="Tableheading"/>
              <w:rPr>
                <w:b w:val="0"/>
              </w:rPr>
            </w:pPr>
            <w:r>
              <w:rPr>
                <w:b w:val="0"/>
              </w:rPr>
              <w:t>NR</w:t>
            </w:r>
          </w:p>
        </w:tc>
        <w:tc>
          <w:tcPr>
            <w:tcW w:w="0" w:type="auto"/>
          </w:tcPr>
          <w:p w:rsidR="008F1CDB" w:rsidRPr="001702A4" w:rsidRDefault="008F1CDB" w:rsidP="00904BA0">
            <w:pPr>
              <w:pStyle w:val="Tableheading"/>
              <w:rPr>
                <w:b w:val="0"/>
              </w:rPr>
            </w:pPr>
            <w:r>
              <w:rPr>
                <w:b w:val="0"/>
              </w:rPr>
              <w:t>NR</w:t>
            </w:r>
          </w:p>
        </w:tc>
      </w:tr>
      <w:tr w:rsidR="008F1CDB" w:rsidRPr="001702A4" w:rsidTr="00416B1C">
        <w:tc>
          <w:tcPr>
            <w:tcW w:w="0" w:type="auto"/>
            <w:tcBorders>
              <w:bottom w:val="single" w:sz="4" w:space="0" w:color="auto"/>
            </w:tcBorders>
          </w:tcPr>
          <w:p w:rsidR="008F1CDB" w:rsidRPr="00274021" w:rsidRDefault="008F1CDB" w:rsidP="00904BA0">
            <w:pPr>
              <w:pStyle w:val="Tableheading"/>
              <w:rPr>
                <w:b w:val="0"/>
              </w:rPr>
            </w:pPr>
            <w:r>
              <w:rPr>
                <w:b w:val="0"/>
              </w:rPr>
              <w:t>LBC</w:t>
            </w:r>
          </w:p>
        </w:tc>
        <w:tc>
          <w:tcPr>
            <w:tcW w:w="0" w:type="auto"/>
            <w:tcBorders>
              <w:bottom w:val="single" w:sz="4" w:space="0" w:color="auto"/>
            </w:tcBorders>
          </w:tcPr>
          <w:p w:rsidR="008F1CDB" w:rsidRPr="001702A4" w:rsidRDefault="008F1CDB" w:rsidP="00904BA0">
            <w:pPr>
              <w:pStyle w:val="Tableheading"/>
              <w:rPr>
                <w:b w:val="0"/>
              </w:rPr>
            </w:pPr>
            <w:r>
              <w:rPr>
                <w:b w:val="0"/>
              </w:rPr>
              <w:t>ThinPrep</w:t>
            </w:r>
          </w:p>
        </w:tc>
        <w:tc>
          <w:tcPr>
            <w:tcW w:w="0" w:type="auto"/>
            <w:gridSpan w:val="2"/>
            <w:tcBorders>
              <w:bottom w:val="single" w:sz="4" w:space="0" w:color="auto"/>
            </w:tcBorders>
          </w:tcPr>
          <w:p w:rsidR="008F1CDB" w:rsidRPr="001702A4" w:rsidRDefault="008F1CDB" w:rsidP="00357062">
            <w:pPr>
              <w:pStyle w:val="Tableheading"/>
              <w:rPr>
                <w:b w:val="0"/>
              </w:rPr>
            </w:pPr>
            <w:r>
              <w:rPr>
                <w:b w:val="0"/>
              </w:rPr>
              <w:t>Collected by family physician or their assistant. Method not outlined. T</w:t>
            </w:r>
            <w:r w:rsidRPr="00357062">
              <w:rPr>
                <w:b w:val="0"/>
              </w:rPr>
              <w:t>he practices that converted</w:t>
            </w:r>
            <w:r>
              <w:rPr>
                <w:b w:val="0"/>
              </w:rPr>
              <w:t xml:space="preserve"> </w:t>
            </w:r>
            <w:r w:rsidRPr="00357062">
              <w:rPr>
                <w:b w:val="0"/>
              </w:rPr>
              <w:t>to liquid-based cytology received additional</w:t>
            </w:r>
            <w:r>
              <w:rPr>
                <w:b w:val="0"/>
              </w:rPr>
              <w:t xml:space="preserve"> </w:t>
            </w:r>
            <w:r w:rsidRPr="00357062">
              <w:rPr>
                <w:b w:val="0"/>
              </w:rPr>
              <w:t>training, either by a regional course or by in-practice</w:t>
            </w:r>
            <w:r>
              <w:rPr>
                <w:b w:val="0"/>
              </w:rPr>
              <w:t xml:space="preserve"> </w:t>
            </w:r>
            <w:r w:rsidRPr="00357062">
              <w:rPr>
                <w:b w:val="0"/>
              </w:rPr>
              <w:t>training by the manufacturer</w:t>
            </w:r>
          </w:p>
        </w:tc>
        <w:tc>
          <w:tcPr>
            <w:tcW w:w="0" w:type="auto"/>
            <w:tcBorders>
              <w:bottom w:val="single" w:sz="4" w:space="0" w:color="auto"/>
            </w:tcBorders>
          </w:tcPr>
          <w:p w:rsidR="008F1CDB" w:rsidRPr="001702A4" w:rsidRDefault="008F1CDB" w:rsidP="00904BA0">
            <w:pPr>
              <w:pStyle w:val="Tableheading"/>
              <w:rPr>
                <w:b w:val="0"/>
              </w:rPr>
            </w:pPr>
            <w:r>
              <w:rPr>
                <w:b w:val="0"/>
              </w:rPr>
              <w:t>Rovers Cervix-Brush</w:t>
            </w:r>
          </w:p>
        </w:tc>
        <w:tc>
          <w:tcPr>
            <w:tcW w:w="0" w:type="auto"/>
            <w:tcBorders>
              <w:bottom w:val="single" w:sz="4" w:space="0" w:color="auto"/>
            </w:tcBorders>
          </w:tcPr>
          <w:p w:rsidR="008F1CDB" w:rsidRPr="001702A4" w:rsidRDefault="008F1CDB" w:rsidP="00904BA0">
            <w:pPr>
              <w:pStyle w:val="Tableheading"/>
              <w:rPr>
                <w:b w:val="0"/>
              </w:rPr>
            </w:pPr>
            <w:r>
              <w:rPr>
                <w:b w:val="0"/>
              </w:rPr>
              <w:t>Samples were prepared by transferring the sampled cells from the brush to the transport solution by firmly rotating and pushing the brush against the vial wall 10 times. Samples were then processed using the ThinPrep3000 processor</w:t>
            </w:r>
          </w:p>
        </w:tc>
        <w:tc>
          <w:tcPr>
            <w:tcW w:w="0" w:type="auto"/>
            <w:vMerge/>
            <w:tcBorders>
              <w:bottom w:val="single" w:sz="4" w:space="0" w:color="auto"/>
            </w:tcBorders>
          </w:tcPr>
          <w:p w:rsidR="008F1CDB" w:rsidRPr="00B848E1" w:rsidRDefault="008F1CDB" w:rsidP="00B848E1">
            <w:pPr>
              <w:pStyle w:val="Tableheading"/>
              <w:rPr>
                <w:b w:val="0"/>
              </w:rPr>
            </w:pPr>
          </w:p>
        </w:tc>
        <w:tc>
          <w:tcPr>
            <w:tcW w:w="0" w:type="auto"/>
            <w:tcBorders>
              <w:bottom w:val="single" w:sz="4" w:space="0" w:color="auto"/>
            </w:tcBorders>
          </w:tcPr>
          <w:p w:rsidR="008F1CDB" w:rsidRDefault="008F1CDB" w:rsidP="00B848E1">
            <w:pPr>
              <w:pStyle w:val="Tableheading"/>
              <w:rPr>
                <w:b w:val="0"/>
              </w:rPr>
            </w:pPr>
            <w:r w:rsidRPr="00B848E1">
              <w:rPr>
                <w:b w:val="0"/>
              </w:rPr>
              <w:t>At the start of the trial, one of the participating</w:t>
            </w:r>
            <w:r>
              <w:rPr>
                <w:b w:val="0"/>
              </w:rPr>
              <w:t xml:space="preserve"> </w:t>
            </w:r>
            <w:r w:rsidRPr="00B848E1">
              <w:rPr>
                <w:b w:val="0"/>
              </w:rPr>
              <w:t xml:space="preserve">laboratories had experience with screening </w:t>
            </w:r>
            <w:r>
              <w:rPr>
                <w:b w:val="0"/>
              </w:rPr>
              <w:t xml:space="preserve">liquid-based </w:t>
            </w:r>
            <w:r w:rsidRPr="00B848E1">
              <w:rPr>
                <w:b w:val="0"/>
              </w:rPr>
              <w:t>slides for 1 year; the other laboratory did not</w:t>
            </w:r>
            <w:r>
              <w:rPr>
                <w:b w:val="0"/>
              </w:rPr>
              <w:t xml:space="preserve"> </w:t>
            </w:r>
            <w:r w:rsidRPr="00B848E1">
              <w:rPr>
                <w:b w:val="0"/>
              </w:rPr>
              <w:t>have previous experience with liquid-based cytology.</w:t>
            </w:r>
            <w:r>
              <w:rPr>
                <w:b w:val="0"/>
              </w:rPr>
              <w:t xml:space="preserve"> </w:t>
            </w:r>
            <w:r w:rsidRPr="00B848E1">
              <w:rPr>
                <w:b w:val="0"/>
              </w:rPr>
              <w:t>Before implementation of the liquid-based method in</w:t>
            </w:r>
            <w:r>
              <w:rPr>
                <w:b w:val="0"/>
              </w:rPr>
              <w:t xml:space="preserve"> </w:t>
            </w:r>
            <w:r w:rsidRPr="00B848E1">
              <w:rPr>
                <w:b w:val="0"/>
              </w:rPr>
              <w:t>the laboratories, cytotechnologists and cytopathologists</w:t>
            </w:r>
            <w:r>
              <w:rPr>
                <w:b w:val="0"/>
              </w:rPr>
              <w:t xml:space="preserve"> </w:t>
            </w:r>
            <w:r w:rsidRPr="00B848E1">
              <w:rPr>
                <w:b w:val="0"/>
              </w:rPr>
              <w:t>attended a 3-day training course, provided by the</w:t>
            </w:r>
            <w:r>
              <w:rPr>
                <w:b w:val="0"/>
              </w:rPr>
              <w:t xml:space="preserve"> </w:t>
            </w:r>
            <w:r w:rsidRPr="00B848E1">
              <w:rPr>
                <w:b w:val="0"/>
              </w:rPr>
              <w:t>manufacturer. The course finished with a test, which</w:t>
            </w:r>
            <w:r>
              <w:rPr>
                <w:b w:val="0"/>
              </w:rPr>
              <w:t xml:space="preserve"> </w:t>
            </w:r>
            <w:r w:rsidRPr="00B848E1">
              <w:rPr>
                <w:b w:val="0"/>
              </w:rPr>
              <w:t xml:space="preserve">was mandatory before starting to </w:t>
            </w:r>
            <w:r w:rsidRPr="00B848E1">
              <w:rPr>
                <w:b w:val="0"/>
              </w:rPr>
              <w:lastRenderedPageBreak/>
              <w:t>screen liquid-based</w:t>
            </w:r>
            <w:r>
              <w:rPr>
                <w:b w:val="0"/>
              </w:rPr>
              <w:t xml:space="preserve"> </w:t>
            </w:r>
            <w:r w:rsidRPr="00B848E1">
              <w:rPr>
                <w:b w:val="0"/>
              </w:rPr>
              <w:t>cytology slides. During the learning stage a minimum</w:t>
            </w:r>
            <w:r>
              <w:rPr>
                <w:b w:val="0"/>
              </w:rPr>
              <w:t xml:space="preserve"> </w:t>
            </w:r>
            <w:r w:rsidRPr="00B848E1">
              <w:rPr>
                <w:b w:val="0"/>
              </w:rPr>
              <w:t>of 200 liquid-based slides, taken from the routine</w:t>
            </w:r>
            <w:r>
              <w:rPr>
                <w:b w:val="0"/>
              </w:rPr>
              <w:t xml:space="preserve"> </w:t>
            </w:r>
            <w:r w:rsidRPr="00B848E1">
              <w:rPr>
                <w:b w:val="0"/>
              </w:rPr>
              <w:t>workload, were screened within a multiple screening</w:t>
            </w:r>
            <w:r>
              <w:rPr>
                <w:b w:val="0"/>
              </w:rPr>
              <w:t xml:space="preserve"> </w:t>
            </w:r>
            <w:r w:rsidRPr="00B848E1">
              <w:rPr>
                <w:b w:val="0"/>
              </w:rPr>
              <w:t>protocol by two cytotechnologists until cytologic consensus</w:t>
            </w:r>
            <w:r>
              <w:rPr>
                <w:b w:val="0"/>
              </w:rPr>
              <w:t xml:space="preserve"> </w:t>
            </w:r>
            <w:r w:rsidRPr="00B848E1">
              <w:rPr>
                <w:b w:val="0"/>
              </w:rPr>
              <w:t>was reached. After these 200 liquid-based</w:t>
            </w:r>
            <w:r>
              <w:rPr>
                <w:b w:val="0"/>
              </w:rPr>
              <w:t xml:space="preserve"> </w:t>
            </w:r>
            <w:r w:rsidRPr="00B848E1">
              <w:rPr>
                <w:b w:val="0"/>
              </w:rPr>
              <w:t>slides, cytotechnologists had a final test, and when</w:t>
            </w:r>
            <w:r>
              <w:rPr>
                <w:b w:val="0"/>
              </w:rPr>
              <w:t xml:space="preserve"> </w:t>
            </w:r>
            <w:r w:rsidRPr="00B848E1">
              <w:rPr>
                <w:b w:val="0"/>
              </w:rPr>
              <w:t>they passed they were allowed to screen liquid-based</w:t>
            </w:r>
            <w:r>
              <w:rPr>
                <w:b w:val="0"/>
              </w:rPr>
              <w:t xml:space="preserve"> </w:t>
            </w:r>
            <w:r w:rsidRPr="00B848E1">
              <w:rPr>
                <w:b w:val="0"/>
              </w:rPr>
              <w:t>cytology independently. Technical operators received</w:t>
            </w:r>
            <w:r>
              <w:rPr>
                <w:b w:val="0"/>
              </w:rPr>
              <w:t xml:space="preserve"> </w:t>
            </w:r>
            <w:r w:rsidRPr="00B848E1">
              <w:rPr>
                <w:b w:val="0"/>
              </w:rPr>
              <w:t>instruction for operating and maintenance of the</w:t>
            </w:r>
            <w:r>
              <w:rPr>
                <w:b w:val="0"/>
              </w:rPr>
              <w:t xml:space="preserve"> </w:t>
            </w:r>
            <w:r w:rsidRPr="00B848E1">
              <w:rPr>
                <w:b w:val="0"/>
              </w:rPr>
              <w:t>ThinPrep 3000 Processor from Cytyc Corporation</w:t>
            </w:r>
          </w:p>
        </w:tc>
        <w:tc>
          <w:tcPr>
            <w:tcW w:w="0" w:type="auto"/>
            <w:tcBorders>
              <w:bottom w:val="single" w:sz="4" w:space="0" w:color="auto"/>
            </w:tcBorders>
          </w:tcPr>
          <w:p w:rsidR="008F1CDB" w:rsidRPr="001702A4" w:rsidRDefault="008F1CDB" w:rsidP="00904BA0">
            <w:pPr>
              <w:pStyle w:val="Tableheading"/>
              <w:rPr>
                <w:b w:val="0"/>
              </w:rPr>
            </w:pPr>
            <w:r>
              <w:rPr>
                <w:b w:val="0"/>
              </w:rPr>
              <w:lastRenderedPageBreak/>
              <w:t>NR</w:t>
            </w:r>
          </w:p>
        </w:tc>
      </w:tr>
      <w:tr w:rsidR="008F1CDB" w:rsidRPr="001702A4" w:rsidTr="008F1CDB">
        <w:tc>
          <w:tcPr>
            <w:tcW w:w="0" w:type="auto"/>
            <w:gridSpan w:val="9"/>
            <w:tcBorders>
              <w:bottom w:val="single" w:sz="4" w:space="0" w:color="auto"/>
            </w:tcBorders>
          </w:tcPr>
          <w:p w:rsidR="008F1CDB" w:rsidRPr="001F034D" w:rsidRDefault="008F1CDB" w:rsidP="003F4F7D">
            <w:pPr>
              <w:pStyle w:val="Tabletext"/>
            </w:pPr>
            <w:r w:rsidRPr="001F034D">
              <w:lastRenderedPageBreak/>
              <w:t>Source:</w:t>
            </w:r>
            <w:r>
              <w:t xml:space="preserve"> Siebers 2008; Seibers 2009</w:t>
            </w:r>
          </w:p>
        </w:tc>
      </w:tr>
      <w:tr w:rsidR="008F1CDB" w:rsidRPr="001702A4" w:rsidTr="008F1CDB">
        <w:tc>
          <w:tcPr>
            <w:tcW w:w="0" w:type="auto"/>
            <w:gridSpan w:val="9"/>
            <w:tcBorders>
              <w:bottom w:val="single" w:sz="4" w:space="0" w:color="auto"/>
            </w:tcBorders>
          </w:tcPr>
          <w:p w:rsidR="008F1CDB" w:rsidRPr="001F034D" w:rsidRDefault="008F1CDB" w:rsidP="00904BA0">
            <w:pPr>
              <w:pStyle w:val="Tableheading"/>
            </w:pPr>
            <w:r w:rsidRPr="001F034D">
              <w:t>Strander 2007</w:t>
            </w:r>
          </w:p>
        </w:tc>
      </w:tr>
      <w:tr w:rsidR="00214FDA" w:rsidRPr="001702A4" w:rsidTr="00214FDA">
        <w:tc>
          <w:tcPr>
            <w:tcW w:w="0" w:type="auto"/>
            <w:tcBorders>
              <w:bottom w:val="single" w:sz="4" w:space="0" w:color="auto"/>
            </w:tcBorders>
          </w:tcPr>
          <w:p w:rsidR="00214FDA" w:rsidRPr="00274021" w:rsidRDefault="00214FDA" w:rsidP="00904BA0">
            <w:pPr>
              <w:pStyle w:val="Tableheading"/>
              <w:rPr>
                <w:b w:val="0"/>
              </w:rPr>
            </w:pPr>
            <w:r>
              <w:rPr>
                <w:b w:val="0"/>
              </w:rPr>
              <w:t>Conventional</w:t>
            </w:r>
          </w:p>
        </w:tc>
        <w:tc>
          <w:tcPr>
            <w:tcW w:w="0" w:type="auto"/>
            <w:tcBorders>
              <w:bottom w:val="single" w:sz="4" w:space="0" w:color="auto"/>
            </w:tcBorders>
          </w:tcPr>
          <w:p w:rsidR="00214FDA" w:rsidRPr="001702A4" w:rsidRDefault="00214FDA" w:rsidP="00904BA0">
            <w:pPr>
              <w:pStyle w:val="Tableheading"/>
              <w:rPr>
                <w:b w:val="0"/>
              </w:rPr>
            </w:pPr>
            <w:r>
              <w:rPr>
                <w:b w:val="0"/>
              </w:rPr>
              <w:t>Conventional Pap smear</w:t>
            </w:r>
          </w:p>
        </w:tc>
        <w:tc>
          <w:tcPr>
            <w:tcW w:w="0" w:type="auto"/>
            <w:gridSpan w:val="2"/>
            <w:tcBorders>
              <w:bottom w:val="single" w:sz="4" w:space="0" w:color="auto"/>
            </w:tcBorders>
          </w:tcPr>
          <w:p w:rsidR="00214FDA" w:rsidRPr="001702A4" w:rsidRDefault="00214FDA" w:rsidP="00904BA0">
            <w:pPr>
              <w:pStyle w:val="Tableheading"/>
              <w:rPr>
                <w:b w:val="0"/>
              </w:rPr>
            </w:pPr>
            <w:r>
              <w:rPr>
                <w:b w:val="0"/>
              </w:rPr>
              <w:t>Cells were taken from the fornix, portio and endocervix. Collection was performed by midwives</w:t>
            </w:r>
          </w:p>
        </w:tc>
        <w:tc>
          <w:tcPr>
            <w:tcW w:w="0" w:type="auto"/>
            <w:tcBorders>
              <w:bottom w:val="single" w:sz="4" w:space="0" w:color="auto"/>
            </w:tcBorders>
          </w:tcPr>
          <w:p w:rsidR="00214FDA" w:rsidRDefault="00214FDA" w:rsidP="00904BA0">
            <w:pPr>
              <w:pStyle w:val="Tableheading"/>
              <w:rPr>
                <w:b w:val="0"/>
              </w:rPr>
            </w:pPr>
            <w:r>
              <w:rPr>
                <w:b w:val="0"/>
              </w:rPr>
              <w:t xml:space="preserve">- Wooden spatula (Ayre) for collection of cells from fornix and portio </w:t>
            </w:r>
          </w:p>
          <w:p w:rsidR="00214FDA" w:rsidRPr="001702A4" w:rsidRDefault="00214FDA" w:rsidP="00904BA0">
            <w:pPr>
              <w:pStyle w:val="Tableheading"/>
              <w:rPr>
                <w:b w:val="0"/>
              </w:rPr>
            </w:pPr>
            <w:r>
              <w:rPr>
                <w:b w:val="0"/>
              </w:rPr>
              <w:t>- Cytobrush used for collection of endocervical cells</w:t>
            </w:r>
          </w:p>
        </w:tc>
        <w:tc>
          <w:tcPr>
            <w:tcW w:w="0" w:type="auto"/>
            <w:tcBorders>
              <w:bottom w:val="single" w:sz="4" w:space="0" w:color="auto"/>
            </w:tcBorders>
          </w:tcPr>
          <w:p w:rsidR="00214FDA" w:rsidRPr="001702A4" w:rsidRDefault="00214FDA" w:rsidP="00904BA0">
            <w:pPr>
              <w:pStyle w:val="Tableheading"/>
              <w:rPr>
                <w:b w:val="0"/>
              </w:rPr>
            </w:pPr>
            <w:r>
              <w:rPr>
                <w:b w:val="0"/>
              </w:rPr>
              <w:t>Slides were stained according to the Pap method</w:t>
            </w:r>
          </w:p>
        </w:tc>
        <w:tc>
          <w:tcPr>
            <w:tcW w:w="0" w:type="auto"/>
            <w:vMerge w:val="restart"/>
          </w:tcPr>
          <w:p w:rsidR="00214FDA" w:rsidRDefault="00214FDA" w:rsidP="00904BA0">
            <w:pPr>
              <w:pStyle w:val="Tableheading"/>
              <w:rPr>
                <w:b w:val="0"/>
              </w:rPr>
            </w:pPr>
            <w:r w:rsidRPr="00292411">
              <w:rPr>
                <w:b w:val="0"/>
              </w:rPr>
              <w:t>All LBC specimens were</w:t>
            </w:r>
            <w:r>
              <w:rPr>
                <w:b w:val="0"/>
              </w:rPr>
              <w:t xml:space="preserve"> </w:t>
            </w:r>
            <w:r w:rsidRPr="00292411">
              <w:rPr>
                <w:b w:val="0"/>
              </w:rPr>
              <w:t>screened by 1 of 3 cytotechnicians with special training</w:t>
            </w:r>
            <w:r>
              <w:rPr>
                <w:b w:val="0"/>
              </w:rPr>
              <w:t xml:space="preserve"> </w:t>
            </w:r>
            <w:r w:rsidRPr="00292411">
              <w:rPr>
                <w:b w:val="0"/>
              </w:rPr>
              <w:t>in LBC. This group also screened 73% of the conventional</w:t>
            </w:r>
            <w:r>
              <w:rPr>
                <w:b w:val="0"/>
              </w:rPr>
              <w:t xml:space="preserve"> </w:t>
            </w:r>
            <w:r w:rsidRPr="00292411">
              <w:rPr>
                <w:b w:val="0"/>
              </w:rPr>
              <w:t>Pap smears in the study. All positive</w:t>
            </w:r>
            <w:r>
              <w:rPr>
                <w:b w:val="0"/>
              </w:rPr>
              <w:t xml:space="preserve"> </w:t>
            </w:r>
            <w:r w:rsidRPr="00292411">
              <w:rPr>
                <w:b w:val="0"/>
              </w:rPr>
              <w:t>cytology in the remaining 27% of smears was reviewed</w:t>
            </w:r>
            <w:r>
              <w:rPr>
                <w:b w:val="0"/>
              </w:rPr>
              <w:t xml:space="preserve"> </w:t>
            </w:r>
            <w:r w:rsidRPr="00292411">
              <w:rPr>
                <w:b w:val="0"/>
              </w:rPr>
              <w:t>by 1 or 2 of these cytotechnicians</w:t>
            </w:r>
          </w:p>
        </w:tc>
        <w:tc>
          <w:tcPr>
            <w:tcW w:w="0" w:type="auto"/>
            <w:tcBorders>
              <w:bottom w:val="single" w:sz="4" w:space="0" w:color="auto"/>
            </w:tcBorders>
          </w:tcPr>
          <w:p w:rsidR="00214FDA" w:rsidRDefault="00214FDA" w:rsidP="00904BA0">
            <w:pPr>
              <w:pStyle w:val="Tableheading"/>
              <w:rPr>
                <w:b w:val="0"/>
              </w:rPr>
            </w:pPr>
            <w:r>
              <w:rPr>
                <w:b w:val="0"/>
              </w:rPr>
              <w:t xml:space="preserve">CV smears were reviewed by 1 of 3 or 1 of 2 of the </w:t>
            </w:r>
            <w:r w:rsidRPr="00B848E1">
              <w:rPr>
                <w:b w:val="0"/>
              </w:rPr>
              <w:t>cytotechnicians</w:t>
            </w:r>
            <w:r>
              <w:rPr>
                <w:b w:val="0"/>
              </w:rPr>
              <w:t xml:space="preserve"> who reviewed the LBC smears</w:t>
            </w:r>
          </w:p>
        </w:tc>
        <w:tc>
          <w:tcPr>
            <w:tcW w:w="0" w:type="auto"/>
            <w:tcBorders>
              <w:bottom w:val="single" w:sz="4" w:space="0" w:color="auto"/>
            </w:tcBorders>
          </w:tcPr>
          <w:p w:rsidR="00214FDA" w:rsidRPr="001702A4" w:rsidRDefault="00214FDA" w:rsidP="00904BA0">
            <w:pPr>
              <w:pStyle w:val="Tableheading"/>
              <w:rPr>
                <w:b w:val="0"/>
              </w:rPr>
            </w:pPr>
            <w:r>
              <w:rPr>
                <w:b w:val="0"/>
              </w:rPr>
              <w:t>NR</w:t>
            </w:r>
          </w:p>
        </w:tc>
      </w:tr>
      <w:tr w:rsidR="00214FDA" w:rsidRPr="001702A4" w:rsidTr="00416B1C">
        <w:tc>
          <w:tcPr>
            <w:tcW w:w="0" w:type="auto"/>
            <w:tcBorders>
              <w:bottom w:val="single" w:sz="4" w:space="0" w:color="auto"/>
            </w:tcBorders>
          </w:tcPr>
          <w:p w:rsidR="00214FDA" w:rsidRPr="00274021" w:rsidRDefault="00214FDA" w:rsidP="00904BA0">
            <w:pPr>
              <w:pStyle w:val="Tableheading"/>
              <w:rPr>
                <w:b w:val="0"/>
              </w:rPr>
            </w:pPr>
            <w:r>
              <w:rPr>
                <w:b w:val="0"/>
              </w:rPr>
              <w:t>LBC</w:t>
            </w:r>
          </w:p>
        </w:tc>
        <w:tc>
          <w:tcPr>
            <w:tcW w:w="0" w:type="auto"/>
            <w:tcBorders>
              <w:bottom w:val="single" w:sz="4" w:space="0" w:color="auto"/>
            </w:tcBorders>
          </w:tcPr>
          <w:p w:rsidR="00214FDA" w:rsidRPr="001702A4" w:rsidRDefault="00214FDA" w:rsidP="00904BA0">
            <w:pPr>
              <w:pStyle w:val="Tableheading"/>
              <w:rPr>
                <w:b w:val="0"/>
              </w:rPr>
            </w:pPr>
            <w:r>
              <w:rPr>
                <w:b w:val="0"/>
              </w:rPr>
              <w:t>ThinPrep</w:t>
            </w:r>
          </w:p>
        </w:tc>
        <w:tc>
          <w:tcPr>
            <w:tcW w:w="0" w:type="auto"/>
            <w:gridSpan w:val="2"/>
            <w:tcBorders>
              <w:bottom w:val="single" w:sz="4" w:space="0" w:color="auto"/>
            </w:tcBorders>
          </w:tcPr>
          <w:p w:rsidR="00214FDA" w:rsidRPr="001702A4" w:rsidRDefault="00214FDA" w:rsidP="00B848E1">
            <w:pPr>
              <w:pStyle w:val="Tableheading"/>
              <w:rPr>
                <w:b w:val="0"/>
              </w:rPr>
            </w:pPr>
            <w:r>
              <w:rPr>
                <w:b w:val="0"/>
              </w:rPr>
              <w:t xml:space="preserve">Cells were taken from </w:t>
            </w:r>
            <w:r>
              <w:rPr>
                <w:b w:val="0"/>
              </w:rPr>
              <w:lastRenderedPageBreak/>
              <w:t>the fornix, portio and endocervix. Collection was performed by midwives</w:t>
            </w:r>
            <w:r>
              <w:t xml:space="preserve"> </w:t>
            </w:r>
            <w:r w:rsidRPr="00B848E1">
              <w:rPr>
                <w:b w:val="0"/>
              </w:rPr>
              <w:t>The midwives received special training in</w:t>
            </w:r>
            <w:r>
              <w:rPr>
                <w:b w:val="0"/>
              </w:rPr>
              <w:t xml:space="preserve"> </w:t>
            </w:r>
            <w:r w:rsidRPr="00B848E1">
              <w:rPr>
                <w:b w:val="0"/>
              </w:rPr>
              <w:t>smear taking and also were trained in handling LBC</w:t>
            </w:r>
            <w:r>
              <w:rPr>
                <w:b w:val="0"/>
              </w:rPr>
              <w:t xml:space="preserve"> </w:t>
            </w:r>
            <w:r w:rsidRPr="00B848E1">
              <w:rPr>
                <w:b w:val="0"/>
              </w:rPr>
              <w:t>samples</w:t>
            </w:r>
          </w:p>
        </w:tc>
        <w:tc>
          <w:tcPr>
            <w:tcW w:w="0" w:type="auto"/>
            <w:tcBorders>
              <w:bottom w:val="single" w:sz="4" w:space="0" w:color="auto"/>
            </w:tcBorders>
          </w:tcPr>
          <w:p w:rsidR="00214FDA" w:rsidRDefault="00214FDA" w:rsidP="00904BA0">
            <w:pPr>
              <w:pStyle w:val="Tableheading"/>
              <w:rPr>
                <w:b w:val="0"/>
              </w:rPr>
            </w:pPr>
            <w:r>
              <w:rPr>
                <w:b w:val="0"/>
              </w:rPr>
              <w:lastRenderedPageBreak/>
              <w:t xml:space="preserve">- Plastic spatula </w:t>
            </w:r>
            <w:r>
              <w:rPr>
                <w:b w:val="0"/>
              </w:rPr>
              <w:lastRenderedPageBreak/>
              <w:t xml:space="preserve">for fornix and portio </w:t>
            </w:r>
          </w:p>
          <w:p w:rsidR="00214FDA" w:rsidRPr="001702A4" w:rsidRDefault="00214FDA" w:rsidP="00904BA0">
            <w:pPr>
              <w:pStyle w:val="Tableheading"/>
              <w:rPr>
                <w:b w:val="0"/>
              </w:rPr>
            </w:pPr>
            <w:r>
              <w:rPr>
                <w:b w:val="0"/>
              </w:rPr>
              <w:t>- Cytobrush used for collection of endocervical cells</w:t>
            </w:r>
          </w:p>
        </w:tc>
        <w:tc>
          <w:tcPr>
            <w:tcW w:w="0" w:type="auto"/>
            <w:tcBorders>
              <w:bottom w:val="single" w:sz="4" w:space="0" w:color="auto"/>
            </w:tcBorders>
          </w:tcPr>
          <w:p w:rsidR="00214FDA" w:rsidRPr="001702A4" w:rsidRDefault="00214FDA" w:rsidP="00904BA0">
            <w:pPr>
              <w:pStyle w:val="Tableheading"/>
              <w:rPr>
                <w:b w:val="0"/>
              </w:rPr>
            </w:pPr>
            <w:r>
              <w:rPr>
                <w:b w:val="0"/>
              </w:rPr>
              <w:lastRenderedPageBreak/>
              <w:t xml:space="preserve">Specimens were placed </w:t>
            </w:r>
            <w:r>
              <w:rPr>
                <w:b w:val="0"/>
              </w:rPr>
              <w:lastRenderedPageBreak/>
              <w:t>in a PreserveCyt solution and processed in the ThinPrep2000 machine. Slides were stained according to the Pap method</w:t>
            </w:r>
          </w:p>
        </w:tc>
        <w:tc>
          <w:tcPr>
            <w:tcW w:w="0" w:type="auto"/>
            <w:vMerge/>
            <w:tcBorders>
              <w:bottom w:val="single" w:sz="4" w:space="0" w:color="auto"/>
            </w:tcBorders>
          </w:tcPr>
          <w:p w:rsidR="00214FDA" w:rsidRPr="00B848E1" w:rsidRDefault="00214FDA" w:rsidP="00B848E1">
            <w:pPr>
              <w:pStyle w:val="Tableheading"/>
              <w:rPr>
                <w:b w:val="0"/>
              </w:rPr>
            </w:pPr>
          </w:p>
        </w:tc>
        <w:tc>
          <w:tcPr>
            <w:tcW w:w="0" w:type="auto"/>
            <w:tcBorders>
              <w:bottom w:val="single" w:sz="4" w:space="0" w:color="auto"/>
            </w:tcBorders>
          </w:tcPr>
          <w:p w:rsidR="00214FDA" w:rsidRDefault="00214FDA" w:rsidP="00B848E1">
            <w:pPr>
              <w:pStyle w:val="Tableheading"/>
              <w:rPr>
                <w:b w:val="0"/>
              </w:rPr>
            </w:pPr>
            <w:r w:rsidRPr="00B848E1">
              <w:rPr>
                <w:b w:val="0"/>
              </w:rPr>
              <w:t>All LBC specimens were</w:t>
            </w:r>
            <w:r>
              <w:rPr>
                <w:b w:val="0"/>
              </w:rPr>
              <w:t xml:space="preserve"> </w:t>
            </w:r>
            <w:r w:rsidRPr="00B848E1">
              <w:rPr>
                <w:b w:val="0"/>
              </w:rPr>
              <w:lastRenderedPageBreak/>
              <w:t>screened by 1 of 3 cytotechnicians with special training</w:t>
            </w:r>
            <w:r>
              <w:rPr>
                <w:b w:val="0"/>
              </w:rPr>
              <w:t xml:space="preserve"> </w:t>
            </w:r>
            <w:r w:rsidRPr="00B848E1">
              <w:rPr>
                <w:b w:val="0"/>
              </w:rPr>
              <w:t>in LBC</w:t>
            </w:r>
          </w:p>
        </w:tc>
        <w:tc>
          <w:tcPr>
            <w:tcW w:w="0" w:type="auto"/>
            <w:tcBorders>
              <w:bottom w:val="single" w:sz="4" w:space="0" w:color="auto"/>
            </w:tcBorders>
          </w:tcPr>
          <w:p w:rsidR="00214FDA" w:rsidRPr="001702A4" w:rsidRDefault="00214FDA" w:rsidP="00904BA0">
            <w:pPr>
              <w:pStyle w:val="Tableheading"/>
              <w:rPr>
                <w:b w:val="0"/>
              </w:rPr>
            </w:pPr>
            <w:r>
              <w:rPr>
                <w:b w:val="0"/>
              </w:rPr>
              <w:lastRenderedPageBreak/>
              <w:t>NR</w:t>
            </w:r>
          </w:p>
        </w:tc>
      </w:tr>
      <w:tr w:rsidR="008F1CDB" w:rsidRPr="001702A4" w:rsidTr="008F1CDB">
        <w:tc>
          <w:tcPr>
            <w:tcW w:w="0" w:type="auto"/>
            <w:gridSpan w:val="9"/>
            <w:tcBorders>
              <w:bottom w:val="single" w:sz="4" w:space="0" w:color="auto"/>
            </w:tcBorders>
          </w:tcPr>
          <w:p w:rsidR="008F1CDB" w:rsidRPr="001702A4" w:rsidRDefault="008F1CDB" w:rsidP="003F4F7D">
            <w:pPr>
              <w:pStyle w:val="Tabletext"/>
            </w:pPr>
            <w:r>
              <w:lastRenderedPageBreak/>
              <w:t xml:space="preserve">Source: Strander </w:t>
            </w:r>
            <w:r w:rsidRPr="001F034D">
              <w:t>2007</w:t>
            </w:r>
          </w:p>
        </w:tc>
      </w:tr>
      <w:tr w:rsidR="008F1CDB" w:rsidRPr="001702A4" w:rsidTr="008F1CDB">
        <w:tc>
          <w:tcPr>
            <w:tcW w:w="0" w:type="auto"/>
            <w:gridSpan w:val="9"/>
            <w:tcBorders>
              <w:bottom w:val="single" w:sz="4" w:space="0" w:color="auto"/>
            </w:tcBorders>
          </w:tcPr>
          <w:p w:rsidR="008F1CDB" w:rsidRPr="001702A4" w:rsidRDefault="008F1CDB" w:rsidP="00904BA0">
            <w:pPr>
              <w:pStyle w:val="Tableheading"/>
              <w:rPr>
                <w:b w:val="0"/>
              </w:rPr>
            </w:pPr>
            <w:r w:rsidRPr="001F034D">
              <w:t>Maccallini 2008</w:t>
            </w:r>
          </w:p>
        </w:tc>
      </w:tr>
      <w:tr w:rsidR="00214FDA" w:rsidRPr="001702A4" w:rsidTr="00214FDA">
        <w:tc>
          <w:tcPr>
            <w:tcW w:w="0" w:type="auto"/>
            <w:tcBorders>
              <w:bottom w:val="single" w:sz="4" w:space="0" w:color="auto"/>
            </w:tcBorders>
          </w:tcPr>
          <w:p w:rsidR="00214FDA" w:rsidRPr="00274021" w:rsidRDefault="00214FDA" w:rsidP="00904BA0">
            <w:pPr>
              <w:pStyle w:val="Tableheading"/>
              <w:rPr>
                <w:b w:val="0"/>
              </w:rPr>
            </w:pPr>
            <w:r>
              <w:rPr>
                <w:b w:val="0"/>
              </w:rPr>
              <w:t>Conventional</w:t>
            </w:r>
          </w:p>
        </w:tc>
        <w:tc>
          <w:tcPr>
            <w:tcW w:w="0" w:type="auto"/>
            <w:tcBorders>
              <w:bottom w:val="single" w:sz="4" w:space="0" w:color="auto"/>
            </w:tcBorders>
          </w:tcPr>
          <w:p w:rsidR="00214FDA" w:rsidRPr="001702A4" w:rsidRDefault="00214FDA" w:rsidP="00904BA0">
            <w:pPr>
              <w:pStyle w:val="Tableheading"/>
              <w:rPr>
                <w:b w:val="0"/>
              </w:rPr>
            </w:pPr>
            <w:r>
              <w:rPr>
                <w:b w:val="0"/>
              </w:rPr>
              <w:t>Conventional Pap smear</w:t>
            </w:r>
          </w:p>
        </w:tc>
        <w:tc>
          <w:tcPr>
            <w:tcW w:w="0" w:type="auto"/>
            <w:gridSpan w:val="2"/>
            <w:tcBorders>
              <w:bottom w:val="single" w:sz="4" w:space="0" w:color="auto"/>
            </w:tcBorders>
          </w:tcPr>
          <w:p w:rsidR="00214FDA" w:rsidRPr="00274021" w:rsidRDefault="00214FDA" w:rsidP="00904BA0">
            <w:pPr>
              <w:pStyle w:val="Tableheading"/>
              <w:rPr>
                <w:b w:val="0"/>
              </w:rPr>
            </w:pPr>
            <w:r>
              <w:rPr>
                <w:b w:val="0"/>
              </w:rPr>
              <w:t>NR</w:t>
            </w:r>
          </w:p>
        </w:tc>
        <w:tc>
          <w:tcPr>
            <w:tcW w:w="0" w:type="auto"/>
            <w:tcBorders>
              <w:bottom w:val="single" w:sz="4" w:space="0" w:color="auto"/>
            </w:tcBorders>
          </w:tcPr>
          <w:p w:rsidR="00214FDA" w:rsidRPr="00913C71" w:rsidRDefault="00214FDA" w:rsidP="00904BA0">
            <w:pPr>
              <w:pStyle w:val="Tableheading"/>
              <w:rPr>
                <w:b w:val="0"/>
              </w:rPr>
            </w:pPr>
            <w:r w:rsidRPr="00913C71">
              <w:rPr>
                <w:b w:val="0"/>
              </w:rPr>
              <w:t>NR</w:t>
            </w:r>
          </w:p>
        </w:tc>
        <w:tc>
          <w:tcPr>
            <w:tcW w:w="0" w:type="auto"/>
            <w:tcBorders>
              <w:bottom w:val="single" w:sz="4" w:space="0" w:color="auto"/>
            </w:tcBorders>
          </w:tcPr>
          <w:p w:rsidR="00214FDA" w:rsidRPr="00274021" w:rsidRDefault="00214FDA" w:rsidP="00904BA0">
            <w:pPr>
              <w:pStyle w:val="Tableheading"/>
              <w:rPr>
                <w:b w:val="0"/>
              </w:rPr>
            </w:pPr>
            <w:r>
              <w:rPr>
                <w:b w:val="0"/>
              </w:rPr>
              <w:t>NR</w:t>
            </w:r>
          </w:p>
        </w:tc>
        <w:tc>
          <w:tcPr>
            <w:tcW w:w="0" w:type="auto"/>
            <w:vMerge w:val="restart"/>
          </w:tcPr>
          <w:p w:rsidR="00214FDA" w:rsidRDefault="00214FDA" w:rsidP="00904BA0">
            <w:pPr>
              <w:pStyle w:val="Tableheading"/>
              <w:rPr>
                <w:b w:val="0"/>
              </w:rPr>
            </w:pPr>
            <w:r>
              <w:rPr>
                <w:b w:val="0"/>
              </w:rPr>
              <w:t>NR</w:t>
            </w:r>
          </w:p>
        </w:tc>
        <w:tc>
          <w:tcPr>
            <w:tcW w:w="0" w:type="auto"/>
            <w:tcBorders>
              <w:bottom w:val="single" w:sz="4" w:space="0" w:color="auto"/>
            </w:tcBorders>
          </w:tcPr>
          <w:p w:rsidR="00214FDA" w:rsidRDefault="00214FDA" w:rsidP="00904BA0">
            <w:pPr>
              <w:pStyle w:val="Tableheading"/>
              <w:rPr>
                <w:b w:val="0"/>
              </w:rPr>
            </w:pPr>
            <w:r>
              <w:rPr>
                <w:b w:val="0"/>
              </w:rPr>
              <w:t>NR</w:t>
            </w:r>
          </w:p>
        </w:tc>
        <w:tc>
          <w:tcPr>
            <w:tcW w:w="0" w:type="auto"/>
            <w:tcBorders>
              <w:bottom w:val="single" w:sz="4" w:space="0" w:color="auto"/>
            </w:tcBorders>
          </w:tcPr>
          <w:p w:rsidR="00214FDA" w:rsidRPr="00274021" w:rsidRDefault="00214FDA" w:rsidP="00904BA0">
            <w:pPr>
              <w:pStyle w:val="Tableheading"/>
              <w:rPr>
                <w:b w:val="0"/>
              </w:rPr>
            </w:pPr>
            <w:r>
              <w:rPr>
                <w:b w:val="0"/>
              </w:rPr>
              <w:t>NR</w:t>
            </w:r>
          </w:p>
        </w:tc>
      </w:tr>
      <w:tr w:rsidR="00214FDA" w:rsidRPr="001702A4" w:rsidTr="00416B1C">
        <w:trPr>
          <w:cantSplit/>
        </w:trPr>
        <w:tc>
          <w:tcPr>
            <w:tcW w:w="0" w:type="auto"/>
            <w:tcBorders>
              <w:bottom w:val="single" w:sz="4" w:space="0" w:color="auto"/>
            </w:tcBorders>
          </w:tcPr>
          <w:p w:rsidR="00214FDA" w:rsidRPr="00274021" w:rsidRDefault="00214FDA" w:rsidP="00904BA0">
            <w:pPr>
              <w:pStyle w:val="Tableheading"/>
              <w:rPr>
                <w:b w:val="0"/>
              </w:rPr>
            </w:pPr>
            <w:r>
              <w:rPr>
                <w:b w:val="0"/>
              </w:rPr>
              <w:t>LBC</w:t>
            </w:r>
          </w:p>
        </w:tc>
        <w:tc>
          <w:tcPr>
            <w:tcW w:w="0" w:type="auto"/>
            <w:tcBorders>
              <w:bottom w:val="single" w:sz="4" w:space="0" w:color="auto"/>
            </w:tcBorders>
          </w:tcPr>
          <w:p w:rsidR="00214FDA" w:rsidRPr="001702A4" w:rsidRDefault="00214FDA" w:rsidP="00904BA0">
            <w:pPr>
              <w:pStyle w:val="Tableheading"/>
              <w:rPr>
                <w:b w:val="0"/>
              </w:rPr>
            </w:pPr>
            <w:r>
              <w:rPr>
                <w:b w:val="0"/>
              </w:rPr>
              <w:t>ThinPrep</w:t>
            </w:r>
          </w:p>
        </w:tc>
        <w:tc>
          <w:tcPr>
            <w:tcW w:w="0" w:type="auto"/>
            <w:gridSpan w:val="2"/>
            <w:tcBorders>
              <w:bottom w:val="single" w:sz="4" w:space="0" w:color="auto"/>
            </w:tcBorders>
          </w:tcPr>
          <w:p w:rsidR="00214FDA" w:rsidRPr="00274021" w:rsidRDefault="00214FDA" w:rsidP="00904BA0">
            <w:pPr>
              <w:pStyle w:val="Tableheading"/>
              <w:rPr>
                <w:b w:val="0"/>
              </w:rPr>
            </w:pPr>
            <w:r>
              <w:rPr>
                <w:b w:val="0"/>
              </w:rPr>
              <w:t>NR</w:t>
            </w:r>
          </w:p>
        </w:tc>
        <w:tc>
          <w:tcPr>
            <w:tcW w:w="0" w:type="auto"/>
            <w:tcBorders>
              <w:bottom w:val="single" w:sz="4" w:space="0" w:color="auto"/>
            </w:tcBorders>
          </w:tcPr>
          <w:p w:rsidR="00214FDA" w:rsidRPr="00913C71" w:rsidRDefault="00214FDA" w:rsidP="00904BA0">
            <w:pPr>
              <w:pStyle w:val="Tableheading"/>
              <w:rPr>
                <w:b w:val="0"/>
              </w:rPr>
            </w:pPr>
            <w:r w:rsidRPr="00913C71">
              <w:rPr>
                <w:b w:val="0"/>
              </w:rPr>
              <w:t>NR</w:t>
            </w:r>
          </w:p>
        </w:tc>
        <w:tc>
          <w:tcPr>
            <w:tcW w:w="0" w:type="auto"/>
            <w:tcBorders>
              <w:bottom w:val="single" w:sz="4" w:space="0" w:color="auto"/>
            </w:tcBorders>
          </w:tcPr>
          <w:p w:rsidR="00214FDA" w:rsidRPr="00274021" w:rsidRDefault="00214FDA" w:rsidP="00904BA0">
            <w:pPr>
              <w:pStyle w:val="Tableheading"/>
              <w:rPr>
                <w:b w:val="0"/>
              </w:rPr>
            </w:pPr>
            <w:r>
              <w:rPr>
                <w:b w:val="0"/>
              </w:rPr>
              <w:t>PreserveCyt solution</w:t>
            </w:r>
          </w:p>
        </w:tc>
        <w:tc>
          <w:tcPr>
            <w:tcW w:w="0" w:type="auto"/>
            <w:vMerge/>
            <w:tcBorders>
              <w:bottom w:val="single" w:sz="4" w:space="0" w:color="auto"/>
            </w:tcBorders>
          </w:tcPr>
          <w:p w:rsidR="00214FDA" w:rsidRDefault="00214FDA" w:rsidP="00B848E1">
            <w:pPr>
              <w:pStyle w:val="Tableheading"/>
              <w:rPr>
                <w:b w:val="0"/>
              </w:rPr>
            </w:pPr>
          </w:p>
        </w:tc>
        <w:tc>
          <w:tcPr>
            <w:tcW w:w="0" w:type="auto"/>
            <w:tcBorders>
              <w:bottom w:val="single" w:sz="4" w:space="0" w:color="auto"/>
            </w:tcBorders>
          </w:tcPr>
          <w:p w:rsidR="00214FDA" w:rsidRDefault="00214FDA" w:rsidP="00B848E1">
            <w:pPr>
              <w:pStyle w:val="Tableheading"/>
              <w:rPr>
                <w:b w:val="0"/>
              </w:rPr>
            </w:pPr>
            <w:r>
              <w:rPr>
                <w:b w:val="0"/>
              </w:rPr>
              <w:t>Participating laboratories had no experience with LBC prior to the study. Intensive training to provide cytologists with information on the cytologic features unique to thin-layer preparation was provided to all cytologists as well as the main diagnostic criteria to be applied</w:t>
            </w:r>
          </w:p>
        </w:tc>
        <w:tc>
          <w:tcPr>
            <w:tcW w:w="0" w:type="auto"/>
            <w:tcBorders>
              <w:bottom w:val="single" w:sz="4" w:space="0" w:color="auto"/>
            </w:tcBorders>
          </w:tcPr>
          <w:p w:rsidR="00214FDA" w:rsidRPr="00274021" w:rsidRDefault="00214FDA" w:rsidP="00904BA0">
            <w:pPr>
              <w:pStyle w:val="Tableheading"/>
              <w:rPr>
                <w:b w:val="0"/>
              </w:rPr>
            </w:pPr>
            <w:r>
              <w:rPr>
                <w:b w:val="0"/>
              </w:rPr>
              <w:t>NR</w:t>
            </w:r>
          </w:p>
        </w:tc>
      </w:tr>
      <w:tr w:rsidR="008F1CDB" w:rsidRPr="001702A4" w:rsidTr="008F1CDB">
        <w:tc>
          <w:tcPr>
            <w:tcW w:w="0" w:type="auto"/>
            <w:gridSpan w:val="9"/>
            <w:tcBorders>
              <w:bottom w:val="single" w:sz="4" w:space="0" w:color="auto"/>
            </w:tcBorders>
          </w:tcPr>
          <w:p w:rsidR="008F1CDB" w:rsidRPr="001F034D" w:rsidRDefault="008F1CDB" w:rsidP="003F4F7D">
            <w:pPr>
              <w:pStyle w:val="Tabletext"/>
            </w:pPr>
            <w:r w:rsidRPr="001F034D">
              <w:t>Source: Maccallin</w:t>
            </w:r>
            <w:r>
              <w:t xml:space="preserve">i </w:t>
            </w:r>
            <w:r w:rsidRPr="001F034D">
              <w:t>2008</w:t>
            </w:r>
          </w:p>
        </w:tc>
      </w:tr>
      <w:tr w:rsidR="008F1CDB" w:rsidRPr="001702A4" w:rsidTr="008F1CDB">
        <w:tc>
          <w:tcPr>
            <w:tcW w:w="0" w:type="auto"/>
            <w:gridSpan w:val="9"/>
            <w:tcBorders>
              <w:bottom w:val="single" w:sz="4" w:space="0" w:color="auto"/>
            </w:tcBorders>
          </w:tcPr>
          <w:p w:rsidR="008F1CDB" w:rsidRPr="001702A4" w:rsidRDefault="008F1CDB" w:rsidP="00904BA0">
            <w:pPr>
              <w:pStyle w:val="Tableheading"/>
              <w:rPr>
                <w:b w:val="0"/>
              </w:rPr>
            </w:pPr>
            <w:r w:rsidRPr="001F034D">
              <w:t>Obwegeser 2001</w:t>
            </w:r>
          </w:p>
        </w:tc>
      </w:tr>
      <w:tr w:rsidR="00214FDA" w:rsidRPr="001702A4" w:rsidTr="00214FDA">
        <w:tc>
          <w:tcPr>
            <w:tcW w:w="0" w:type="auto"/>
            <w:tcBorders>
              <w:bottom w:val="single" w:sz="4" w:space="0" w:color="auto"/>
            </w:tcBorders>
          </w:tcPr>
          <w:p w:rsidR="00214FDA" w:rsidRPr="00274021" w:rsidRDefault="00214FDA" w:rsidP="00904BA0">
            <w:pPr>
              <w:pStyle w:val="Tableheading"/>
              <w:rPr>
                <w:b w:val="0"/>
              </w:rPr>
            </w:pPr>
            <w:r>
              <w:rPr>
                <w:b w:val="0"/>
              </w:rPr>
              <w:t>Conventional</w:t>
            </w:r>
          </w:p>
        </w:tc>
        <w:tc>
          <w:tcPr>
            <w:tcW w:w="0" w:type="auto"/>
            <w:tcBorders>
              <w:bottom w:val="single" w:sz="4" w:space="0" w:color="auto"/>
            </w:tcBorders>
          </w:tcPr>
          <w:p w:rsidR="00214FDA" w:rsidRPr="001702A4" w:rsidRDefault="00214FDA" w:rsidP="00904BA0">
            <w:pPr>
              <w:pStyle w:val="Tableheading"/>
              <w:rPr>
                <w:b w:val="0"/>
              </w:rPr>
            </w:pPr>
            <w:r>
              <w:rPr>
                <w:b w:val="0"/>
              </w:rPr>
              <w:t>Conventional Pap smear</w:t>
            </w:r>
          </w:p>
        </w:tc>
        <w:tc>
          <w:tcPr>
            <w:tcW w:w="0" w:type="auto"/>
            <w:gridSpan w:val="2"/>
            <w:tcBorders>
              <w:bottom w:val="single" w:sz="4" w:space="0" w:color="auto"/>
            </w:tcBorders>
          </w:tcPr>
          <w:p w:rsidR="00214FDA" w:rsidRPr="00274021" w:rsidRDefault="00214FDA" w:rsidP="00904BA0">
            <w:pPr>
              <w:pStyle w:val="Tableheading"/>
              <w:rPr>
                <w:b w:val="0"/>
              </w:rPr>
            </w:pPr>
            <w:r>
              <w:rPr>
                <w:b w:val="0"/>
              </w:rPr>
              <w:t xml:space="preserve">Samples were collected by gynaecologists after mucus and debris had been removed from the cervical surface with a cellulose swab. Samples were then </w:t>
            </w:r>
            <w:r>
              <w:rPr>
                <w:b w:val="0"/>
              </w:rPr>
              <w:lastRenderedPageBreak/>
              <w:t>collected under colposcopic guidance. Cells were collected from the endocervical canal and cervical surface</w:t>
            </w:r>
          </w:p>
        </w:tc>
        <w:tc>
          <w:tcPr>
            <w:tcW w:w="0" w:type="auto"/>
            <w:tcBorders>
              <w:bottom w:val="single" w:sz="4" w:space="0" w:color="auto"/>
            </w:tcBorders>
          </w:tcPr>
          <w:p w:rsidR="00214FDA" w:rsidRPr="00274021" w:rsidRDefault="00214FDA" w:rsidP="00904BA0">
            <w:pPr>
              <w:pStyle w:val="Tableheading"/>
              <w:rPr>
                <w:b w:val="0"/>
              </w:rPr>
            </w:pPr>
            <w:r>
              <w:rPr>
                <w:b w:val="0"/>
              </w:rPr>
              <w:lastRenderedPageBreak/>
              <w:t>Szalay Spatula</w:t>
            </w:r>
          </w:p>
        </w:tc>
        <w:tc>
          <w:tcPr>
            <w:tcW w:w="0" w:type="auto"/>
            <w:tcBorders>
              <w:bottom w:val="single" w:sz="4" w:space="0" w:color="auto"/>
            </w:tcBorders>
          </w:tcPr>
          <w:p w:rsidR="00214FDA" w:rsidRPr="00274021" w:rsidRDefault="00214FDA" w:rsidP="00743935">
            <w:pPr>
              <w:pStyle w:val="Tableheading"/>
              <w:rPr>
                <w:b w:val="0"/>
              </w:rPr>
            </w:pPr>
            <w:r>
              <w:rPr>
                <w:b w:val="0"/>
              </w:rPr>
              <w:t>Slides were fixed immediately in a 96% alcohol solution and stained with the laboratory’s routine Pap staining</w:t>
            </w:r>
          </w:p>
        </w:tc>
        <w:tc>
          <w:tcPr>
            <w:tcW w:w="0" w:type="auto"/>
            <w:vMerge w:val="restart"/>
          </w:tcPr>
          <w:p w:rsidR="00214FDA" w:rsidRDefault="00214FDA" w:rsidP="00904BA0">
            <w:pPr>
              <w:pStyle w:val="Tableheading"/>
              <w:rPr>
                <w:b w:val="0"/>
              </w:rPr>
            </w:pPr>
            <w:r>
              <w:rPr>
                <w:b w:val="0"/>
              </w:rPr>
              <w:t>NR</w:t>
            </w:r>
          </w:p>
        </w:tc>
        <w:tc>
          <w:tcPr>
            <w:tcW w:w="0" w:type="auto"/>
            <w:tcBorders>
              <w:bottom w:val="single" w:sz="4" w:space="0" w:color="auto"/>
            </w:tcBorders>
          </w:tcPr>
          <w:p w:rsidR="00214FDA" w:rsidRDefault="00214FDA" w:rsidP="00904BA0">
            <w:pPr>
              <w:pStyle w:val="Tableheading"/>
              <w:rPr>
                <w:b w:val="0"/>
              </w:rPr>
            </w:pPr>
            <w:r>
              <w:rPr>
                <w:b w:val="0"/>
              </w:rPr>
              <w:t>CV smears were evaluated by three other cytotechnologists with experience in reading CV smears</w:t>
            </w:r>
          </w:p>
        </w:tc>
        <w:tc>
          <w:tcPr>
            <w:tcW w:w="0" w:type="auto"/>
            <w:tcBorders>
              <w:bottom w:val="single" w:sz="4" w:space="0" w:color="auto"/>
            </w:tcBorders>
          </w:tcPr>
          <w:p w:rsidR="00214FDA" w:rsidRPr="00274021" w:rsidRDefault="00214FDA" w:rsidP="00904BA0">
            <w:pPr>
              <w:pStyle w:val="Tableheading"/>
              <w:rPr>
                <w:b w:val="0"/>
              </w:rPr>
            </w:pPr>
            <w:r>
              <w:rPr>
                <w:b w:val="0"/>
              </w:rPr>
              <w:t>NR</w:t>
            </w:r>
          </w:p>
        </w:tc>
      </w:tr>
      <w:tr w:rsidR="00214FDA" w:rsidRPr="001702A4" w:rsidTr="00416B1C">
        <w:tc>
          <w:tcPr>
            <w:tcW w:w="0" w:type="auto"/>
            <w:tcBorders>
              <w:bottom w:val="single" w:sz="4" w:space="0" w:color="auto"/>
            </w:tcBorders>
          </w:tcPr>
          <w:p w:rsidR="00214FDA" w:rsidRPr="00274021" w:rsidRDefault="00214FDA" w:rsidP="00904BA0">
            <w:pPr>
              <w:pStyle w:val="Tableheading"/>
              <w:rPr>
                <w:b w:val="0"/>
              </w:rPr>
            </w:pPr>
            <w:r>
              <w:rPr>
                <w:b w:val="0"/>
              </w:rPr>
              <w:lastRenderedPageBreak/>
              <w:t>LBC</w:t>
            </w:r>
          </w:p>
        </w:tc>
        <w:tc>
          <w:tcPr>
            <w:tcW w:w="0" w:type="auto"/>
            <w:tcBorders>
              <w:bottom w:val="single" w:sz="4" w:space="0" w:color="auto"/>
            </w:tcBorders>
          </w:tcPr>
          <w:p w:rsidR="00214FDA" w:rsidRPr="001702A4" w:rsidRDefault="00214FDA" w:rsidP="00904BA0">
            <w:pPr>
              <w:pStyle w:val="Tableheading"/>
              <w:rPr>
                <w:b w:val="0"/>
              </w:rPr>
            </w:pPr>
            <w:r>
              <w:rPr>
                <w:b w:val="0"/>
              </w:rPr>
              <w:t>ThinPrep</w:t>
            </w:r>
          </w:p>
        </w:tc>
        <w:tc>
          <w:tcPr>
            <w:tcW w:w="0" w:type="auto"/>
            <w:gridSpan w:val="2"/>
            <w:tcBorders>
              <w:bottom w:val="single" w:sz="4" w:space="0" w:color="auto"/>
            </w:tcBorders>
          </w:tcPr>
          <w:p w:rsidR="00214FDA" w:rsidRPr="00274021" w:rsidRDefault="00214FDA" w:rsidP="00904BA0">
            <w:pPr>
              <w:pStyle w:val="Tableheading"/>
              <w:rPr>
                <w:b w:val="0"/>
              </w:rPr>
            </w:pPr>
            <w:r>
              <w:rPr>
                <w:b w:val="0"/>
              </w:rPr>
              <w:t>Samples were collected by gynaecologists after mucus and debris had been removed from the cervical surface with a cellulose swab. Samples were then collected under colposcopic guidance</w:t>
            </w:r>
          </w:p>
        </w:tc>
        <w:tc>
          <w:tcPr>
            <w:tcW w:w="0" w:type="auto"/>
            <w:tcBorders>
              <w:bottom w:val="single" w:sz="4" w:space="0" w:color="auto"/>
            </w:tcBorders>
          </w:tcPr>
          <w:p w:rsidR="00214FDA" w:rsidRPr="00274021" w:rsidRDefault="00214FDA" w:rsidP="00904BA0">
            <w:pPr>
              <w:pStyle w:val="Tableheading"/>
              <w:rPr>
                <w:b w:val="0"/>
              </w:rPr>
            </w:pPr>
            <w:r>
              <w:rPr>
                <w:b w:val="0"/>
              </w:rPr>
              <w:t>Rovers Cervix-Brush or Orifice Oribrush for endocervical cell collection combined with a plastic spatula for the cervical service</w:t>
            </w:r>
          </w:p>
        </w:tc>
        <w:tc>
          <w:tcPr>
            <w:tcW w:w="0" w:type="auto"/>
            <w:tcBorders>
              <w:bottom w:val="single" w:sz="4" w:space="0" w:color="auto"/>
            </w:tcBorders>
          </w:tcPr>
          <w:p w:rsidR="00214FDA" w:rsidRPr="00274021" w:rsidRDefault="00214FDA" w:rsidP="00743935">
            <w:pPr>
              <w:pStyle w:val="Tableheading"/>
              <w:rPr>
                <w:b w:val="0"/>
              </w:rPr>
            </w:pPr>
            <w:r>
              <w:rPr>
                <w:b w:val="0"/>
              </w:rPr>
              <w:t>The collection device was rinsed immediately after use in a vial of PreservCyt Solution, and a slide was prepared using the ThinPrep 2000 processor according to the manufacturer’s guidelines. Slides were stained with the laboratory’s routine Pap staining</w:t>
            </w:r>
          </w:p>
        </w:tc>
        <w:tc>
          <w:tcPr>
            <w:tcW w:w="0" w:type="auto"/>
            <w:vMerge/>
            <w:tcBorders>
              <w:bottom w:val="single" w:sz="4" w:space="0" w:color="auto"/>
            </w:tcBorders>
          </w:tcPr>
          <w:p w:rsidR="00214FDA" w:rsidRDefault="00214FDA" w:rsidP="00904BA0">
            <w:pPr>
              <w:pStyle w:val="Tableheading"/>
              <w:rPr>
                <w:b w:val="0"/>
              </w:rPr>
            </w:pPr>
          </w:p>
        </w:tc>
        <w:tc>
          <w:tcPr>
            <w:tcW w:w="0" w:type="auto"/>
            <w:tcBorders>
              <w:bottom w:val="single" w:sz="4" w:space="0" w:color="auto"/>
            </w:tcBorders>
          </w:tcPr>
          <w:p w:rsidR="00214FDA" w:rsidRDefault="00214FDA" w:rsidP="00904BA0">
            <w:pPr>
              <w:pStyle w:val="Tableheading"/>
              <w:rPr>
                <w:b w:val="0"/>
              </w:rPr>
            </w:pPr>
            <w:r>
              <w:rPr>
                <w:b w:val="0"/>
              </w:rPr>
              <w:t>TP slides were evaluated by an experienced cytotechnologist who had successfully completed a training program offered by Cytyc and received primary training and certification</w:t>
            </w:r>
          </w:p>
        </w:tc>
        <w:tc>
          <w:tcPr>
            <w:tcW w:w="0" w:type="auto"/>
            <w:tcBorders>
              <w:bottom w:val="single" w:sz="4" w:space="0" w:color="auto"/>
            </w:tcBorders>
          </w:tcPr>
          <w:p w:rsidR="00214FDA" w:rsidRPr="00274021" w:rsidRDefault="00214FDA" w:rsidP="00904BA0">
            <w:pPr>
              <w:pStyle w:val="Tableheading"/>
              <w:rPr>
                <w:b w:val="0"/>
              </w:rPr>
            </w:pPr>
            <w:r>
              <w:rPr>
                <w:b w:val="0"/>
              </w:rPr>
              <w:t>NR</w:t>
            </w:r>
          </w:p>
        </w:tc>
      </w:tr>
      <w:tr w:rsidR="008F1CDB" w:rsidRPr="001702A4" w:rsidTr="008F1CDB">
        <w:tc>
          <w:tcPr>
            <w:tcW w:w="0" w:type="auto"/>
            <w:gridSpan w:val="9"/>
            <w:tcBorders>
              <w:bottom w:val="single" w:sz="4" w:space="0" w:color="auto"/>
            </w:tcBorders>
          </w:tcPr>
          <w:p w:rsidR="008F1CDB" w:rsidRPr="001702A4" w:rsidRDefault="008F1CDB" w:rsidP="00A37C04">
            <w:pPr>
              <w:pStyle w:val="Tabletext"/>
            </w:pPr>
            <w:r>
              <w:t xml:space="preserve">Source: Obwegeser </w:t>
            </w:r>
            <w:r w:rsidRPr="001F034D">
              <w:t>2001</w:t>
            </w:r>
          </w:p>
        </w:tc>
      </w:tr>
      <w:tr w:rsidR="008F1CDB" w:rsidRPr="001702A4" w:rsidTr="008F1CDB">
        <w:tc>
          <w:tcPr>
            <w:tcW w:w="0" w:type="auto"/>
            <w:gridSpan w:val="9"/>
            <w:tcBorders>
              <w:bottom w:val="single" w:sz="4" w:space="0" w:color="auto"/>
            </w:tcBorders>
          </w:tcPr>
          <w:p w:rsidR="008F1CDB" w:rsidRPr="00357062" w:rsidRDefault="008F1CDB" w:rsidP="00904BA0">
            <w:pPr>
              <w:pStyle w:val="Tableheading"/>
            </w:pPr>
            <w:r>
              <w:t>RHINE-SAAR</w:t>
            </w:r>
            <w:r w:rsidRPr="001F034D">
              <w:t xml:space="preserve"> Study</w:t>
            </w:r>
          </w:p>
        </w:tc>
      </w:tr>
      <w:tr w:rsidR="00214FDA" w:rsidRPr="001702A4" w:rsidTr="00214FDA">
        <w:tc>
          <w:tcPr>
            <w:tcW w:w="0" w:type="auto"/>
            <w:tcBorders>
              <w:bottom w:val="single" w:sz="4" w:space="0" w:color="auto"/>
            </w:tcBorders>
          </w:tcPr>
          <w:p w:rsidR="00214FDA" w:rsidRPr="00274021" w:rsidRDefault="00214FDA" w:rsidP="00904BA0">
            <w:pPr>
              <w:pStyle w:val="Tableheading"/>
              <w:rPr>
                <w:b w:val="0"/>
              </w:rPr>
            </w:pPr>
            <w:r>
              <w:rPr>
                <w:b w:val="0"/>
              </w:rPr>
              <w:t>Conventional</w:t>
            </w:r>
          </w:p>
        </w:tc>
        <w:tc>
          <w:tcPr>
            <w:tcW w:w="0" w:type="auto"/>
            <w:tcBorders>
              <w:bottom w:val="single" w:sz="4" w:space="0" w:color="auto"/>
            </w:tcBorders>
          </w:tcPr>
          <w:p w:rsidR="00214FDA" w:rsidRPr="001702A4" w:rsidRDefault="00214FDA" w:rsidP="00904BA0">
            <w:pPr>
              <w:pStyle w:val="Tableheading"/>
              <w:rPr>
                <w:b w:val="0"/>
              </w:rPr>
            </w:pPr>
            <w:r>
              <w:rPr>
                <w:b w:val="0"/>
              </w:rPr>
              <w:t>Conventional Pap smear</w:t>
            </w:r>
          </w:p>
        </w:tc>
        <w:tc>
          <w:tcPr>
            <w:tcW w:w="0" w:type="auto"/>
            <w:gridSpan w:val="2"/>
            <w:tcBorders>
              <w:bottom w:val="single" w:sz="4" w:space="0" w:color="auto"/>
            </w:tcBorders>
          </w:tcPr>
          <w:p w:rsidR="00214FDA" w:rsidRPr="001702A4" w:rsidRDefault="00214FDA" w:rsidP="00904BA0">
            <w:pPr>
              <w:pStyle w:val="Tableheading"/>
              <w:rPr>
                <w:b w:val="0"/>
              </w:rPr>
            </w:pPr>
            <w:r>
              <w:rPr>
                <w:b w:val="0"/>
              </w:rPr>
              <w:t>NR</w:t>
            </w:r>
          </w:p>
        </w:tc>
        <w:tc>
          <w:tcPr>
            <w:tcW w:w="0" w:type="auto"/>
            <w:tcBorders>
              <w:bottom w:val="single" w:sz="4" w:space="0" w:color="auto"/>
            </w:tcBorders>
          </w:tcPr>
          <w:p w:rsidR="00214FDA" w:rsidRPr="001702A4" w:rsidRDefault="00214FDA" w:rsidP="00904BA0">
            <w:pPr>
              <w:pStyle w:val="Tableheading"/>
              <w:rPr>
                <w:b w:val="0"/>
              </w:rPr>
            </w:pPr>
            <w:r>
              <w:rPr>
                <w:b w:val="0"/>
              </w:rPr>
              <w:t>NR</w:t>
            </w:r>
          </w:p>
        </w:tc>
        <w:tc>
          <w:tcPr>
            <w:tcW w:w="0" w:type="auto"/>
            <w:tcBorders>
              <w:bottom w:val="single" w:sz="4" w:space="0" w:color="auto"/>
            </w:tcBorders>
          </w:tcPr>
          <w:p w:rsidR="00214FDA" w:rsidRPr="001702A4" w:rsidRDefault="00214FDA" w:rsidP="00904BA0">
            <w:pPr>
              <w:pStyle w:val="Tableheading"/>
              <w:rPr>
                <w:b w:val="0"/>
              </w:rPr>
            </w:pPr>
            <w:r>
              <w:rPr>
                <w:b w:val="0"/>
              </w:rPr>
              <w:t>NR</w:t>
            </w:r>
          </w:p>
        </w:tc>
        <w:tc>
          <w:tcPr>
            <w:tcW w:w="0" w:type="auto"/>
            <w:vMerge w:val="restart"/>
          </w:tcPr>
          <w:p w:rsidR="00214FDA" w:rsidRDefault="00214FDA" w:rsidP="00904BA0">
            <w:pPr>
              <w:pStyle w:val="Tableheading"/>
              <w:rPr>
                <w:b w:val="0"/>
              </w:rPr>
            </w:pPr>
            <w:r>
              <w:rPr>
                <w:b w:val="0"/>
              </w:rPr>
              <w:t>NR</w:t>
            </w:r>
          </w:p>
        </w:tc>
        <w:tc>
          <w:tcPr>
            <w:tcW w:w="0" w:type="auto"/>
            <w:tcBorders>
              <w:bottom w:val="single" w:sz="4" w:space="0" w:color="auto"/>
            </w:tcBorders>
          </w:tcPr>
          <w:p w:rsidR="00214FDA" w:rsidRDefault="00214FDA" w:rsidP="00904BA0">
            <w:pPr>
              <w:pStyle w:val="Tableheading"/>
              <w:rPr>
                <w:b w:val="0"/>
              </w:rPr>
            </w:pPr>
            <w:r>
              <w:rPr>
                <w:b w:val="0"/>
              </w:rPr>
              <w:t>Smear evaluation performed only by experienced cytotechnicians (&gt; 2000 slides in each technique)</w:t>
            </w:r>
          </w:p>
        </w:tc>
        <w:tc>
          <w:tcPr>
            <w:tcW w:w="0" w:type="auto"/>
            <w:tcBorders>
              <w:bottom w:val="single" w:sz="4" w:space="0" w:color="auto"/>
            </w:tcBorders>
          </w:tcPr>
          <w:p w:rsidR="00214FDA" w:rsidRPr="001702A4" w:rsidRDefault="00214FDA" w:rsidP="00904BA0">
            <w:pPr>
              <w:pStyle w:val="Tableheading"/>
              <w:rPr>
                <w:b w:val="0"/>
              </w:rPr>
            </w:pPr>
            <w:r>
              <w:rPr>
                <w:b w:val="0"/>
              </w:rPr>
              <w:t>N/A</w:t>
            </w:r>
          </w:p>
        </w:tc>
      </w:tr>
      <w:tr w:rsidR="00214FDA" w:rsidRPr="001702A4" w:rsidTr="00416B1C">
        <w:tc>
          <w:tcPr>
            <w:tcW w:w="0" w:type="auto"/>
            <w:tcBorders>
              <w:bottom w:val="single" w:sz="4" w:space="0" w:color="auto"/>
            </w:tcBorders>
          </w:tcPr>
          <w:p w:rsidR="00214FDA" w:rsidRPr="00274021" w:rsidRDefault="00214FDA" w:rsidP="00904BA0">
            <w:pPr>
              <w:pStyle w:val="Tableheading"/>
              <w:rPr>
                <w:b w:val="0"/>
              </w:rPr>
            </w:pPr>
            <w:r>
              <w:rPr>
                <w:b w:val="0"/>
              </w:rPr>
              <w:t>LBC</w:t>
            </w:r>
          </w:p>
        </w:tc>
        <w:tc>
          <w:tcPr>
            <w:tcW w:w="0" w:type="auto"/>
            <w:tcBorders>
              <w:bottom w:val="single" w:sz="4" w:space="0" w:color="auto"/>
            </w:tcBorders>
          </w:tcPr>
          <w:p w:rsidR="00214FDA" w:rsidRPr="001702A4" w:rsidRDefault="00214FDA" w:rsidP="00904BA0">
            <w:pPr>
              <w:pStyle w:val="Tableheading"/>
              <w:rPr>
                <w:b w:val="0"/>
              </w:rPr>
            </w:pPr>
            <w:r>
              <w:rPr>
                <w:b w:val="0"/>
              </w:rPr>
              <w:t>ThinPrep</w:t>
            </w:r>
          </w:p>
        </w:tc>
        <w:tc>
          <w:tcPr>
            <w:tcW w:w="0" w:type="auto"/>
            <w:gridSpan w:val="2"/>
            <w:tcBorders>
              <w:bottom w:val="single" w:sz="4" w:space="0" w:color="auto"/>
            </w:tcBorders>
          </w:tcPr>
          <w:p w:rsidR="00214FDA" w:rsidRPr="001702A4" w:rsidRDefault="00214FDA" w:rsidP="00904BA0">
            <w:pPr>
              <w:pStyle w:val="Tableheading"/>
              <w:rPr>
                <w:b w:val="0"/>
              </w:rPr>
            </w:pPr>
            <w:r>
              <w:rPr>
                <w:b w:val="0"/>
              </w:rPr>
              <w:t>NR</w:t>
            </w:r>
          </w:p>
        </w:tc>
        <w:tc>
          <w:tcPr>
            <w:tcW w:w="0" w:type="auto"/>
            <w:tcBorders>
              <w:bottom w:val="single" w:sz="4" w:space="0" w:color="auto"/>
            </w:tcBorders>
          </w:tcPr>
          <w:p w:rsidR="00214FDA" w:rsidRPr="001702A4" w:rsidRDefault="00214FDA" w:rsidP="00904BA0">
            <w:pPr>
              <w:pStyle w:val="Tableheading"/>
              <w:rPr>
                <w:b w:val="0"/>
              </w:rPr>
            </w:pPr>
            <w:r>
              <w:rPr>
                <w:b w:val="0"/>
              </w:rPr>
              <w:t>NR</w:t>
            </w:r>
          </w:p>
        </w:tc>
        <w:tc>
          <w:tcPr>
            <w:tcW w:w="0" w:type="auto"/>
            <w:tcBorders>
              <w:bottom w:val="single" w:sz="4" w:space="0" w:color="auto"/>
            </w:tcBorders>
          </w:tcPr>
          <w:p w:rsidR="00214FDA" w:rsidRPr="001702A4" w:rsidRDefault="00214FDA" w:rsidP="00904BA0">
            <w:pPr>
              <w:pStyle w:val="Tableheading"/>
              <w:rPr>
                <w:b w:val="0"/>
              </w:rPr>
            </w:pPr>
            <w:r>
              <w:rPr>
                <w:b w:val="0"/>
              </w:rPr>
              <w:t>NR</w:t>
            </w:r>
          </w:p>
        </w:tc>
        <w:tc>
          <w:tcPr>
            <w:tcW w:w="0" w:type="auto"/>
            <w:vMerge/>
            <w:tcBorders>
              <w:bottom w:val="single" w:sz="4" w:space="0" w:color="auto"/>
            </w:tcBorders>
          </w:tcPr>
          <w:p w:rsidR="00214FDA" w:rsidRDefault="00214FDA" w:rsidP="00904BA0">
            <w:pPr>
              <w:pStyle w:val="Tableheading"/>
              <w:rPr>
                <w:b w:val="0"/>
              </w:rPr>
            </w:pPr>
          </w:p>
        </w:tc>
        <w:tc>
          <w:tcPr>
            <w:tcW w:w="0" w:type="auto"/>
            <w:tcBorders>
              <w:bottom w:val="single" w:sz="4" w:space="0" w:color="auto"/>
            </w:tcBorders>
          </w:tcPr>
          <w:p w:rsidR="00214FDA" w:rsidRDefault="00214FDA" w:rsidP="00904BA0">
            <w:pPr>
              <w:pStyle w:val="Tableheading"/>
              <w:rPr>
                <w:b w:val="0"/>
              </w:rPr>
            </w:pPr>
            <w:r>
              <w:rPr>
                <w:b w:val="0"/>
              </w:rPr>
              <w:t>Smear evaluation performed only by experienced cytotechnicians (&gt; 2000 slides in each technique)</w:t>
            </w:r>
          </w:p>
        </w:tc>
        <w:tc>
          <w:tcPr>
            <w:tcW w:w="0" w:type="auto"/>
            <w:tcBorders>
              <w:bottom w:val="single" w:sz="4" w:space="0" w:color="auto"/>
            </w:tcBorders>
          </w:tcPr>
          <w:p w:rsidR="00214FDA" w:rsidRPr="001702A4" w:rsidRDefault="00214FDA" w:rsidP="00904BA0">
            <w:pPr>
              <w:pStyle w:val="Tableheading"/>
              <w:rPr>
                <w:b w:val="0"/>
              </w:rPr>
            </w:pPr>
            <w:r>
              <w:rPr>
                <w:b w:val="0"/>
              </w:rPr>
              <w:t>ThinPrep Imaging System</w:t>
            </w:r>
          </w:p>
        </w:tc>
      </w:tr>
      <w:tr w:rsidR="008F1CDB" w:rsidRPr="001702A4" w:rsidTr="008F1CDB">
        <w:tc>
          <w:tcPr>
            <w:tcW w:w="0" w:type="auto"/>
            <w:gridSpan w:val="9"/>
            <w:tcBorders>
              <w:bottom w:val="single" w:sz="4" w:space="0" w:color="auto"/>
            </w:tcBorders>
          </w:tcPr>
          <w:p w:rsidR="008F1CDB" w:rsidRPr="001702A4" w:rsidRDefault="008F1CDB" w:rsidP="00A37C04">
            <w:pPr>
              <w:pStyle w:val="Tabletext"/>
            </w:pPr>
            <w:r>
              <w:t>Source: Ikenberg 2010a, 2010b, 2010c, 2011a,</w:t>
            </w:r>
            <w:r w:rsidRPr="001F034D">
              <w:t xml:space="preserve"> 2011b</w:t>
            </w:r>
          </w:p>
        </w:tc>
      </w:tr>
      <w:tr w:rsidR="008F1CDB" w:rsidRPr="001702A4" w:rsidTr="008F1CDB">
        <w:tc>
          <w:tcPr>
            <w:tcW w:w="0" w:type="auto"/>
            <w:gridSpan w:val="9"/>
            <w:tcBorders>
              <w:bottom w:val="single" w:sz="4" w:space="0" w:color="auto"/>
            </w:tcBorders>
            <w:shd w:val="clear" w:color="auto" w:fill="D9D9D9"/>
          </w:tcPr>
          <w:p w:rsidR="008F1CDB" w:rsidRPr="00274021" w:rsidRDefault="008F1CDB" w:rsidP="00904BA0">
            <w:pPr>
              <w:pStyle w:val="Tableheading"/>
              <w:rPr>
                <w:b w:val="0"/>
              </w:rPr>
            </w:pPr>
            <w:r>
              <w:lastRenderedPageBreak/>
              <w:t xml:space="preserve">Manual versus automated </w:t>
            </w:r>
          </w:p>
        </w:tc>
      </w:tr>
      <w:tr w:rsidR="008F1CDB" w:rsidRPr="001702A4" w:rsidTr="008F1CDB">
        <w:tc>
          <w:tcPr>
            <w:tcW w:w="0" w:type="auto"/>
            <w:gridSpan w:val="9"/>
            <w:tcBorders>
              <w:bottom w:val="single" w:sz="4" w:space="0" w:color="auto"/>
            </w:tcBorders>
          </w:tcPr>
          <w:p w:rsidR="008F1CDB" w:rsidRPr="001F034D" w:rsidRDefault="008F1CDB" w:rsidP="00904BA0">
            <w:pPr>
              <w:pStyle w:val="Tableheading"/>
            </w:pPr>
            <w:r w:rsidRPr="001F034D">
              <w:t>MAVARIC Study</w:t>
            </w:r>
          </w:p>
        </w:tc>
      </w:tr>
      <w:tr w:rsidR="00214FDA" w:rsidRPr="001702A4" w:rsidTr="00214FDA">
        <w:tc>
          <w:tcPr>
            <w:tcW w:w="0" w:type="auto"/>
            <w:vMerge w:val="restart"/>
          </w:tcPr>
          <w:p w:rsidR="00214FDA" w:rsidRPr="001702A4" w:rsidRDefault="00214FDA" w:rsidP="00904BA0">
            <w:pPr>
              <w:pStyle w:val="Tableheading"/>
              <w:rPr>
                <w:b w:val="0"/>
              </w:rPr>
            </w:pPr>
            <w:r>
              <w:rPr>
                <w:b w:val="0"/>
              </w:rPr>
              <w:t>Manual arm</w:t>
            </w:r>
          </w:p>
        </w:tc>
        <w:tc>
          <w:tcPr>
            <w:tcW w:w="0" w:type="auto"/>
            <w:tcBorders>
              <w:bottom w:val="single" w:sz="4" w:space="0" w:color="auto"/>
            </w:tcBorders>
          </w:tcPr>
          <w:p w:rsidR="00214FDA" w:rsidRPr="001702A4" w:rsidRDefault="00214FDA" w:rsidP="00904BA0">
            <w:pPr>
              <w:pStyle w:val="Tabletext"/>
            </w:pPr>
            <w:r>
              <w:t>SurePath +HPV testing low grade abnormalities using HC2</w:t>
            </w:r>
          </w:p>
        </w:tc>
        <w:tc>
          <w:tcPr>
            <w:tcW w:w="0" w:type="auto"/>
            <w:gridSpan w:val="2"/>
            <w:tcBorders>
              <w:bottom w:val="single" w:sz="4" w:space="0" w:color="auto"/>
            </w:tcBorders>
          </w:tcPr>
          <w:p w:rsidR="00214FDA" w:rsidRPr="001702A4" w:rsidRDefault="00214FDA" w:rsidP="00904BA0">
            <w:pPr>
              <w:pStyle w:val="Tableheading"/>
              <w:rPr>
                <w:b w:val="0"/>
              </w:rPr>
            </w:pPr>
            <w:r>
              <w:rPr>
                <w:b w:val="0"/>
              </w:rPr>
              <w:t>NR</w:t>
            </w:r>
          </w:p>
        </w:tc>
        <w:tc>
          <w:tcPr>
            <w:tcW w:w="0" w:type="auto"/>
            <w:tcBorders>
              <w:bottom w:val="single" w:sz="4" w:space="0" w:color="auto"/>
            </w:tcBorders>
          </w:tcPr>
          <w:p w:rsidR="00214FDA" w:rsidRPr="001702A4" w:rsidRDefault="00214FDA" w:rsidP="00904BA0">
            <w:pPr>
              <w:pStyle w:val="Tabletext"/>
            </w:pPr>
            <w:r>
              <w:t>NR</w:t>
            </w:r>
          </w:p>
        </w:tc>
        <w:tc>
          <w:tcPr>
            <w:tcW w:w="0" w:type="auto"/>
            <w:tcBorders>
              <w:bottom w:val="single" w:sz="4" w:space="0" w:color="auto"/>
            </w:tcBorders>
          </w:tcPr>
          <w:p w:rsidR="00214FDA" w:rsidRPr="001702A4" w:rsidRDefault="00214FDA" w:rsidP="00904BA0">
            <w:pPr>
              <w:pStyle w:val="Tableheading"/>
              <w:rPr>
                <w:b w:val="0"/>
              </w:rPr>
            </w:pPr>
            <w:r>
              <w:rPr>
                <w:b w:val="0"/>
              </w:rPr>
              <w:t>Manual screening was carried out according to laboratory protocols</w:t>
            </w:r>
          </w:p>
        </w:tc>
        <w:tc>
          <w:tcPr>
            <w:tcW w:w="0" w:type="auto"/>
            <w:vMerge w:val="restart"/>
          </w:tcPr>
          <w:p w:rsidR="00214FDA" w:rsidRPr="008F1CDB" w:rsidRDefault="00214FDA" w:rsidP="00E00C23">
            <w:pPr>
              <w:pStyle w:val="Tableheading"/>
              <w:rPr>
                <w:b w:val="0"/>
              </w:rPr>
            </w:pPr>
            <w:r w:rsidRPr="008F1CDB">
              <w:rPr>
                <w:b w:val="0"/>
              </w:rPr>
              <w:t>After an initial read by the cytoscreener, whether automated or manual, a manual rapid review was done for every sample.</w:t>
            </w:r>
          </w:p>
        </w:tc>
        <w:tc>
          <w:tcPr>
            <w:tcW w:w="0" w:type="auto"/>
            <w:tcBorders>
              <w:bottom w:val="single" w:sz="4" w:space="0" w:color="auto"/>
            </w:tcBorders>
          </w:tcPr>
          <w:p w:rsidR="00214FDA" w:rsidRDefault="00214FDA" w:rsidP="00E00C23">
            <w:pPr>
              <w:pStyle w:val="Tableheading"/>
              <w:rPr>
                <w:b w:val="0"/>
              </w:rPr>
            </w:pPr>
            <w:r>
              <w:t>M</w:t>
            </w:r>
            <w:r>
              <w:rPr>
                <w:b w:val="0"/>
              </w:rPr>
              <w:t xml:space="preserve">anual screening </w:t>
            </w:r>
            <w:r w:rsidRPr="00386049">
              <w:rPr>
                <w:b w:val="0"/>
              </w:rPr>
              <w:t>performed in the routine</w:t>
            </w:r>
            <w:r>
              <w:rPr>
                <w:b w:val="0"/>
              </w:rPr>
              <w:t xml:space="preserve"> lab</w:t>
            </w:r>
            <w:r w:rsidRPr="00386049">
              <w:rPr>
                <w:b w:val="0"/>
              </w:rPr>
              <w:t xml:space="preserve"> </w:t>
            </w:r>
            <w:r>
              <w:rPr>
                <w:b w:val="0"/>
              </w:rPr>
              <w:t xml:space="preserve">workflow by </w:t>
            </w:r>
            <w:r w:rsidRPr="00386049">
              <w:rPr>
                <w:b w:val="0"/>
              </w:rPr>
              <w:t>auto-trained and non-auto-trained cytoscreeners. This</w:t>
            </w:r>
            <w:r>
              <w:rPr>
                <w:b w:val="0"/>
              </w:rPr>
              <w:t xml:space="preserve"> </w:t>
            </w:r>
            <w:r w:rsidRPr="00386049">
              <w:rPr>
                <w:b w:val="0"/>
              </w:rPr>
              <w:t>created the potential for the same screener to read the slide both manually and on the automated</w:t>
            </w:r>
            <w:r>
              <w:rPr>
                <w:b w:val="0"/>
              </w:rPr>
              <w:t xml:space="preserve"> </w:t>
            </w:r>
            <w:r w:rsidRPr="00386049">
              <w:rPr>
                <w:b w:val="0"/>
              </w:rPr>
              <w:t>system; however, owing to the large pool of cytoscreeners performing manual screening the chance of this happening was low.</w:t>
            </w:r>
            <w:r>
              <w:t xml:space="preserve"> </w:t>
            </w:r>
            <w:r w:rsidRPr="00E00C23">
              <w:rPr>
                <w:b w:val="0"/>
              </w:rPr>
              <w:t>There is no mention of feedback to</w:t>
            </w:r>
            <w:r>
              <w:rPr>
                <w:b w:val="0"/>
              </w:rPr>
              <w:t xml:space="preserve"> </w:t>
            </w:r>
            <w:r w:rsidRPr="00E00C23">
              <w:rPr>
                <w:b w:val="0"/>
              </w:rPr>
              <w:t>screeners after initial training</w:t>
            </w:r>
          </w:p>
        </w:tc>
        <w:tc>
          <w:tcPr>
            <w:tcW w:w="0" w:type="auto"/>
            <w:tcBorders>
              <w:bottom w:val="single" w:sz="4" w:space="0" w:color="auto"/>
            </w:tcBorders>
          </w:tcPr>
          <w:p w:rsidR="00214FDA" w:rsidRPr="001702A4" w:rsidRDefault="00214FDA" w:rsidP="00904BA0">
            <w:pPr>
              <w:pStyle w:val="Tableheading"/>
              <w:rPr>
                <w:b w:val="0"/>
              </w:rPr>
            </w:pPr>
            <w:r>
              <w:rPr>
                <w:b w:val="0"/>
              </w:rPr>
              <w:t>N/A</w:t>
            </w:r>
          </w:p>
        </w:tc>
      </w:tr>
      <w:tr w:rsidR="00214FDA" w:rsidRPr="001702A4" w:rsidTr="00214FDA">
        <w:tc>
          <w:tcPr>
            <w:tcW w:w="0" w:type="auto"/>
            <w:vMerge/>
            <w:tcBorders>
              <w:bottom w:val="single" w:sz="4" w:space="0" w:color="auto"/>
            </w:tcBorders>
          </w:tcPr>
          <w:p w:rsidR="00214FDA" w:rsidRPr="001702A4" w:rsidRDefault="00214FDA" w:rsidP="00904BA0">
            <w:pPr>
              <w:pStyle w:val="Tableheading"/>
              <w:rPr>
                <w:b w:val="0"/>
              </w:rPr>
            </w:pPr>
          </w:p>
        </w:tc>
        <w:tc>
          <w:tcPr>
            <w:tcW w:w="0" w:type="auto"/>
            <w:tcBorders>
              <w:bottom w:val="single" w:sz="4" w:space="0" w:color="auto"/>
            </w:tcBorders>
          </w:tcPr>
          <w:p w:rsidR="00214FDA" w:rsidRPr="001702A4" w:rsidRDefault="00214FDA" w:rsidP="00904BA0">
            <w:pPr>
              <w:pStyle w:val="Tabletext"/>
            </w:pPr>
            <w:r>
              <w:t>ThinPrep + HPV testing low grade abnormalities using HC2</w:t>
            </w:r>
          </w:p>
        </w:tc>
        <w:tc>
          <w:tcPr>
            <w:tcW w:w="0" w:type="auto"/>
            <w:gridSpan w:val="2"/>
            <w:tcBorders>
              <w:bottom w:val="single" w:sz="4" w:space="0" w:color="auto"/>
            </w:tcBorders>
          </w:tcPr>
          <w:p w:rsidR="00214FDA" w:rsidRPr="001702A4" w:rsidRDefault="00214FDA" w:rsidP="00904BA0">
            <w:pPr>
              <w:pStyle w:val="Tableheading"/>
              <w:rPr>
                <w:b w:val="0"/>
              </w:rPr>
            </w:pPr>
            <w:r>
              <w:rPr>
                <w:b w:val="0"/>
              </w:rPr>
              <w:t>NR</w:t>
            </w:r>
          </w:p>
        </w:tc>
        <w:tc>
          <w:tcPr>
            <w:tcW w:w="0" w:type="auto"/>
            <w:tcBorders>
              <w:bottom w:val="single" w:sz="4" w:space="0" w:color="auto"/>
            </w:tcBorders>
          </w:tcPr>
          <w:p w:rsidR="00214FDA" w:rsidRPr="001702A4" w:rsidRDefault="00214FDA" w:rsidP="00904BA0">
            <w:pPr>
              <w:pStyle w:val="Tabletext"/>
            </w:pPr>
            <w:r>
              <w:t>NR</w:t>
            </w:r>
          </w:p>
        </w:tc>
        <w:tc>
          <w:tcPr>
            <w:tcW w:w="0" w:type="auto"/>
            <w:tcBorders>
              <w:bottom w:val="single" w:sz="4" w:space="0" w:color="auto"/>
            </w:tcBorders>
          </w:tcPr>
          <w:p w:rsidR="00214FDA" w:rsidRPr="001702A4" w:rsidRDefault="00214FDA" w:rsidP="00904BA0">
            <w:pPr>
              <w:pStyle w:val="Tableheading"/>
              <w:rPr>
                <w:b w:val="0"/>
              </w:rPr>
            </w:pPr>
            <w:r>
              <w:rPr>
                <w:b w:val="0"/>
              </w:rPr>
              <w:t>Manual screening performed according to lab protocols. Same stain used for both manual and automated readings so Imager stain was used on all ThinPrep slides</w:t>
            </w:r>
          </w:p>
        </w:tc>
        <w:tc>
          <w:tcPr>
            <w:tcW w:w="0" w:type="auto"/>
            <w:vMerge/>
          </w:tcPr>
          <w:p w:rsidR="00214FDA" w:rsidRDefault="00214FDA" w:rsidP="00904BA0">
            <w:pPr>
              <w:pStyle w:val="Tableheading"/>
              <w:rPr>
                <w:b w:val="0"/>
              </w:rPr>
            </w:pPr>
          </w:p>
        </w:tc>
        <w:tc>
          <w:tcPr>
            <w:tcW w:w="0" w:type="auto"/>
            <w:tcBorders>
              <w:bottom w:val="single" w:sz="4" w:space="0" w:color="auto"/>
            </w:tcBorders>
          </w:tcPr>
          <w:p w:rsidR="00214FDA" w:rsidRDefault="00214FDA" w:rsidP="00904BA0">
            <w:pPr>
              <w:pStyle w:val="Tableheading"/>
              <w:rPr>
                <w:b w:val="0"/>
              </w:rPr>
            </w:pPr>
          </w:p>
        </w:tc>
        <w:tc>
          <w:tcPr>
            <w:tcW w:w="0" w:type="auto"/>
            <w:tcBorders>
              <w:bottom w:val="single" w:sz="4" w:space="0" w:color="auto"/>
            </w:tcBorders>
          </w:tcPr>
          <w:p w:rsidR="00214FDA" w:rsidRPr="001702A4" w:rsidRDefault="00214FDA" w:rsidP="00904BA0">
            <w:pPr>
              <w:pStyle w:val="Tableheading"/>
              <w:rPr>
                <w:b w:val="0"/>
              </w:rPr>
            </w:pPr>
            <w:r>
              <w:rPr>
                <w:b w:val="0"/>
              </w:rPr>
              <w:t>N/A</w:t>
            </w:r>
          </w:p>
        </w:tc>
      </w:tr>
      <w:tr w:rsidR="00214FDA" w:rsidRPr="001702A4" w:rsidTr="00416B1C">
        <w:tc>
          <w:tcPr>
            <w:tcW w:w="0" w:type="auto"/>
            <w:vMerge w:val="restart"/>
          </w:tcPr>
          <w:p w:rsidR="00214FDA" w:rsidRPr="001702A4" w:rsidRDefault="00214FDA" w:rsidP="00904BA0">
            <w:pPr>
              <w:pStyle w:val="Tableheading"/>
              <w:rPr>
                <w:b w:val="0"/>
              </w:rPr>
            </w:pPr>
            <w:r>
              <w:rPr>
                <w:b w:val="0"/>
              </w:rPr>
              <w:t>Paired arm</w:t>
            </w:r>
          </w:p>
        </w:tc>
        <w:tc>
          <w:tcPr>
            <w:tcW w:w="0" w:type="auto"/>
            <w:tcBorders>
              <w:bottom w:val="single" w:sz="4" w:space="0" w:color="auto"/>
            </w:tcBorders>
          </w:tcPr>
          <w:p w:rsidR="00214FDA" w:rsidRPr="001702A4" w:rsidRDefault="00214FDA" w:rsidP="00904BA0">
            <w:pPr>
              <w:pStyle w:val="Tabletext"/>
            </w:pPr>
            <w:r>
              <w:t>SurePath + HPV testing low grade abnormalities using HC2</w:t>
            </w:r>
          </w:p>
        </w:tc>
        <w:tc>
          <w:tcPr>
            <w:tcW w:w="0" w:type="auto"/>
            <w:gridSpan w:val="2"/>
            <w:tcBorders>
              <w:bottom w:val="single" w:sz="4" w:space="0" w:color="auto"/>
            </w:tcBorders>
          </w:tcPr>
          <w:p w:rsidR="00214FDA" w:rsidRPr="001702A4" w:rsidRDefault="00214FDA" w:rsidP="00904BA0">
            <w:pPr>
              <w:pStyle w:val="Tableheading"/>
              <w:rPr>
                <w:b w:val="0"/>
              </w:rPr>
            </w:pPr>
            <w:r>
              <w:rPr>
                <w:b w:val="0"/>
              </w:rPr>
              <w:t>NR</w:t>
            </w:r>
          </w:p>
        </w:tc>
        <w:tc>
          <w:tcPr>
            <w:tcW w:w="0" w:type="auto"/>
            <w:tcBorders>
              <w:bottom w:val="single" w:sz="4" w:space="0" w:color="auto"/>
            </w:tcBorders>
          </w:tcPr>
          <w:p w:rsidR="00214FDA" w:rsidRPr="001702A4" w:rsidRDefault="00214FDA" w:rsidP="00904BA0">
            <w:pPr>
              <w:pStyle w:val="Tabletext"/>
            </w:pPr>
            <w:r>
              <w:t>NR</w:t>
            </w:r>
          </w:p>
        </w:tc>
        <w:tc>
          <w:tcPr>
            <w:tcW w:w="0" w:type="auto"/>
            <w:tcBorders>
              <w:bottom w:val="single" w:sz="4" w:space="0" w:color="auto"/>
            </w:tcBorders>
          </w:tcPr>
          <w:p w:rsidR="00214FDA" w:rsidRPr="001702A4" w:rsidRDefault="00214FDA" w:rsidP="00904BA0">
            <w:pPr>
              <w:pStyle w:val="Tableheading"/>
              <w:rPr>
                <w:b w:val="0"/>
              </w:rPr>
            </w:pPr>
            <w:r w:rsidRPr="00BA07B7">
              <w:rPr>
                <w:b w:val="0"/>
              </w:rPr>
              <w:t>In the paired arm the automated reading was undertaken first</w:t>
            </w:r>
            <w:r>
              <w:rPr>
                <w:b w:val="0"/>
              </w:rPr>
              <w:t xml:space="preserve"> using the FocalPoint GS Imaging system</w:t>
            </w:r>
            <w:r w:rsidRPr="00BA07B7">
              <w:rPr>
                <w:b w:val="0"/>
              </w:rPr>
              <w:t>, followed by the manual</w:t>
            </w:r>
            <w:r>
              <w:rPr>
                <w:b w:val="0"/>
              </w:rPr>
              <w:t xml:space="preserve"> r</w:t>
            </w:r>
            <w:r w:rsidRPr="00BA07B7">
              <w:rPr>
                <w:b w:val="0"/>
              </w:rPr>
              <w:t>ead</w:t>
            </w:r>
          </w:p>
        </w:tc>
        <w:tc>
          <w:tcPr>
            <w:tcW w:w="0" w:type="auto"/>
            <w:vMerge/>
            <w:tcBorders>
              <w:bottom w:val="single" w:sz="4" w:space="0" w:color="auto"/>
            </w:tcBorders>
          </w:tcPr>
          <w:p w:rsidR="00214FDA" w:rsidRPr="00386049" w:rsidRDefault="00214FDA" w:rsidP="00904BA0">
            <w:pPr>
              <w:pStyle w:val="Tableheading"/>
              <w:rPr>
                <w:b w:val="0"/>
              </w:rPr>
            </w:pPr>
          </w:p>
        </w:tc>
        <w:tc>
          <w:tcPr>
            <w:tcW w:w="0" w:type="auto"/>
            <w:tcBorders>
              <w:bottom w:val="single" w:sz="4" w:space="0" w:color="auto"/>
            </w:tcBorders>
          </w:tcPr>
          <w:p w:rsidR="00214FDA" w:rsidRDefault="00214FDA" w:rsidP="00904BA0">
            <w:pPr>
              <w:pStyle w:val="Tableheading"/>
              <w:rPr>
                <w:b w:val="0"/>
              </w:rPr>
            </w:pPr>
            <w:proofErr w:type="gramStart"/>
            <w:r w:rsidRPr="00386049">
              <w:rPr>
                <w:b w:val="0"/>
              </w:rPr>
              <w:t>Staff with varying levels of LBC experience were</w:t>
            </w:r>
            <w:proofErr w:type="gramEnd"/>
            <w:r w:rsidRPr="00386049">
              <w:rPr>
                <w:b w:val="0"/>
              </w:rPr>
              <w:t xml:space="preserve"> selected to receive automated screening training.</w:t>
            </w:r>
            <w:r>
              <w:rPr>
                <w:b w:val="0"/>
              </w:rPr>
              <w:t xml:space="preserve"> </w:t>
            </w:r>
            <w:r w:rsidRPr="00386049">
              <w:rPr>
                <w:b w:val="0"/>
              </w:rPr>
              <w:t>Both c</w:t>
            </w:r>
            <w:r>
              <w:rPr>
                <w:b w:val="0"/>
              </w:rPr>
              <w:t>ompanies performed the training</w:t>
            </w:r>
            <w:r w:rsidRPr="00386049">
              <w:rPr>
                <w:b w:val="0"/>
              </w:rPr>
              <w:t>. Eight medi</w:t>
            </w:r>
            <w:r>
              <w:rPr>
                <w:b w:val="0"/>
              </w:rPr>
              <w:t>cal laboratory assistants</w:t>
            </w:r>
            <w:r w:rsidRPr="00386049">
              <w:rPr>
                <w:b w:val="0"/>
              </w:rPr>
              <w:t xml:space="preserve"> were trained in the handling and maintenance of</w:t>
            </w:r>
            <w:r>
              <w:rPr>
                <w:b w:val="0"/>
              </w:rPr>
              <w:t xml:space="preserve"> </w:t>
            </w:r>
            <w:r w:rsidRPr="00386049">
              <w:rPr>
                <w:b w:val="0"/>
              </w:rPr>
              <w:t xml:space="preserve">the imaging </w:t>
            </w:r>
            <w:r w:rsidRPr="00386049">
              <w:rPr>
                <w:b w:val="0"/>
              </w:rPr>
              <w:lastRenderedPageBreak/>
              <w:t xml:space="preserve">systems. Eight cytoscreeners and one </w:t>
            </w:r>
            <w:r>
              <w:rPr>
                <w:b w:val="0"/>
              </w:rPr>
              <w:t>chief biomedical scientist</w:t>
            </w:r>
            <w:r w:rsidRPr="00386049">
              <w:rPr>
                <w:b w:val="0"/>
              </w:rPr>
              <w:t xml:space="preserve"> were trained in the use of the automated microscopes and cell morphology recognition. The laboratory trial</w:t>
            </w:r>
            <w:r>
              <w:rPr>
                <w:b w:val="0"/>
              </w:rPr>
              <w:t xml:space="preserve"> </w:t>
            </w:r>
            <w:r w:rsidRPr="00386049">
              <w:rPr>
                <w:b w:val="0"/>
              </w:rPr>
              <w:t xml:space="preserve">co-ordinator and two </w:t>
            </w:r>
            <w:r>
              <w:rPr>
                <w:b w:val="0"/>
              </w:rPr>
              <w:t>cytopath</w:t>
            </w:r>
            <w:r w:rsidRPr="00386049">
              <w:rPr>
                <w:b w:val="0"/>
              </w:rPr>
              <w:t>ologists were trained in the handling and maintenance of the</w:t>
            </w:r>
            <w:r>
              <w:rPr>
                <w:b w:val="0"/>
              </w:rPr>
              <w:t xml:space="preserve"> </w:t>
            </w:r>
            <w:r w:rsidRPr="00386049">
              <w:rPr>
                <w:b w:val="0"/>
              </w:rPr>
              <w:t>imaging systems, the use of the automated microscopes and cell morphology recognition for both</w:t>
            </w:r>
            <w:r>
              <w:rPr>
                <w:b w:val="0"/>
              </w:rPr>
              <w:t xml:space="preserve"> </w:t>
            </w:r>
            <w:r w:rsidRPr="00386049">
              <w:rPr>
                <w:b w:val="0"/>
              </w:rPr>
              <w:t>systems</w:t>
            </w:r>
            <w:r>
              <w:rPr>
                <w:b w:val="0"/>
              </w:rPr>
              <w:t xml:space="preserve">. </w:t>
            </w:r>
            <w:r w:rsidRPr="00E00C23">
              <w:rPr>
                <w:b w:val="0"/>
              </w:rPr>
              <w:t>There is no mention of feedback to</w:t>
            </w:r>
            <w:r>
              <w:rPr>
                <w:b w:val="0"/>
              </w:rPr>
              <w:t xml:space="preserve"> </w:t>
            </w:r>
            <w:r w:rsidRPr="00E00C23">
              <w:rPr>
                <w:b w:val="0"/>
              </w:rPr>
              <w:t>screeners after initial training</w:t>
            </w:r>
          </w:p>
          <w:p w:rsidR="00214FDA" w:rsidRDefault="00214FDA" w:rsidP="00904BA0">
            <w:pPr>
              <w:pStyle w:val="Tableheading"/>
              <w:rPr>
                <w:b w:val="0"/>
              </w:rPr>
            </w:pPr>
          </w:p>
        </w:tc>
        <w:tc>
          <w:tcPr>
            <w:tcW w:w="0" w:type="auto"/>
            <w:tcBorders>
              <w:bottom w:val="single" w:sz="4" w:space="0" w:color="auto"/>
            </w:tcBorders>
          </w:tcPr>
          <w:p w:rsidR="00214FDA" w:rsidRPr="001702A4" w:rsidRDefault="00214FDA" w:rsidP="00904BA0">
            <w:pPr>
              <w:pStyle w:val="Tableheading"/>
              <w:rPr>
                <w:b w:val="0"/>
              </w:rPr>
            </w:pPr>
            <w:r>
              <w:rPr>
                <w:b w:val="0"/>
              </w:rPr>
              <w:lastRenderedPageBreak/>
              <w:t>FocalPoint GS Imaging System</w:t>
            </w:r>
          </w:p>
        </w:tc>
      </w:tr>
      <w:tr w:rsidR="00416B1C" w:rsidRPr="001702A4" w:rsidTr="00416B1C">
        <w:tc>
          <w:tcPr>
            <w:tcW w:w="0" w:type="auto"/>
            <w:vMerge/>
            <w:tcBorders>
              <w:bottom w:val="single" w:sz="4" w:space="0" w:color="auto"/>
            </w:tcBorders>
          </w:tcPr>
          <w:p w:rsidR="00416B1C" w:rsidRPr="001702A4" w:rsidRDefault="00416B1C" w:rsidP="00904BA0">
            <w:pPr>
              <w:pStyle w:val="Tableheading"/>
              <w:rPr>
                <w:b w:val="0"/>
              </w:rPr>
            </w:pPr>
          </w:p>
        </w:tc>
        <w:tc>
          <w:tcPr>
            <w:tcW w:w="0" w:type="auto"/>
            <w:tcBorders>
              <w:bottom w:val="single" w:sz="4" w:space="0" w:color="auto"/>
            </w:tcBorders>
          </w:tcPr>
          <w:p w:rsidR="00416B1C" w:rsidRPr="001702A4" w:rsidRDefault="00416B1C" w:rsidP="00904BA0">
            <w:pPr>
              <w:pStyle w:val="Tabletext"/>
            </w:pPr>
            <w:r>
              <w:t>ThinPrep + HPV testing low grade abnormalities using HC2</w:t>
            </w:r>
          </w:p>
        </w:tc>
        <w:tc>
          <w:tcPr>
            <w:tcW w:w="0" w:type="auto"/>
            <w:gridSpan w:val="2"/>
            <w:tcBorders>
              <w:bottom w:val="single" w:sz="4" w:space="0" w:color="auto"/>
            </w:tcBorders>
          </w:tcPr>
          <w:p w:rsidR="00416B1C" w:rsidRPr="001702A4" w:rsidRDefault="00416B1C" w:rsidP="00904BA0">
            <w:pPr>
              <w:pStyle w:val="Tableheading"/>
              <w:rPr>
                <w:b w:val="0"/>
              </w:rPr>
            </w:pPr>
            <w:r>
              <w:rPr>
                <w:b w:val="0"/>
              </w:rPr>
              <w:t>NR</w:t>
            </w:r>
          </w:p>
        </w:tc>
        <w:tc>
          <w:tcPr>
            <w:tcW w:w="0" w:type="auto"/>
            <w:tcBorders>
              <w:bottom w:val="single" w:sz="4" w:space="0" w:color="auto"/>
            </w:tcBorders>
          </w:tcPr>
          <w:p w:rsidR="00416B1C" w:rsidRPr="001702A4" w:rsidRDefault="00416B1C" w:rsidP="00904BA0">
            <w:pPr>
              <w:pStyle w:val="Tabletext"/>
            </w:pPr>
            <w:r>
              <w:t>NR</w:t>
            </w:r>
          </w:p>
        </w:tc>
        <w:tc>
          <w:tcPr>
            <w:tcW w:w="0" w:type="auto"/>
            <w:tcBorders>
              <w:bottom w:val="single" w:sz="4" w:space="0" w:color="auto"/>
            </w:tcBorders>
          </w:tcPr>
          <w:p w:rsidR="00416B1C" w:rsidRDefault="00416B1C" w:rsidP="00904BA0">
            <w:pPr>
              <w:pStyle w:val="Tableheading"/>
              <w:rPr>
                <w:b w:val="0"/>
              </w:rPr>
            </w:pPr>
            <w:r w:rsidRPr="00BA07B7">
              <w:rPr>
                <w:b w:val="0"/>
              </w:rPr>
              <w:t>In the paired arm the automated reading was undertaken first</w:t>
            </w:r>
            <w:r>
              <w:rPr>
                <w:b w:val="0"/>
              </w:rPr>
              <w:t xml:space="preserve"> using the ThinPrep Imaging system</w:t>
            </w:r>
            <w:r w:rsidRPr="00BA07B7">
              <w:rPr>
                <w:b w:val="0"/>
              </w:rPr>
              <w:t>, followed by the manual</w:t>
            </w:r>
            <w:r>
              <w:rPr>
                <w:b w:val="0"/>
              </w:rPr>
              <w:t xml:space="preserve"> r</w:t>
            </w:r>
            <w:r w:rsidRPr="00BA07B7">
              <w:rPr>
                <w:b w:val="0"/>
              </w:rPr>
              <w:t>ead</w:t>
            </w:r>
            <w:r>
              <w:rPr>
                <w:b w:val="0"/>
              </w:rPr>
              <w:t>. The same stain was used for both manual and automated readings so an Imager stain was used on all ThinPrep slides</w:t>
            </w:r>
          </w:p>
          <w:p w:rsidR="00416B1C" w:rsidRPr="001702A4" w:rsidRDefault="00416B1C" w:rsidP="00904BA0">
            <w:pPr>
              <w:pStyle w:val="Tableheading"/>
              <w:rPr>
                <w:b w:val="0"/>
              </w:rPr>
            </w:pPr>
          </w:p>
        </w:tc>
        <w:tc>
          <w:tcPr>
            <w:tcW w:w="0" w:type="auto"/>
            <w:tcBorders>
              <w:bottom w:val="single" w:sz="4" w:space="0" w:color="auto"/>
            </w:tcBorders>
          </w:tcPr>
          <w:p w:rsidR="00416B1C" w:rsidRDefault="00416B1C" w:rsidP="00904BA0">
            <w:pPr>
              <w:pStyle w:val="Tableheading"/>
              <w:rPr>
                <w:b w:val="0"/>
              </w:rPr>
            </w:pPr>
          </w:p>
        </w:tc>
        <w:tc>
          <w:tcPr>
            <w:tcW w:w="0" w:type="auto"/>
            <w:tcBorders>
              <w:bottom w:val="single" w:sz="4" w:space="0" w:color="auto"/>
            </w:tcBorders>
          </w:tcPr>
          <w:p w:rsidR="00416B1C" w:rsidRDefault="00416B1C" w:rsidP="00904BA0">
            <w:pPr>
              <w:pStyle w:val="Tableheading"/>
              <w:rPr>
                <w:b w:val="0"/>
              </w:rPr>
            </w:pPr>
          </w:p>
        </w:tc>
        <w:tc>
          <w:tcPr>
            <w:tcW w:w="0" w:type="auto"/>
            <w:tcBorders>
              <w:bottom w:val="single" w:sz="4" w:space="0" w:color="auto"/>
            </w:tcBorders>
          </w:tcPr>
          <w:p w:rsidR="00416B1C" w:rsidRPr="001702A4" w:rsidRDefault="00416B1C" w:rsidP="00904BA0">
            <w:pPr>
              <w:pStyle w:val="Tableheading"/>
              <w:rPr>
                <w:b w:val="0"/>
              </w:rPr>
            </w:pPr>
            <w:r>
              <w:rPr>
                <w:b w:val="0"/>
              </w:rPr>
              <w:t>ThinPrep Imaging System</w:t>
            </w:r>
          </w:p>
        </w:tc>
      </w:tr>
      <w:tr w:rsidR="008F1CDB" w:rsidRPr="001702A4" w:rsidTr="008F1CDB">
        <w:tc>
          <w:tcPr>
            <w:tcW w:w="0" w:type="auto"/>
            <w:gridSpan w:val="9"/>
            <w:tcBorders>
              <w:bottom w:val="single" w:sz="4" w:space="0" w:color="auto"/>
            </w:tcBorders>
          </w:tcPr>
          <w:p w:rsidR="008F1CDB" w:rsidRPr="001702A4" w:rsidRDefault="008F1CDB" w:rsidP="00A37C04">
            <w:pPr>
              <w:pStyle w:val="Tabletext"/>
            </w:pPr>
            <w:r>
              <w:t xml:space="preserve">Source: Kitchener </w:t>
            </w:r>
            <w:r w:rsidRPr="003C5654">
              <w:t>2011</w:t>
            </w:r>
          </w:p>
        </w:tc>
      </w:tr>
      <w:tr w:rsidR="008F1CDB" w:rsidRPr="001702A4" w:rsidTr="008F1CDB">
        <w:tc>
          <w:tcPr>
            <w:tcW w:w="0" w:type="auto"/>
            <w:gridSpan w:val="9"/>
            <w:tcBorders>
              <w:bottom w:val="single" w:sz="4" w:space="0" w:color="auto"/>
            </w:tcBorders>
          </w:tcPr>
          <w:p w:rsidR="008F1CDB" w:rsidRPr="001F034D" w:rsidRDefault="008F1CDB" w:rsidP="00904BA0">
            <w:pPr>
              <w:pStyle w:val="Tableheading"/>
            </w:pPr>
            <w:r w:rsidRPr="001F034D">
              <w:t>Palmer 2012</w:t>
            </w:r>
          </w:p>
        </w:tc>
      </w:tr>
      <w:tr w:rsidR="00214FDA" w:rsidRPr="001702A4" w:rsidTr="00214FDA">
        <w:tc>
          <w:tcPr>
            <w:tcW w:w="0" w:type="auto"/>
            <w:tcBorders>
              <w:bottom w:val="single" w:sz="4" w:space="0" w:color="auto"/>
            </w:tcBorders>
          </w:tcPr>
          <w:p w:rsidR="00214FDA" w:rsidRPr="00274021" w:rsidRDefault="00214FDA" w:rsidP="00904BA0">
            <w:pPr>
              <w:pStyle w:val="Tableheading"/>
              <w:rPr>
                <w:b w:val="0"/>
              </w:rPr>
            </w:pPr>
            <w:r>
              <w:rPr>
                <w:b w:val="0"/>
              </w:rPr>
              <w:t>Manual</w:t>
            </w:r>
          </w:p>
        </w:tc>
        <w:tc>
          <w:tcPr>
            <w:tcW w:w="0" w:type="auto"/>
            <w:tcBorders>
              <w:bottom w:val="single" w:sz="4" w:space="0" w:color="auto"/>
            </w:tcBorders>
          </w:tcPr>
          <w:p w:rsidR="00214FDA" w:rsidRPr="00274021" w:rsidRDefault="00214FDA" w:rsidP="00904BA0">
            <w:pPr>
              <w:pStyle w:val="Tableheading"/>
              <w:rPr>
                <w:b w:val="0"/>
              </w:rPr>
            </w:pPr>
            <w:r>
              <w:rPr>
                <w:b w:val="0"/>
              </w:rPr>
              <w:t>ThinPrep</w:t>
            </w:r>
          </w:p>
        </w:tc>
        <w:tc>
          <w:tcPr>
            <w:tcW w:w="0" w:type="auto"/>
            <w:gridSpan w:val="2"/>
            <w:tcBorders>
              <w:bottom w:val="single" w:sz="4" w:space="0" w:color="auto"/>
            </w:tcBorders>
          </w:tcPr>
          <w:p w:rsidR="00214FDA" w:rsidRPr="001702A4" w:rsidRDefault="00214FDA" w:rsidP="00904BA0">
            <w:pPr>
              <w:pStyle w:val="Tableheading"/>
              <w:rPr>
                <w:b w:val="0"/>
              </w:rPr>
            </w:pPr>
            <w:r>
              <w:rPr>
                <w:b w:val="0"/>
              </w:rPr>
              <w:t>NR</w:t>
            </w:r>
          </w:p>
        </w:tc>
        <w:tc>
          <w:tcPr>
            <w:tcW w:w="0" w:type="auto"/>
            <w:tcBorders>
              <w:bottom w:val="single" w:sz="4" w:space="0" w:color="auto"/>
            </w:tcBorders>
          </w:tcPr>
          <w:p w:rsidR="00214FDA" w:rsidRPr="001702A4" w:rsidRDefault="00214FDA" w:rsidP="00904BA0">
            <w:pPr>
              <w:pStyle w:val="Tabletext"/>
            </w:pPr>
            <w:r>
              <w:t>NR</w:t>
            </w:r>
          </w:p>
        </w:tc>
        <w:tc>
          <w:tcPr>
            <w:tcW w:w="0" w:type="auto"/>
            <w:tcBorders>
              <w:bottom w:val="single" w:sz="4" w:space="0" w:color="auto"/>
            </w:tcBorders>
          </w:tcPr>
          <w:p w:rsidR="00214FDA" w:rsidRPr="00274021" w:rsidRDefault="00214FDA" w:rsidP="00904BA0">
            <w:pPr>
              <w:pStyle w:val="Tableheading"/>
              <w:rPr>
                <w:b w:val="0"/>
              </w:rPr>
            </w:pPr>
            <w:r>
              <w:rPr>
                <w:b w:val="0"/>
              </w:rPr>
              <w:t xml:space="preserve">All slides were stained </w:t>
            </w:r>
            <w:r>
              <w:rPr>
                <w:b w:val="0"/>
              </w:rPr>
              <w:lastRenderedPageBreak/>
              <w:t>using the proprietary Hologic stain</w:t>
            </w:r>
          </w:p>
        </w:tc>
        <w:tc>
          <w:tcPr>
            <w:tcW w:w="0" w:type="auto"/>
            <w:vMerge w:val="restart"/>
          </w:tcPr>
          <w:p w:rsidR="00214FDA" w:rsidRDefault="00214FDA" w:rsidP="00214FDA">
            <w:pPr>
              <w:pStyle w:val="Tableheading"/>
              <w:rPr>
                <w:b w:val="0"/>
              </w:rPr>
            </w:pPr>
            <w:r w:rsidRPr="00214FDA">
              <w:rPr>
                <w:b w:val="0"/>
              </w:rPr>
              <w:lastRenderedPageBreak/>
              <w:t xml:space="preserve">Quality control by rapid </w:t>
            </w:r>
            <w:r w:rsidRPr="00214FDA">
              <w:rPr>
                <w:b w:val="0"/>
              </w:rPr>
              <w:lastRenderedPageBreak/>
              <w:t xml:space="preserve">review⁄ preview was </w:t>
            </w:r>
            <w:r>
              <w:rPr>
                <w:b w:val="0"/>
              </w:rPr>
              <w:t xml:space="preserve">continued throughout the </w:t>
            </w:r>
            <w:r w:rsidR="00140CA4">
              <w:rPr>
                <w:b w:val="0"/>
              </w:rPr>
              <w:t>study. T</w:t>
            </w:r>
            <w:r w:rsidR="00140CA4" w:rsidRPr="00214FDA">
              <w:rPr>
                <w:b w:val="0"/>
              </w:rPr>
              <w:t>echnical</w:t>
            </w:r>
            <w:r>
              <w:rPr>
                <w:b w:val="0"/>
              </w:rPr>
              <w:t xml:space="preserve"> </w:t>
            </w:r>
            <w:r w:rsidRPr="00214FDA">
              <w:rPr>
                <w:b w:val="0"/>
              </w:rPr>
              <w:t>and interpretive external quality assurance (EQA)</w:t>
            </w:r>
            <w:r>
              <w:rPr>
                <w:b w:val="0"/>
              </w:rPr>
              <w:t xml:space="preserve"> </w:t>
            </w:r>
            <w:r w:rsidRPr="00214FDA">
              <w:rPr>
                <w:b w:val="0"/>
              </w:rPr>
              <w:t>methods were modified to reflect the standardized</w:t>
            </w:r>
            <w:r>
              <w:rPr>
                <w:b w:val="0"/>
              </w:rPr>
              <w:t xml:space="preserve"> </w:t>
            </w:r>
            <w:r w:rsidRPr="00214FDA">
              <w:rPr>
                <w:b w:val="0"/>
              </w:rPr>
              <w:t>stain required by the TIS. The participating laboratories</w:t>
            </w:r>
            <w:r>
              <w:rPr>
                <w:b w:val="0"/>
              </w:rPr>
              <w:t xml:space="preserve"> </w:t>
            </w:r>
            <w:r w:rsidRPr="00214FDA">
              <w:rPr>
                <w:b w:val="0"/>
              </w:rPr>
              <w:t>also joined the Hologic technical EQA scheme.</w:t>
            </w:r>
          </w:p>
        </w:tc>
        <w:tc>
          <w:tcPr>
            <w:tcW w:w="0" w:type="auto"/>
            <w:tcBorders>
              <w:bottom w:val="single" w:sz="4" w:space="0" w:color="auto"/>
            </w:tcBorders>
          </w:tcPr>
          <w:p w:rsidR="00214FDA" w:rsidRDefault="00214FDA" w:rsidP="00904BA0">
            <w:pPr>
              <w:pStyle w:val="Tableheading"/>
              <w:rPr>
                <w:b w:val="0"/>
              </w:rPr>
            </w:pPr>
          </w:p>
        </w:tc>
        <w:tc>
          <w:tcPr>
            <w:tcW w:w="0" w:type="auto"/>
            <w:tcBorders>
              <w:bottom w:val="single" w:sz="4" w:space="0" w:color="auto"/>
            </w:tcBorders>
          </w:tcPr>
          <w:p w:rsidR="00214FDA" w:rsidRPr="00274021" w:rsidRDefault="00214FDA" w:rsidP="00904BA0">
            <w:pPr>
              <w:pStyle w:val="Tableheading"/>
              <w:rPr>
                <w:b w:val="0"/>
              </w:rPr>
            </w:pPr>
            <w:r>
              <w:rPr>
                <w:b w:val="0"/>
              </w:rPr>
              <w:t>N/A</w:t>
            </w:r>
          </w:p>
        </w:tc>
      </w:tr>
      <w:tr w:rsidR="00214FDA" w:rsidRPr="001702A4" w:rsidTr="00416B1C">
        <w:tc>
          <w:tcPr>
            <w:tcW w:w="0" w:type="auto"/>
            <w:tcBorders>
              <w:bottom w:val="single" w:sz="4" w:space="0" w:color="auto"/>
            </w:tcBorders>
          </w:tcPr>
          <w:p w:rsidR="00214FDA" w:rsidRPr="00274021" w:rsidRDefault="00214FDA" w:rsidP="00904BA0">
            <w:pPr>
              <w:pStyle w:val="Tableheading"/>
              <w:rPr>
                <w:b w:val="0"/>
              </w:rPr>
            </w:pPr>
            <w:r>
              <w:rPr>
                <w:b w:val="0"/>
              </w:rPr>
              <w:lastRenderedPageBreak/>
              <w:t>Automated</w:t>
            </w:r>
          </w:p>
        </w:tc>
        <w:tc>
          <w:tcPr>
            <w:tcW w:w="0" w:type="auto"/>
            <w:tcBorders>
              <w:bottom w:val="single" w:sz="4" w:space="0" w:color="auto"/>
            </w:tcBorders>
          </w:tcPr>
          <w:p w:rsidR="00214FDA" w:rsidRPr="00274021" w:rsidRDefault="00214FDA" w:rsidP="00904BA0">
            <w:pPr>
              <w:pStyle w:val="Tableheading"/>
              <w:rPr>
                <w:b w:val="0"/>
              </w:rPr>
            </w:pPr>
            <w:r>
              <w:rPr>
                <w:b w:val="0"/>
              </w:rPr>
              <w:t>ThinPrep</w:t>
            </w:r>
          </w:p>
        </w:tc>
        <w:tc>
          <w:tcPr>
            <w:tcW w:w="0" w:type="auto"/>
            <w:gridSpan w:val="2"/>
            <w:tcBorders>
              <w:bottom w:val="single" w:sz="4" w:space="0" w:color="auto"/>
            </w:tcBorders>
          </w:tcPr>
          <w:p w:rsidR="00214FDA" w:rsidRPr="001702A4" w:rsidRDefault="00214FDA" w:rsidP="00904BA0">
            <w:pPr>
              <w:pStyle w:val="Tableheading"/>
              <w:rPr>
                <w:b w:val="0"/>
              </w:rPr>
            </w:pPr>
            <w:r>
              <w:rPr>
                <w:b w:val="0"/>
              </w:rPr>
              <w:t>NR</w:t>
            </w:r>
          </w:p>
        </w:tc>
        <w:tc>
          <w:tcPr>
            <w:tcW w:w="0" w:type="auto"/>
            <w:tcBorders>
              <w:bottom w:val="single" w:sz="4" w:space="0" w:color="auto"/>
            </w:tcBorders>
          </w:tcPr>
          <w:p w:rsidR="00214FDA" w:rsidRPr="001702A4" w:rsidRDefault="00214FDA" w:rsidP="00904BA0">
            <w:pPr>
              <w:pStyle w:val="Tabletext"/>
            </w:pPr>
            <w:r>
              <w:t>NR</w:t>
            </w:r>
          </w:p>
        </w:tc>
        <w:tc>
          <w:tcPr>
            <w:tcW w:w="0" w:type="auto"/>
            <w:tcBorders>
              <w:bottom w:val="single" w:sz="4" w:space="0" w:color="auto"/>
            </w:tcBorders>
          </w:tcPr>
          <w:p w:rsidR="00214FDA" w:rsidRPr="00274021" w:rsidRDefault="00214FDA" w:rsidP="00904BA0">
            <w:pPr>
              <w:pStyle w:val="Tableheading"/>
              <w:rPr>
                <w:b w:val="0"/>
              </w:rPr>
            </w:pPr>
            <w:r>
              <w:rPr>
                <w:b w:val="0"/>
              </w:rPr>
              <w:t>All slides were stained using the proprietary Hologic stain</w:t>
            </w:r>
          </w:p>
        </w:tc>
        <w:tc>
          <w:tcPr>
            <w:tcW w:w="0" w:type="auto"/>
            <w:vMerge/>
            <w:tcBorders>
              <w:bottom w:val="single" w:sz="4" w:space="0" w:color="auto"/>
            </w:tcBorders>
          </w:tcPr>
          <w:p w:rsidR="00214FDA" w:rsidRPr="00E00C23" w:rsidRDefault="00214FDA" w:rsidP="00E00C23">
            <w:pPr>
              <w:pStyle w:val="Tableheading"/>
              <w:rPr>
                <w:b w:val="0"/>
              </w:rPr>
            </w:pPr>
          </w:p>
        </w:tc>
        <w:tc>
          <w:tcPr>
            <w:tcW w:w="0" w:type="auto"/>
            <w:tcBorders>
              <w:bottom w:val="single" w:sz="4" w:space="0" w:color="auto"/>
            </w:tcBorders>
          </w:tcPr>
          <w:p w:rsidR="00214FDA" w:rsidRDefault="00214FDA" w:rsidP="00E00C23">
            <w:pPr>
              <w:pStyle w:val="Tableheading"/>
              <w:rPr>
                <w:b w:val="0"/>
              </w:rPr>
            </w:pPr>
            <w:r w:rsidRPr="00E00C23">
              <w:rPr>
                <w:b w:val="0"/>
              </w:rPr>
              <w:t>Training in the use of the</w:t>
            </w:r>
            <w:r>
              <w:rPr>
                <w:b w:val="0"/>
              </w:rPr>
              <w:t xml:space="preserve"> ThinPrep Imaging System </w:t>
            </w:r>
            <w:r w:rsidRPr="00E00C23">
              <w:rPr>
                <w:b w:val="0"/>
              </w:rPr>
              <w:t>was delivered by</w:t>
            </w:r>
            <w:r>
              <w:rPr>
                <w:b w:val="0"/>
              </w:rPr>
              <w:t xml:space="preserve"> </w:t>
            </w:r>
            <w:r w:rsidRPr="00E00C23">
              <w:rPr>
                <w:b w:val="0"/>
              </w:rPr>
              <w:t>Hologic personnel according to their standard protocols</w:t>
            </w:r>
            <w:r>
              <w:rPr>
                <w:b w:val="0"/>
              </w:rPr>
              <w:t>.</w:t>
            </w:r>
          </w:p>
          <w:p w:rsidR="00214FDA" w:rsidRDefault="00214FDA" w:rsidP="00E00C23">
            <w:pPr>
              <w:pStyle w:val="Tableheading"/>
              <w:rPr>
                <w:b w:val="0"/>
              </w:rPr>
            </w:pPr>
            <w:r>
              <w:rPr>
                <w:b w:val="0"/>
              </w:rPr>
              <w:t>R</w:t>
            </w:r>
            <w:r w:rsidRPr="00E00C23">
              <w:rPr>
                <w:b w:val="0"/>
              </w:rPr>
              <w:t>eview and reinforcement of training was carried out</w:t>
            </w:r>
            <w:r>
              <w:rPr>
                <w:b w:val="0"/>
              </w:rPr>
              <w:t xml:space="preserve"> </w:t>
            </w:r>
            <w:r w:rsidRPr="00E00C23">
              <w:rPr>
                <w:b w:val="0"/>
              </w:rPr>
              <w:t xml:space="preserve"> when screening errors were</w:t>
            </w:r>
            <w:r>
              <w:rPr>
                <w:b w:val="0"/>
              </w:rPr>
              <w:t xml:space="preserve"> identified by quality control</w:t>
            </w:r>
          </w:p>
        </w:tc>
        <w:tc>
          <w:tcPr>
            <w:tcW w:w="0" w:type="auto"/>
            <w:tcBorders>
              <w:bottom w:val="single" w:sz="4" w:space="0" w:color="auto"/>
            </w:tcBorders>
          </w:tcPr>
          <w:p w:rsidR="00214FDA" w:rsidRPr="00274021" w:rsidRDefault="00214FDA" w:rsidP="00904BA0">
            <w:pPr>
              <w:pStyle w:val="Tableheading"/>
              <w:rPr>
                <w:b w:val="0"/>
              </w:rPr>
            </w:pPr>
            <w:r>
              <w:rPr>
                <w:b w:val="0"/>
              </w:rPr>
              <w:t>The Hologic ThinPrep Remote Imaging System–MultiCyte™</w:t>
            </w:r>
          </w:p>
        </w:tc>
      </w:tr>
      <w:tr w:rsidR="00214FDA" w:rsidRPr="001702A4" w:rsidTr="00214FDA">
        <w:tc>
          <w:tcPr>
            <w:tcW w:w="0" w:type="auto"/>
            <w:gridSpan w:val="9"/>
          </w:tcPr>
          <w:p w:rsidR="00214FDA" w:rsidRPr="001F034D" w:rsidRDefault="00214FDA" w:rsidP="00A37C04">
            <w:pPr>
              <w:pStyle w:val="Tabletext"/>
            </w:pPr>
            <w:r>
              <w:t xml:space="preserve">Source: Palmer </w:t>
            </w:r>
            <w:r w:rsidRPr="001F034D">
              <w:t>2012</w:t>
            </w:r>
            <w:r>
              <w:t xml:space="preserve"> </w:t>
            </w:r>
          </w:p>
        </w:tc>
      </w:tr>
    </w:tbl>
    <w:p w:rsidR="009C4D0C" w:rsidRPr="00274021" w:rsidRDefault="009C4D0C" w:rsidP="00041974">
      <w:pPr>
        <w:pStyle w:val="Tabletext"/>
      </w:pPr>
      <w:r w:rsidRPr="00214FDA">
        <w:t xml:space="preserve">Abbreviations: </w:t>
      </w:r>
      <w:r w:rsidR="006F7E4E" w:rsidRPr="00214FDA">
        <w:t xml:space="preserve">CV, </w:t>
      </w:r>
      <w:r w:rsidR="00214FDA" w:rsidRPr="00214FDA">
        <w:t>conventional</w:t>
      </w:r>
      <w:r w:rsidR="006F7E4E" w:rsidRPr="00214FDA">
        <w:t>; GP</w:t>
      </w:r>
      <w:r w:rsidR="006F7E4E">
        <w:t xml:space="preserve">, general practitioner; </w:t>
      </w:r>
      <w:r w:rsidR="000B10C9">
        <w:t xml:space="preserve">GS, guided screening; </w:t>
      </w:r>
      <w:r w:rsidR="006F7E4E">
        <w:t xml:space="preserve">HPV, human papillomavirus; LBC, liquid-based cytology; </w:t>
      </w:r>
      <w:r>
        <w:t>NR, not reported, N/A, not applicable</w:t>
      </w:r>
      <w:r w:rsidR="006F7E4E">
        <w:t>; TP, ThinPrep</w:t>
      </w:r>
    </w:p>
    <w:p w:rsidR="004347D3" w:rsidRPr="00274021" w:rsidRDefault="004347D3" w:rsidP="004347D3">
      <w:pPr>
        <w:pStyle w:val="Tablenotes"/>
        <w:keepNext/>
        <w:keepLines/>
      </w:pPr>
    </w:p>
    <w:p w:rsidR="004347D3" w:rsidRPr="00274021" w:rsidRDefault="004347D3" w:rsidP="004347D3">
      <w:pPr>
        <w:sectPr w:rsidR="004347D3" w:rsidRPr="00274021" w:rsidSect="008846BA">
          <w:pgSz w:w="16839" w:h="11907" w:orient="landscape" w:code="9"/>
          <w:pgMar w:top="1814" w:right="1418" w:bottom="1418" w:left="1701" w:header="720" w:footer="720" w:gutter="0"/>
          <w:paperSrc w:first="4035" w:other="4035"/>
          <w:cols w:space="720"/>
          <w:noEndnote/>
          <w:docGrid w:linePitch="299"/>
        </w:sectPr>
      </w:pPr>
    </w:p>
    <w:p w:rsidR="004347D3" w:rsidRPr="00274021" w:rsidRDefault="004347D3" w:rsidP="00136D50">
      <w:pPr>
        <w:pStyle w:val="Heading20"/>
      </w:pPr>
      <w:bookmarkStart w:id="197" w:name="_Toc191822159"/>
      <w:bookmarkStart w:id="198" w:name="_Toc191822209"/>
      <w:bookmarkStart w:id="199" w:name="_Toc191822259"/>
      <w:bookmarkStart w:id="200" w:name="_Toc258501780"/>
      <w:bookmarkStart w:id="201" w:name="_Toc312340159"/>
      <w:bookmarkStart w:id="202" w:name="_Toc337546887"/>
      <w:r w:rsidRPr="00274021">
        <w:lastRenderedPageBreak/>
        <w:t>B.5</w:t>
      </w:r>
      <w:r w:rsidRPr="00274021">
        <w:tab/>
        <w:t>Outcome measures and analysis of the direct randomised trials</w:t>
      </w:r>
      <w:bookmarkEnd w:id="197"/>
      <w:bookmarkEnd w:id="198"/>
      <w:bookmarkEnd w:id="199"/>
      <w:bookmarkEnd w:id="200"/>
      <w:bookmarkEnd w:id="201"/>
      <w:bookmarkEnd w:id="20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53"/>
      </w:tblGrid>
      <w:tr w:rsidR="00B119A8" w:rsidTr="00791EC7">
        <w:tc>
          <w:tcPr>
            <w:tcW w:w="8153" w:type="dxa"/>
          </w:tcPr>
          <w:p w:rsidR="00B119A8" w:rsidRPr="00791EC7" w:rsidRDefault="00BC0FE6" w:rsidP="00BC0FE6">
            <w:bookmarkStart w:id="203" w:name="_Toc335667807"/>
            <w:bookmarkStart w:id="204" w:name="_Toc170017614"/>
            <w:bookmarkStart w:id="205" w:name="_Toc191822160"/>
            <w:bookmarkStart w:id="206" w:name="_Toc191822210"/>
            <w:bookmarkStart w:id="207" w:name="_Toc191822260"/>
            <w:bookmarkStart w:id="208" w:name="_Toc258501781"/>
            <w:bookmarkStart w:id="209" w:name="_Toc312340160"/>
            <w:r>
              <w:br/>
            </w:r>
            <w:r w:rsidR="00B119A8" w:rsidRPr="00791EC7">
              <w:t>The detection rate of histological abnormalities was the primary outcome in most trials</w:t>
            </w:r>
            <w:r w:rsidR="00A37C04">
              <w:t xml:space="preserve">. </w:t>
            </w:r>
            <w:bookmarkEnd w:id="203"/>
          </w:p>
          <w:p w:rsidR="00B119A8" w:rsidRDefault="00480E4F" w:rsidP="00B119A8">
            <w:r>
              <w:t>Varying cytological and histological classification system</w:t>
            </w:r>
            <w:r w:rsidR="00A37C04">
              <w:t>s and terminology were used ac</w:t>
            </w:r>
            <w:r w:rsidR="00FA5639">
              <w:t>ross trials.</w:t>
            </w:r>
          </w:p>
          <w:p w:rsidR="00480E4F" w:rsidRDefault="00480E4F" w:rsidP="00480E4F">
            <w:r>
              <w:t xml:space="preserve">The category of outcomes required to address the research questions proposed in the DAP are </w:t>
            </w:r>
            <w:r w:rsidR="00A37C04">
              <w:t xml:space="preserve">health outcomes, diagnostic accuracy, change in management and patient </w:t>
            </w:r>
            <w:r>
              <w:t>outcomes.</w:t>
            </w:r>
          </w:p>
          <w:p w:rsidR="00480E4F" w:rsidRDefault="00480E4F" w:rsidP="00480E4F">
            <w:r>
              <w:t>Reduction</w:t>
            </w:r>
            <w:r w:rsidR="00A37C04">
              <w:t>s</w:t>
            </w:r>
            <w:r>
              <w:t xml:space="preserve"> in mortality, morbidity or incidence of cervical cancer provide the highest level of evidence of efficacy in screening</w:t>
            </w:r>
            <w:r w:rsidR="00310777">
              <w:t xml:space="preserve">. </w:t>
            </w:r>
          </w:p>
          <w:p w:rsidR="00310777" w:rsidRDefault="00310777" w:rsidP="00310777">
            <w:r>
              <w:t>Cytological test yield of ASCUS, LSIL or HSIL define the rate of investigation in a screening population, and thus have clinical, personal and</w:t>
            </w:r>
            <w:r w:rsidR="00A37C04">
              <w:t xml:space="preserve"> financial importance. C</w:t>
            </w:r>
            <w:r>
              <w:t>ytological findings without a reference method are quite inaccurate, rather the essential objective of cervical screening programs are detecting and removing histologically confirmed high-grade lesions (CIN</w:t>
            </w:r>
            <w:r w:rsidR="00A37C04">
              <w:t xml:space="preserve"> </w:t>
            </w:r>
            <w:r>
              <w:t>2+).</w:t>
            </w:r>
          </w:p>
          <w:p w:rsidR="00310777" w:rsidRDefault="00310777" w:rsidP="00310777">
            <w:r>
              <w:t>Sensitivity and specificity traditionally represent diagnostic accuracy but in cervical screening trials patients with normal cytology are generally not followed up for outcome. Therefore p</w:t>
            </w:r>
            <w:r w:rsidRPr="00310777">
              <w:t>o</w:t>
            </w:r>
            <w:r>
              <w:t>sitive predictive value for CIN</w:t>
            </w:r>
            <w:r w:rsidR="00A37C04">
              <w:t xml:space="preserve"> </w:t>
            </w:r>
            <w:r>
              <w:t>2</w:t>
            </w:r>
            <w:r w:rsidRPr="00310777">
              <w:t>+</w:t>
            </w:r>
            <w:r>
              <w:t>, preferably CIN 3+,</w:t>
            </w:r>
            <w:r w:rsidRPr="00310777">
              <w:t xml:space="preserve"> </w:t>
            </w:r>
            <w:r>
              <w:t>will also be relied on for the assessment of diagnostic accuracy.</w:t>
            </w:r>
          </w:p>
          <w:p w:rsidR="00310777" w:rsidRPr="00B119A8" w:rsidRDefault="00A37C04" w:rsidP="00791EC7">
            <w:r>
              <w:t>Because there are no head-to-</w:t>
            </w:r>
            <w:r w:rsidR="00310777">
              <w:t>head comparisons between cell enrichment LBC and cell filtration LBC an indirect compa</w:t>
            </w:r>
            <w:r>
              <w:t>rison between the technologies wa</w:t>
            </w:r>
            <w:r w:rsidR="00310777">
              <w:t>s conducted.</w:t>
            </w:r>
          </w:p>
        </w:tc>
      </w:tr>
    </w:tbl>
    <w:p w:rsidR="006F7E4E" w:rsidRDefault="006F7E4E">
      <w:pPr>
        <w:spacing w:after="0" w:line="240" w:lineRule="auto"/>
        <w:rPr>
          <w:rFonts w:ascii="Gill Sans MT" w:hAnsi="Gill Sans MT"/>
          <w:b/>
          <w:bCs/>
          <w:sz w:val="32"/>
          <w:szCs w:val="32"/>
        </w:rPr>
      </w:pPr>
      <w:r>
        <w:br w:type="page"/>
      </w:r>
    </w:p>
    <w:p w:rsidR="004347D3" w:rsidRPr="006B2F62" w:rsidRDefault="004347D3" w:rsidP="006B2F62">
      <w:pPr>
        <w:pStyle w:val="Heading30"/>
      </w:pPr>
      <w:bookmarkStart w:id="210" w:name="_Toc337546888"/>
      <w:r w:rsidRPr="006B2F62">
        <w:lastRenderedPageBreak/>
        <w:t>B.5.1</w:t>
      </w:r>
      <w:r w:rsidRPr="006B2F62">
        <w:tab/>
        <w:t>Primary and secondary outcomes presented in the included trials</w:t>
      </w:r>
      <w:bookmarkEnd w:id="204"/>
      <w:bookmarkEnd w:id="205"/>
      <w:bookmarkEnd w:id="206"/>
      <w:bookmarkEnd w:id="207"/>
      <w:bookmarkEnd w:id="208"/>
      <w:bookmarkEnd w:id="209"/>
      <w:bookmarkEnd w:id="210"/>
    </w:p>
    <w:p w:rsidR="008353DC" w:rsidRDefault="008353DC" w:rsidP="009C4D0C">
      <w:r>
        <w:t xml:space="preserve">The outcome measures and statistical analyses reported for each RCT is presented in </w:t>
      </w:r>
      <w:r w:rsidR="00086C77">
        <w:fldChar w:fldCharType="begin"/>
      </w:r>
      <w:r>
        <w:instrText xml:space="preserve"> REF _Ref169665906 \h </w:instrText>
      </w:r>
      <w:r w:rsidR="00086C77">
        <w:fldChar w:fldCharType="separate"/>
      </w:r>
      <w:r w:rsidR="003361A8" w:rsidRPr="00274021">
        <w:t xml:space="preserve">Table </w:t>
      </w:r>
      <w:r w:rsidR="003361A8">
        <w:rPr>
          <w:noProof/>
        </w:rPr>
        <w:t>18</w:t>
      </w:r>
      <w:r w:rsidR="00086C77">
        <w:fldChar w:fldCharType="end"/>
      </w:r>
      <w:r>
        <w:t xml:space="preserve">. </w:t>
      </w:r>
      <w:r w:rsidR="006F7E4E">
        <w:br/>
      </w:r>
      <w:r w:rsidR="009C4D0C">
        <w:t>The detection rate of histological abnormal</w:t>
      </w:r>
      <w:r>
        <w:t>ities was the primary outcome in most trials</w:t>
      </w:r>
      <w:r w:rsidR="00A37C04">
        <w:t>, but</w:t>
      </w:r>
      <w:r>
        <w:t xml:space="preserve"> the classification and categories of histological outc</w:t>
      </w:r>
      <w:r w:rsidR="00A37C04">
        <w:t>ome reported varied. A</w:t>
      </w:r>
      <w:r>
        <w:t xml:space="preserve"> c</w:t>
      </w:r>
      <w:r w:rsidRPr="008353DC">
        <w:t>omparison of different cytological and histological classification systems</w:t>
      </w:r>
      <w:r>
        <w:t xml:space="preserve"> is </w:t>
      </w:r>
      <w:r w:rsidR="00A37C04">
        <w:t xml:space="preserve">therefore </w:t>
      </w:r>
      <w:r>
        <w:t xml:space="preserve">presented </w:t>
      </w:r>
      <w:r w:rsidR="000B10C9">
        <w:t>(</w:t>
      </w:r>
      <w:r w:rsidR="00086C77">
        <w:fldChar w:fldCharType="begin"/>
      </w:r>
      <w:r>
        <w:instrText xml:space="preserve"> REF _Ref333998017 \h </w:instrText>
      </w:r>
      <w:r w:rsidR="00086C77">
        <w:fldChar w:fldCharType="separate"/>
      </w:r>
      <w:r w:rsidR="003361A8">
        <w:t xml:space="preserve">Table </w:t>
      </w:r>
      <w:r w:rsidR="003361A8">
        <w:rPr>
          <w:noProof/>
        </w:rPr>
        <w:t>19</w:t>
      </w:r>
      <w:r w:rsidR="00086C77">
        <w:fldChar w:fldCharType="end"/>
      </w:r>
      <w:r w:rsidR="000B10C9">
        <w:t>)</w:t>
      </w:r>
      <w:r>
        <w:t>.</w:t>
      </w:r>
    </w:p>
    <w:p w:rsidR="002B62D4" w:rsidRDefault="00A37C04" w:rsidP="009C4D0C">
      <w:r>
        <w:t>Limited data were</w:t>
      </w:r>
      <w:r w:rsidR="002B62D4">
        <w:t xml:space="preserve"> available for the RODEO cell enrichment LBC</w:t>
      </w:r>
      <w:r w:rsidR="008353DC">
        <w:t xml:space="preserve"> </w:t>
      </w:r>
      <w:r w:rsidR="002B62D4">
        <w:t>trial</w:t>
      </w:r>
      <w:r>
        <w:t xml:space="preserve">; </w:t>
      </w:r>
      <w:r w:rsidR="002B62D4">
        <w:t>data from two ab</w:t>
      </w:r>
      <w:r>
        <w:t>stracts only were</w:t>
      </w:r>
      <w:r w:rsidR="002B62D4">
        <w:t xml:space="preserve"> available. Similarly</w:t>
      </w:r>
      <w:r>
        <w:t>, RHINE-SAAR study data were</w:t>
      </w:r>
      <w:r w:rsidR="002B62D4">
        <w:t xml:space="preserve"> available in abstract form only</w:t>
      </w:r>
      <w:r>
        <w:t>,</w:t>
      </w:r>
      <w:r w:rsidR="002B62D4">
        <w:t xml:space="preserve"> with limited data reported. Essentially</w:t>
      </w:r>
      <w:r>
        <w:t>,</w:t>
      </w:r>
      <w:r w:rsidR="002B62D4">
        <w:t xml:space="preserve"> detection of high grade or CIN</w:t>
      </w:r>
      <w:r>
        <w:t xml:space="preserve"> 2+ lesions was</w:t>
      </w:r>
      <w:r w:rsidR="006F7E4E">
        <w:t xml:space="preserve"> all that wa</w:t>
      </w:r>
      <w:r w:rsidR="002B62D4">
        <w:t>s reported for these two trials.</w:t>
      </w:r>
    </w:p>
    <w:p w:rsidR="009C4D0C" w:rsidRDefault="00A37C04" w:rsidP="009C4D0C">
      <w:r>
        <w:t>For all other trials, test yield and unsatisfactory rates we</w:t>
      </w:r>
      <w:r w:rsidR="002B62D4">
        <w:t xml:space="preserve">re reported as well as various other absolute and relative accuracy measures. </w:t>
      </w:r>
    </w:p>
    <w:p w:rsidR="008825F5" w:rsidRPr="0008285F" w:rsidRDefault="002B62D4" w:rsidP="00A65D99">
      <w:r>
        <w:t>It is pertinent to note that t</w:t>
      </w:r>
      <w:r w:rsidR="001A60BA">
        <w:t>he NTCC trial</w:t>
      </w:r>
      <w:r w:rsidR="00A65D99">
        <w:t xml:space="preserve"> was conducted over two phases. The first phase </w:t>
      </w:r>
      <w:r w:rsidR="002D0D39">
        <w:t>present</w:t>
      </w:r>
      <w:r w:rsidR="00A37C04">
        <w:t>ed</w:t>
      </w:r>
      <w:r w:rsidR="001A60BA">
        <w:t xml:space="preserve"> cross</w:t>
      </w:r>
      <w:r w:rsidR="00A37C04">
        <w:t>-</w:t>
      </w:r>
      <w:r w:rsidR="001A60BA">
        <w:t>sectional</w:t>
      </w:r>
      <w:r w:rsidR="002D0D39">
        <w:t xml:space="preserve"> sensitivity and specificity at the fi</w:t>
      </w:r>
      <w:r w:rsidR="001A60BA">
        <w:t>rst screening examination,</w:t>
      </w:r>
      <w:r w:rsidR="003B7152">
        <w:t xml:space="preserve"> </w:t>
      </w:r>
      <w:r w:rsidR="001A60BA">
        <w:t xml:space="preserve">which </w:t>
      </w:r>
      <w:r w:rsidR="00A65D99">
        <w:t>is published separately for women aged 25</w:t>
      </w:r>
      <w:r w:rsidR="00A37C04">
        <w:t xml:space="preserve"> to </w:t>
      </w:r>
      <w:r w:rsidR="00A65D99">
        <w:t xml:space="preserve">34 </w:t>
      </w:r>
      <w:r w:rsidR="00A37C04">
        <w:t xml:space="preserve">years (Ronco 2006a) and 35 to </w:t>
      </w:r>
      <w:r w:rsidR="00A65D99">
        <w:t xml:space="preserve">60 </w:t>
      </w:r>
      <w:r w:rsidR="00A37C04">
        <w:t>years (Ronco 2006b). The main final endpoint of the study wa</w:t>
      </w:r>
      <w:r w:rsidR="00A65D99">
        <w:t>s long term rates of disease, reported for the two co</w:t>
      </w:r>
      <w:r w:rsidR="00A37C04">
        <w:t xml:space="preserve">horts combined by Ronco </w:t>
      </w:r>
      <w:r w:rsidR="00A65D99">
        <w:t xml:space="preserve">2007. </w:t>
      </w:r>
      <w:r w:rsidR="002D0D39">
        <w:t xml:space="preserve">The </w:t>
      </w:r>
      <w:r w:rsidR="001A60BA">
        <w:t>focus o</w:t>
      </w:r>
      <w:r w:rsidR="002D0D39">
        <w:t>f</w:t>
      </w:r>
      <w:r w:rsidR="001A60BA">
        <w:t xml:space="preserve"> the</w:t>
      </w:r>
      <w:r w:rsidR="002D0D39">
        <w:t xml:space="preserve"> trial was to review the </w:t>
      </w:r>
      <w:r w:rsidR="001A60BA">
        <w:t>effect of using different criteria for referral to colposcopy (concerning</w:t>
      </w:r>
      <w:r>
        <w:t xml:space="preserve"> </w:t>
      </w:r>
      <w:r w:rsidR="001A60BA">
        <w:t xml:space="preserve">the combined use of HPV and </w:t>
      </w:r>
      <w:r w:rsidR="00920E83">
        <w:t>LBC</w:t>
      </w:r>
      <w:r w:rsidR="001A60BA">
        <w:t xml:space="preserve"> and</w:t>
      </w:r>
      <w:r w:rsidR="002D0D39">
        <w:t xml:space="preserve"> </w:t>
      </w:r>
      <w:r w:rsidR="001A60BA">
        <w:t xml:space="preserve">the </w:t>
      </w:r>
      <w:r w:rsidR="003954A4">
        <w:t>cut-off</w:t>
      </w:r>
      <w:r w:rsidR="001A60BA">
        <w:t xml:space="preserve"> used for HPV testing).</w:t>
      </w:r>
    </w:p>
    <w:p w:rsidR="009C4D0C" w:rsidRPr="00274021" w:rsidRDefault="009C4D0C" w:rsidP="009C4D0C">
      <w:pPr>
        <w:pStyle w:val="Tablecaption"/>
      </w:pPr>
      <w:bookmarkStart w:id="211" w:name="_Ref169665906"/>
      <w:bookmarkStart w:id="212" w:name="_Toc192319858"/>
      <w:bookmarkStart w:id="213" w:name="_Toc312340203"/>
      <w:bookmarkStart w:id="214" w:name="_Toc316368190"/>
      <w:bookmarkStart w:id="215" w:name="_Toc335665984"/>
      <w:bookmarkStart w:id="216" w:name="_Toc337546955"/>
      <w:r w:rsidRPr="00274021">
        <w:lastRenderedPageBreak/>
        <w:t xml:space="preserve">Table </w:t>
      </w:r>
      <w:fldSimple w:instr=" SEQ Table \* ARABIC ">
        <w:r w:rsidR="003361A8">
          <w:rPr>
            <w:noProof/>
          </w:rPr>
          <w:t>18</w:t>
        </w:r>
      </w:fldSimple>
      <w:bookmarkEnd w:id="211"/>
      <w:r w:rsidRPr="00274021">
        <w:tab/>
      </w:r>
      <w:r w:rsidR="008353DC">
        <w:t>O</w:t>
      </w:r>
      <w:r>
        <w:t>utcome measures</w:t>
      </w:r>
      <w:r w:rsidRPr="00274021">
        <w:t xml:space="preserve"> and statistical analyses of the direct randomised trials</w:t>
      </w:r>
      <w:bookmarkEnd w:id="212"/>
      <w:bookmarkEnd w:id="213"/>
      <w:bookmarkEnd w:id="214"/>
      <w:bookmarkEnd w:id="215"/>
      <w:bookmarkEnd w:id="2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1"/>
        <w:gridCol w:w="2446"/>
        <w:gridCol w:w="5427"/>
      </w:tblGrid>
      <w:tr w:rsidR="009C4D0C" w:rsidRPr="00274021" w:rsidTr="000D6DC2">
        <w:trPr>
          <w:cantSplit/>
          <w:trHeight w:val="336"/>
          <w:tblHeader/>
        </w:trPr>
        <w:tc>
          <w:tcPr>
            <w:tcW w:w="0" w:type="auto"/>
            <w:tcBorders>
              <w:bottom w:val="single" w:sz="4" w:space="0" w:color="auto"/>
            </w:tcBorders>
          </w:tcPr>
          <w:p w:rsidR="009C4D0C" w:rsidRPr="00274021" w:rsidRDefault="009C4D0C" w:rsidP="00904BA0">
            <w:pPr>
              <w:pStyle w:val="Tableheading"/>
            </w:pPr>
            <w:r w:rsidRPr="00274021">
              <w:t>Trial ID</w:t>
            </w:r>
          </w:p>
        </w:tc>
        <w:tc>
          <w:tcPr>
            <w:tcW w:w="0" w:type="auto"/>
            <w:tcBorders>
              <w:bottom w:val="single" w:sz="4" w:space="0" w:color="auto"/>
            </w:tcBorders>
          </w:tcPr>
          <w:p w:rsidR="009C4D0C" w:rsidRPr="00274021" w:rsidRDefault="009C4D0C" w:rsidP="00904BA0">
            <w:pPr>
              <w:pStyle w:val="Tableheading"/>
            </w:pPr>
            <w:r w:rsidRPr="00274021">
              <w:t>Definition of outcome</w:t>
            </w:r>
            <w:r>
              <w:t>s</w:t>
            </w:r>
          </w:p>
        </w:tc>
        <w:tc>
          <w:tcPr>
            <w:tcW w:w="0" w:type="auto"/>
            <w:tcBorders>
              <w:bottom w:val="single" w:sz="4" w:space="0" w:color="auto"/>
            </w:tcBorders>
          </w:tcPr>
          <w:p w:rsidR="009C4D0C" w:rsidRPr="00274021" w:rsidRDefault="009C4D0C" w:rsidP="00904BA0">
            <w:pPr>
              <w:pStyle w:val="Tableheading"/>
            </w:pPr>
            <w:r w:rsidRPr="00274021">
              <w:t>Method of primary statistical analysis</w:t>
            </w:r>
          </w:p>
        </w:tc>
      </w:tr>
      <w:tr w:rsidR="009C4D0C" w:rsidRPr="00274021" w:rsidTr="000D6DC2">
        <w:trPr>
          <w:cantSplit/>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A37C04" w:rsidP="00904BA0">
            <w:pPr>
              <w:pStyle w:val="Tableheading"/>
            </w:pPr>
            <w:r>
              <w:t>Cell enrichment versus conventional c</w:t>
            </w:r>
            <w:r w:rsidR="00F41802">
              <w:t>ytology</w:t>
            </w:r>
          </w:p>
        </w:tc>
      </w:tr>
      <w:tr w:rsidR="009C4D0C" w:rsidRPr="00274021" w:rsidTr="000D6DC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Beerman 2009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1F7C06" w:rsidRDefault="009C4D0C" w:rsidP="00904BA0">
            <w:pPr>
              <w:pStyle w:val="Tableheading"/>
            </w:pPr>
            <w:r w:rsidRPr="001F7C06">
              <w:t>Detection rate of histological abnormalities</w:t>
            </w:r>
            <w:r w:rsidR="008353DC">
              <w:t xml:space="preserve"> (CIN</w:t>
            </w:r>
            <w:r w:rsidR="00A37C04">
              <w:t xml:space="preserve"> </w:t>
            </w:r>
            <w:r w:rsidR="008353DC">
              <w:t>1+)</w:t>
            </w:r>
          </w:p>
          <w:p w:rsidR="009C4D0C" w:rsidRDefault="009C4D0C" w:rsidP="00904BA0">
            <w:pPr>
              <w:pStyle w:val="Tableheading"/>
              <w:rPr>
                <w:b w:val="0"/>
              </w:rPr>
            </w:pPr>
            <w:r>
              <w:rPr>
                <w:b w:val="0"/>
              </w:rPr>
              <w:t>Test yield</w:t>
            </w:r>
          </w:p>
          <w:p w:rsidR="009C4D0C" w:rsidRDefault="009C4D0C" w:rsidP="00904BA0">
            <w:pPr>
              <w:pStyle w:val="Tableheading"/>
              <w:rPr>
                <w:b w:val="0"/>
              </w:rPr>
            </w:pPr>
            <w:r>
              <w:rPr>
                <w:b w:val="0"/>
              </w:rPr>
              <w:t>Unsatisfactory rates</w:t>
            </w:r>
          </w:p>
          <w:p w:rsidR="009C4D0C" w:rsidRDefault="009C4D0C" w:rsidP="00904BA0">
            <w:pPr>
              <w:pStyle w:val="Tableheading"/>
              <w:rPr>
                <w:b w:val="0"/>
              </w:rPr>
            </w:pPr>
            <w:r>
              <w:rPr>
                <w:b w:val="0"/>
              </w:rPr>
              <w:t>Sensitivity</w:t>
            </w:r>
          </w:p>
          <w:p w:rsidR="009C4D0C" w:rsidRDefault="009C4D0C" w:rsidP="00904BA0">
            <w:pPr>
              <w:pStyle w:val="Tableheading"/>
              <w:rPr>
                <w:b w:val="0"/>
              </w:rPr>
            </w:pPr>
            <w:r>
              <w:rPr>
                <w:b w:val="0"/>
              </w:rPr>
              <w:t>Specificity</w:t>
            </w:r>
          </w:p>
          <w:p w:rsidR="009C4D0C" w:rsidRPr="00EF7E0A" w:rsidRDefault="009C4D0C" w:rsidP="00904BA0">
            <w:pPr>
              <w:pStyle w:val="Tableheading"/>
              <w:rPr>
                <w:b w:val="0"/>
              </w:rPr>
            </w:pPr>
            <w:r>
              <w:rPr>
                <w:b w:val="0"/>
              </w:rPr>
              <w:t>False negative and positive rates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Default="006F7E4E" w:rsidP="00904BA0">
            <w:pPr>
              <w:pStyle w:val="Tableheading"/>
              <w:rPr>
                <w:b w:val="0"/>
              </w:rPr>
            </w:pPr>
            <w:r>
              <w:rPr>
                <w:b w:val="0"/>
              </w:rPr>
              <w:t xml:space="preserve">P </w:t>
            </w:r>
            <w:r w:rsidR="009C4D0C">
              <w:rPr>
                <w:b w:val="0"/>
              </w:rPr>
              <w:t>values comparing histology and cytology were determined by the Cochran-Mantel-Haenszel test.</w:t>
            </w:r>
          </w:p>
          <w:p w:rsidR="009C4D0C" w:rsidRPr="00EF7E0A" w:rsidRDefault="009C4D0C" w:rsidP="00904BA0">
            <w:pPr>
              <w:pStyle w:val="Tableheading"/>
              <w:rPr>
                <w:b w:val="0"/>
              </w:rPr>
            </w:pPr>
            <w:r>
              <w:rPr>
                <w:b w:val="0"/>
              </w:rPr>
              <w:t>False negative and false positive rates were compared using the 2-side</w:t>
            </w:r>
            <w:r w:rsidR="00A37C04">
              <w:rPr>
                <w:b w:val="0"/>
              </w:rPr>
              <w:t>d</w:t>
            </w:r>
            <w:r>
              <w:rPr>
                <w:b w:val="0"/>
              </w:rPr>
              <w:t xml:space="preserve"> Fisher’s exact test</w:t>
            </w:r>
          </w:p>
        </w:tc>
      </w:tr>
      <w:tr w:rsidR="009C4D0C" w:rsidRPr="00A37C04" w:rsidTr="000D6DC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A37C04" w:rsidRDefault="009C4D0C" w:rsidP="00A37C04">
            <w:pPr>
              <w:pStyle w:val="Tabletext"/>
            </w:pPr>
            <w:r w:rsidRPr="00A37C04">
              <w:t>Source:</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9C4D0C" w:rsidRPr="00A37C04" w:rsidRDefault="000D6DC2" w:rsidP="00A37C04">
            <w:pPr>
              <w:pStyle w:val="Tabletext"/>
            </w:pPr>
            <w:r>
              <w:t xml:space="preserve">Beerman </w:t>
            </w:r>
            <w:r w:rsidR="009C4D0C" w:rsidRPr="00A37C04">
              <w:t xml:space="preserve">2009, Materials and methods </w:t>
            </w:r>
            <w:r>
              <w:t>pp.573–</w:t>
            </w:r>
            <w:r w:rsidR="009C4D0C" w:rsidRPr="00A37C04">
              <w:t>4</w:t>
            </w:r>
          </w:p>
        </w:tc>
      </w:tr>
      <w:tr w:rsidR="009C4D0C" w:rsidRPr="00274021" w:rsidTr="000D6DC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274021" w:rsidRDefault="009C4D0C" w:rsidP="00904BA0">
            <w:pPr>
              <w:pStyle w:val="Tableheading"/>
              <w:rPr>
                <w:b w:val="0"/>
              </w:rPr>
            </w:pPr>
            <w:r>
              <w:rPr>
                <w:b w:val="0"/>
              </w:rPr>
              <w:t>RODEO Study</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327283" w:rsidRDefault="009C4D0C" w:rsidP="00817BA4">
            <w:pPr>
              <w:pStyle w:val="Tableheading"/>
            </w:pPr>
            <w:r w:rsidRPr="00327283">
              <w:t xml:space="preserve">Detection of </w:t>
            </w:r>
            <w:r w:rsidR="00817BA4">
              <w:t>HSIL</w:t>
            </w:r>
            <w:r w:rsidRPr="00327283">
              <w:t xml:space="preserve"> lesions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EF7E0A" w:rsidRDefault="009C4D0C" w:rsidP="00904BA0">
            <w:pPr>
              <w:pStyle w:val="Tableheading"/>
              <w:rPr>
                <w:b w:val="0"/>
              </w:rPr>
            </w:pPr>
            <w:r>
              <w:rPr>
                <w:b w:val="0"/>
              </w:rPr>
              <w:t>NR</w:t>
            </w:r>
          </w:p>
        </w:tc>
      </w:tr>
      <w:tr w:rsidR="009C4D0C" w:rsidRPr="000D6DC2" w:rsidTr="000D6DC2">
        <w:trPr>
          <w:cantSplit/>
        </w:trPr>
        <w:tc>
          <w:tcPr>
            <w:tcW w:w="0" w:type="auto"/>
            <w:tcBorders>
              <w:top w:val="single" w:sz="4" w:space="0" w:color="auto"/>
              <w:left w:val="single" w:sz="4" w:space="0" w:color="auto"/>
              <w:bottom w:val="single" w:sz="4" w:space="0" w:color="auto"/>
              <w:right w:val="single" w:sz="4" w:space="0" w:color="auto"/>
            </w:tcBorders>
            <w:shd w:val="clear" w:color="auto" w:fill="auto"/>
          </w:tcPr>
          <w:p w:rsidR="009C4D0C" w:rsidRPr="000D6DC2" w:rsidRDefault="009C4D0C" w:rsidP="000D6DC2">
            <w:pPr>
              <w:pStyle w:val="Tabletext"/>
            </w:pPr>
            <w:r w:rsidRPr="000D6DC2">
              <w:t>Source:</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tcPr>
          <w:p w:rsidR="009C4D0C" w:rsidRPr="000D6DC2" w:rsidRDefault="000D6DC2" w:rsidP="000D6DC2">
            <w:pPr>
              <w:pStyle w:val="Tabletext"/>
            </w:pPr>
            <w:r>
              <w:t xml:space="preserve">Longatto-Filho 2011; Fregnani </w:t>
            </w:r>
            <w:r w:rsidR="009C4D0C" w:rsidRPr="000D6DC2">
              <w:t>2012</w:t>
            </w:r>
          </w:p>
        </w:tc>
      </w:tr>
      <w:tr w:rsidR="009C4D0C" w:rsidRPr="00274021" w:rsidTr="000D6DC2">
        <w:trPr>
          <w:cantSplit/>
        </w:trPr>
        <w:tc>
          <w:tcPr>
            <w:tcW w:w="0" w:type="auto"/>
            <w:gridSpan w:val="3"/>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F41802" w:rsidP="00904BA0">
            <w:pPr>
              <w:pStyle w:val="Tableheading"/>
            </w:pPr>
            <w:r>
              <w:t xml:space="preserve">Cell Filtration </w:t>
            </w:r>
            <w:r w:rsidR="000D6DC2">
              <w:t>versus conventional c</w:t>
            </w:r>
            <w:r w:rsidR="009C4D0C">
              <w:t>ytology</w:t>
            </w:r>
          </w:p>
        </w:tc>
      </w:tr>
      <w:tr w:rsidR="009C4D0C" w:rsidRPr="00274021" w:rsidTr="000D6DC2">
        <w:trPr>
          <w:cantSplit/>
        </w:trPr>
        <w:tc>
          <w:tcPr>
            <w:tcW w:w="0" w:type="auto"/>
            <w:tcBorders>
              <w:top w:val="single" w:sz="4" w:space="0" w:color="auto"/>
            </w:tcBorders>
          </w:tcPr>
          <w:p w:rsidR="009C4D0C" w:rsidRPr="00274021" w:rsidRDefault="009C4D0C" w:rsidP="00904BA0">
            <w:pPr>
              <w:pStyle w:val="Tabletext"/>
            </w:pPr>
            <w:r>
              <w:t>NTCC Trial</w:t>
            </w:r>
          </w:p>
        </w:tc>
        <w:tc>
          <w:tcPr>
            <w:tcW w:w="0" w:type="auto"/>
            <w:tcBorders>
              <w:top w:val="single" w:sz="4" w:space="0" w:color="auto"/>
              <w:bottom w:val="single" w:sz="4" w:space="0" w:color="auto"/>
            </w:tcBorders>
          </w:tcPr>
          <w:p w:rsidR="009C4D0C" w:rsidRPr="00274021" w:rsidRDefault="009C4D0C" w:rsidP="00904BA0">
            <w:pPr>
              <w:pStyle w:val="Tabletext"/>
            </w:pPr>
            <w:r>
              <w:t>Te</w:t>
            </w:r>
            <w:r w:rsidR="006F7E4E">
              <w:t>st Yield</w:t>
            </w:r>
            <w:r w:rsidR="006F7E4E">
              <w:br/>
              <w:t>Unsatisfactory rates/p</w:t>
            </w:r>
            <w:r>
              <w:t>roportion of samples yielding unsatisfactory results</w:t>
            </w:r>
            <w:r>
              <w:br/>
              <w:t>Detection rate (endpoint of CIN</w:t>
            </w:r>
            <w:r w:rsidR="006F7E4E">
              <w:t xml:space="preserve"> </w:t>
            </w:r>
            <w:r>
              <w:t>2+)</w:t>
            </w:r>
            <w:r>
              <w:br/>
              <w:t>Relative sensitivity(endpoint of CIN</w:t>
            </w:r>
            <w:r w:rsidR="000D6DC2">
              <w:t xml:space="preserve"> 2+)</w:t>
            </w:r>
            <w:r w:rsidR="000D6DC2">
              <w:br/>
              <w:t>Positive predictive v</w:t>
            </w:r>
            <w:r>
              <w:t>alue (PPV)(endpoint of CIN</w:t>
            </w:r>
            <w:r w:rsidR="000D6DC2">
              <w:t xml:space="preserve"> </w:t>
            </w:r>
            <w:r>
              <w:t>2+)</w:t>
            </w:r>
            <w:r>
              <w:br/>
              <w:t>Relative PPV</w:t>
            </w:r>
            <w:r w:rsidR="006F7E4E">
              <w:t xml:space="preserve"> </w:t>
            </w:r>
            <w:r>
              <w:t>(endp</w:t>
            </w:r>
            <w:r w:rsidR="006F7E4E">
              <w:t>oint of CIN2+)</w:t>
            </w:r>
            <w:r w:rsidR="006F7E4E">
              <w:br/>
              <w:t>Sensitivity and s</w:t>
            </w:r>
            <w:r>
              <w:t>pecificity available for LBC only</w:t>
            </w:r>
            <w:r>
              <w:br/>
              <w:t>Impact of screening on clinical management</w:t>
            </w:r>
            <w:r w:rsidR="006F7E4E">
              <w:t xml:space="preserve"> </w:t>
            </w:r>
            <w:r>
              <w:t>(Comparison of number of colposcopies and biopsies performed)</w:t>
            </w:r>
          </w:p>
        </w:tc>
        <w:tc>
          <w:tcPr>
            <w:tcW w:w="0" w:type="auto"/>
            <w:tcBorders>
              <w:top w:val="single" w:sz="4" w:space="0" w:color="auto"/>
              <w:bottom w:val="single" w:sz="4" w:space="0" w:color="auto"/>
            </w:tcBorders>
          </w:tcPr>
          <w:p w:rsidR="009C4D0C" w:rsidRDefault="008825F5" w:rsidP="008825F5">
            <w:pPr>
              <w:pStyle w:val="Tabletext"/>
            </w:pPr>
            <w:r>
              <w:t>The cytology results, including unsatisfactory findings</w:t>
            </w:r>
            <w:r w:rsidR="006F7E4E">
              <w:t xml:space="preserve">, were compared between the </w:t>
            </w:r>
            <w:r>
              <w:t xml:space="preserve">study groups. Uncorrected contingency </w:t>
            </w:r>
            <w:r>
              <w:rPr>
                <w:rFonts w:ascii="Times New Roman" w:hAnsi="Times New Roman"/>
              </w:rPr>
              <w:t>χ</w:t>
            </w:r>
            <w:r>
              <w:t xml:space="preserve">2 analysis was applied for all comparisons between proportions, unless otherwise specified. </w:t>
            </w:r>
            <w:r w:rsidR="003954A4">
              <w:t xml:space="preserve">We used unconditional logistic regression to calculate odds ratios for the association of different variables with persistent positive results from HPV tests repeated after 1 year. </w:t>
            </w:r>
            <w:r>
              <w:t>95% CIs were calculated from Wald-type SEs.</w:t>
            </w:r>
          </w:p>
          <w:p w:rsidR="008825F5" w:rsidRDefault="008825F5" w:rsidP="008825F5">
            <w:pPr>
              <w:pStyle w:val="Tabletext"/>
            </w:pPr>
            <w:r>
              <w:t>The sensitivities of the different combinations of cytology and HPV testing are also given as values relative to the conventional group, for all randomised eligible women (</w:t>
            </w:r>
            <w:r w:rsidR="003954A4">
              <w:t>i.e</w:t>
            </w:r>
            <w:r w:rsidR="00195600">
              <w:t>.</w:t>
            </w:r>
            <w:r>
              <w:t xml:space="preserve"> analysis was by intention to screen).</w:t>
            </w:r>
            <w:r w:rsidR="006F7E4E">
              <w:t xml:space="preserve"> PPV</w:t>
            </w:r>
            <w:r>
              <w:t xml:space="preserve"> relative to conventional cytology was calculated only for women who actually received colposcopy. CIs were calculated with methods appropriate for ratios of independent proportions.</w:t>
            </w:r>
          </w:p>
          <w:p w:rsidR="008825F5" w:rsidRDefault="003954A4" w:rsidP="008825F5">
            <w:pPr>
              <w:pStyle w:val="Tabletext"/>
            </w:pPr>
            <w:r>
              <w:t xml:space="preserve">Homogeneity in relative sensitivity and relative PPV between different groups was tested by the Breslow-Day test. </w:t>
            </w:r>
            <w:r w:rsidR="008825F5">
              <w:t>SAS software version 8.2 was used for all analyses. All p values were two-sided.</w:t>
            </w:r>
          </w:p>
          <w:p w:rsidR="008825F5" w:rsidRPr="00274021" w:rsidRDefault="006F7E4E" w:rsidP="008825F5">
            <w:pPr>
              <w:pStyle w:val="Tabletext"/>
            </w:pPr>
            <w:r>
              <w:t>A study size of about 100,</w:t>
            </w:r>
            <w:r w:rsidR="008825F5">
              <w:t>000 women was calculated from both recruitment phases, which would have a greater than 80% power to show a significant (two-sided test, 5% level) true reduction of 32% or more in the detection of CIN</w:t>
            </w:r>
            <w:r>
              <w:t xml:space="preserve"> </w:t>
            </w:r>
            <w:r w:rsidR="008825F5">
              <w:t>2+ in the experimental group compared with the conventional group at the final round of screening (the main study endpoint)</w:t>
            </w:r>
          </w:p>
        </w:tc>
      </w:tr>
      <w:tr w:rsidR="009C4D0C" w:rsidRPr="000D6DC2" w:rsidTr="000D6DC2">
        <w:trPr>
          <w:cantSplit/>
        </w:trPr>
        <w:tc>
          <w:tcPr>
            <w:tcW w:w="0" w:type="auto"/>
            <w:tcBorders>
              <w:right w:val="single" w:sz="4" w:space="0" w:color="auto"/>
            </w:tcBorders>
          </w:tcPr>
          <w:p w:rsidR="009C4D0C" w:rsidRPr="000D6DC2" w:rsidRDefault="009C4D0C" w:rsidP="000D6DC2">
            <w:pPr>
              <w:pStyle w:val="Tabletext"/>
            </w:pPr>
            <w:r w:rsidRPr="000D6DC2">
              <w:t>Source:</w:t>
            </w:r>
          </w:p>
        </w:tc>
        <w:tc>
          <w:tcPr>
            <w:tcW w:w="0" w:type="auto"/>
            <w:tcBorders>
              <w:top w:val="single" w:sz="4" w:space="0" w:color="auto"/>
              <w:left w:val="single" w:sz="4" w:space="0" w:color="auto"/>
              <w:bottom w:val="single" w:sz="4" w:space="0" w:color="auto"/>
              <w:right w:val="nil"/>
            </w:tcBorders>
          </w:tcPr>
          <w:p w:rsidR="009C4D0C" w:rsidRPr="000D6DC2" w:rsidRDefault="000D6DC2" w:rsidP="000D6DC2">
            <w:pPr>
              <w:pStyle w:val="Tabletext"/>
            </w:pPr>
            <w:r>
              <w:t>Ronco</w:t>
            </w:r>
            <w:r w:rsidR="00A65D99" w:rsidRPr="000D6DC2">
              <w:t xml:space="preserve"> 2006a </w:t>
            </w:r>
            <w:r>
              <w:t>pp.549–</w:t>
            </w:r>
            <w:r w:rsidR="00A65D99" w:rsidRPr="000D6DC2">
              <w:t>50</w:t>
            </w:r>
          </w:p>
        </w:tc>
        <w:tc>
          <w:tcPr>
            <w:tcW w:w="0" w:type="auto"/>
            <w:tcBorders>
              <w:top w:val="single" w:sz="4" w:space="0" w:color="auto"/>
              <w:left w:val="nil"/>
              <w:bottom w:val="single" w:sz="4" w:space="0" w:color="auto"/>
              <w:right w:val="single" w:sz="4" w:space="0" w:color="auto"/>
            </w:tcBorders>
          </w:tcPr>
          <w:p w:rsidR="009C4D0C" w:rsidRPr="000D6DC2" w:rsidRDefault="009C4D0C" w:rsidP="000D6DC2">
            <w:pPr>
              <w:pStyle w:val="Tabletext"/>
            </w:pPr>
          </w:p>
        </w:tc>
      </w:tr>
      <w:tr w:rsidR="009C4D0C" w:rsidRPr="00274021" w:rsidTr="000D6DC2">
        <w:tc>
          <w:tcPr>
            <w:tcW w:w="0" w:type="auto"/>
            <w:tcBorders>
              <w:bottom w:val="single" w:sz="4" w:space="0" w:color="auto"/>
            </w:tcBorders>
          </w:tcPr>
          <w:p w:rsidR="009C4D0C" w:rsidRPr="00274021" w:rsidRDefault="009C4D0C" w:rsidP="00904BA0">
            <w:pPr>
              <w:pStyle w:val="Tabletext"/>
            </w:pPr>
            <w:r>
              <w:t>NETHCON Trial</w:t>
            </w:r>
          </w:p>
        </w:tc>
        <w:tc>
          <w:tcPr>
            <w:tcW w:w="0" w:type="auto"/>
            <w:tcBorders>
              <w:top w:val="single" w:sz="4" w:space="0" w:color="auto"/>
              <w:bottom w:val="single" w:sz="4" w:space="0" w:color="auto"/>
            </w:tcBorders>
          </w:tcPr>
          <w:p w:rsidR="009C4D0C" w:rsidRPr="00274021" w:rsidRDefault="000D6DC2" w:rsidP="00904BA0">
            <w:pPr>
              <w:pStyle w:val="Tabletext"/>
            </w:pPr>
            <w:r>
              <w:t>Test y</w:t>
            </w:r>
            <w:r w:rsidR="009C4D0C">
              <w:t>ield</w:t>
            </w:r>
            <w:r w:rsidR="009C4D0C">
              <w:br/>
              <w:t>Unsatisfactory r</w:t>
            </w:r>
            <w:r w:rsidR="006F7E4E">
              <w:t>ates/</w:t>
            </w:r>
            <w:r>
              <w:t>p</w:t>
            </w:r>
            <w:r w:rsidR="009C4D0C">
              <w:t>roportion of samples yielding unsatisfactory results</w:t>
            </w:r>
            <w:r w:rsidR="009C4D0C">
              <w:br/>
              <w:t>Proportion of CIN lesions detected in some cytological categories (ASCUS+)</w:t>
            </w:r>
            <w:r w:rsidR="009C4D0C">
              <w:br/>
              <w:t xml:space="preserve">Positive </w:t>
            </w:r>
            <w:r w:rsidR="006F7E4E">
              <w:t xml:space="preserve">predictive value </w:t>
            </w:r>
            <w:r w:rsidR="009C4D0C">
              <w:t>(PPV)(endpoint of CIN 1+ and CIN</w:t>
            </w:r>
            <w:r w:rsidR="006F7E4E">
              <w:t xml:space="preserve"> </w:t>
            </w:r>
            <w:r w:rsidR="009C4D0C">
              <w:t>2+)</w:t>
            </w:r>
            <w:r w:rsidR="009C4D0C">
              <w:br/>
              <w:t>Relative PPV</w:t>
            </w:r>
            <w:r w:rsidR="006F7E4E">
              <w:t xml:space="preserve"> </w:t>
            </w:r>
            <w:r w:rsidR="009C4D0C">
              <w:t xml:space="preserve">(endpoint of CIN </w:t>
            </w:r>
            <w:r w:rsidR="009C4D0C">
              <w:lastRenderedPageBreak/>
              <w:t>1+ and CIN</w:t>
            </w:r>
            <w:r w:rsidR="00041974">
              <w:t xml:space="preserve"> </w:t>
            </w:r>
            <w:r w:rsidR="009C4D0C">
              <w:t>2+)</w:t>
            </w:r>
          </w:p>
        </w:tc>
        <w:tc>
          <w:tcPr>
            <w:tcW w:w="0" w:type="auto"/>
            <w:tcBorders>
              <w:top w:val="single" w:sz="4" w:space="0" w:color="auto"/>
              <w:bottom w:val="single" w:sz="4" w:space="0" w:color="auto"/>
            </w:tcBorders>
          </w:tcPr>
          <w:p w:rsidR="009C4D0C" w:rsidRDefault="000B27AB" w:rsidP="00904BA0">
            <w:pPr>
              <w:pStyle w:val="Tabletext"/>
            </w:pPr>
            <w:r w:rsidRPr="000B27AB">
              <w:lastRenderedPageBreak/>
              <w:t>Two data sets are presented for the NETHCON trial, the intention-to-treat set and the per protocol set.</w:t>
            </w:r>
            <w:r w:rsidR="000D6DC2">
              <w:t xml:space="preserve"> Only participants from randomis</w:t>
            </w:r>
            <w:r w:rsidRPr="000B27AB">
              <w:t>ed practices wer</w:t>
            </w:r>
            <w:r w:rsidR="006F7E4E">
              <w:t>e included in the intention-to-</w:t>
            </w:r>
            <w:r w:rsidRPr="000B27AB">
              <w:t>treat analysis. The per-protocol analysis included only participants who received the tes</w:t>
            </w:r>
            <w:r w:rsidR="000D6DC2">
              <w:t>t determined by randomis</w:t>
            </w:r>
            <w:r w:rsidRPr="000B27AB">
              <w:t>ation. The authors report that results of the study using the different analysis sets are not significantly different</w:t>
            </w:r>
            <w:r w:rsidR="00A65D99">
              <w:t>.</w:t>
            </w:r>
          </w:p>
          <w:p w:rsidR="00A65D99" w:rsidRDefault="000D6DC2" w:rsidP="00A65D99">
            <w:pPr>
              <w:pStyle w:val="Tabletext"/>
            </w:pPr>
            <w:proofErr w:type="gramStart"/>
            <w:r>
              <w:t>χ2</w:t>
            </w:r>
            <w:proofErr w:type="gramEnd"/>
            <w:r>
              <w:t xml:space="preserve"> t</w:t>
            </w:r>
            <w:r w:rsidR="00A65D99">
              <w:t xml:space="preserve">ests were used for comparison of proportions. Crude rate ratios (RRs) were computed as ratios of the DRs or the PPVs. Odds ratios (ORs) for finding a verified outcome in liquid-based cytology </w:t>
            </w:r>
            <w:r w:rsidR="003954A4">
              <w:t>vs.</w:t>
            </w:r>
            <w:r w:rsidR="00A65D99">
              <w:t xml:space="preserve"> conventional Pap test, adjusted for confounding factors, were computed by logistic regression. The following confounding factors were included </w:t>
            </w:r>
            <w:r w:rsidR="00A65D99">
              <w:lastRenderedPageBreak/>
              <w:t>in mul</w:t>
            </w:r>
            <w:r>
              <w:t>tivariate analyses: age, urbanis</w:t>
            </w:r>
            <w:r w:rsidR="00A65D99">
              <w:t>ation level, study site, and period. Period was defined as the first and second half of the study, using the median preparation dat</w:t>
            </w:r>
            <w:r w:rsidR="006F7E4E">
              <w:t>e as a separator. OR</w:t>
            </w:r>
            <w:r w:rsidR="00A65D99">
              <w:t>s were converted into RRs using established</w:t>
            </w:r>
            <w:r>
              <w:t xml:space="preserve"> </w:t>
            </w:r>
            <w:r w:rsidR="00A65D99">
              <w:t>methods.</w:t>
            </w:r>
          </w:p>
          <w:p w:rsidR="00A65D99" w:rsidRPr="00274021" w:rsidRDefault="00A65D99" w:rsidP="00A65D99">
            <w:pPr>
              <w:pStyle w:val="Tabletext"/>
            </w:pPr>
            <w:r>
              <w:t>The ratios of the DR of verified cervical abnormalities in the LBC relative to the conventional Pap test group was assessed for the primary histological outcome of CIN grades 1+, 2+, and 3+ and carcinoma. The cluster design was taken into account for calculati</w:t>
            </w:r>
            <w:r w:rsidR="006F7E4E">
              <w:t>on of 95% CIs. Statistical testing was two</w:t>
            </w:r>
            <w:r>
              <w:t>-sided, and significance was defined at P</w:t>
            </w:r>
            <w:r w:rsidR="000D6DC2">
              <w:t xml:space="preserve"> </w:t>
            </w:r>
            <w:r>
              <w:t>&lt;</w:t>
            </w:r>
            <w:r w:rsidR="000D6DC2">
              <w:t xml:space="preserve"> 0</w:t>
            </w:r>
            <w:r>
              <w:t>.05. Binomial exact 95% CIs were computed around proportions. Analyses were performed using Stata 10</w:t>
            </w:r>
            <w:r w:rsidR="000D6DC2">
              <w:t>.0 statistical software (Stata-</w:t>
            </w:r>
            <w:r>
              <w:t>Corp LP, College Station, Texas)</w:t>
            </w:r>
          </w:p>
        </w:tc>
      </w:tr>
      <w:tr w:rsidR="009C4D0C" w:rsidRPr="000D6DC2" w:rsidTr="000D6DC2">
        <w:tc>
          <w:tcPr>
            <w:tcW w:w="0" w:type="auto"/>
            <w:tcBorders>
              <w:bottom w:val="single" w:sz="4" w:space="0" w:color="auto"/>
            </w:tcBorders>
          </w:tcPr>
          <w:p w:rsidR="009C4D0C" w:rsidRPr="000D6DC2" w:rsidRDefault="009C4D0C" w:rsidP="000D6DC2">
            <w:pPr>
              <w:pStyle w:val="Tabletext"/>
            </w:pPr>
            <w:r w:rsidRPr="000D6DC2">
              <w:lastRenderedPageBreak/>
              <w:t>Source:</w:t>
            </w:r>
          </w:p>
        </w:tc>
        <w:tc>
          <w:tcPr>
            <w:tcW w:w="0" w:type="auto"/>
            <w:gridSpan w:val="2"/>
            <w:tcBorders>
              <w:top w:val="single" w:sz="4" w:space="0" w:color="auto"/>
              <w:bottom w:val="single" w:sz="4" w:space="0" w:color="auto"/>
            </w:tcBorders>
          </w:tcPr>
          <w:p w:rsidR="009C4D0C" w:rsidRPr="000D6DC2" w:rsidRDefault="000D6DC2" w:rsidP="000D6DC2">
            <w:pPr>
              <w:pStyle w:val="Tabletext"/>
            </w:pPr>
            <w:r>
              <w:t xml:space="preserve">Siebers 2007; Siebers </w:t>
            </w:r>
            <w:r w:rsidR="00A65D99" w:rsidRPr="000D6DC2">
              <w:t>2009 p.1760</w:t>
            </w:r>
          </w:p>
        </w:tc>
      </w:tr>
      <w:tr w:rsidR="009C4D0C" w:rsidRPr="00274021" w:rsidTr="000D6DC2">
        <w:tc>
          <w:tcPr>
            <w:tcW w:w="0" w:type="auto"/>
            <w:tcBorders>
              <w:bottom w:val="single" w:sz="4" w:space="0" w:color="auto"/>
            </w:tcBorders>
          </w:tcPr>
          <w:p w:rsidR="009C4D0C" w:rsidRPr="00274021" w:rsidRDefault="009C4D0C" w:rsidP="00904BA0">
            <w:pPr>
              <w:pStyle w:val="Tabletext"/>
            </w:pPr>
            <w:r>
              <w:t>Strander 2007</w:t>
            </w:r>
          </w:p>
        </w:tc>
        <w:tc>
          <w:tcPr>
            <w:tcW w:w="0" w:type="auto"/>
            <w:tcBorders>
              <w:top w:val="single" w:sz="4" w:space="0" w:color="auto"/>
              <w:bottom w:val="single" w:sz="4" w:space="0" w:color="auto"/>
            </w:tcBorders>
          </w:tcPr>
          <w:p w:rsidR="009C4D0C" w:rsidRDefault="009C4D0C" w:rsidP="00904BA0">
            <w:pPr>
              <w:pStyle w:val="Tabletext"/>
              <w:rPr>
                <w:b/>
              </w:rPr>
            </w:pPr>
            <w:r w:rsidRPr="001F7C06">
              <w:rPr>
                <w:b/>
              </w:rPr>
              <w:t xml:space="preserve">Detection of </w:t>
            </w:r>
            <w:r w:rsidR="00817BA4">
              <w:rPr>
                <w:b/>
              </w:rPr>
              <w:t>HSIL</w:t>
            </w:r>
            <w:r w:rsidRPr="001F7C06">
              <w:rPr>
                <w:b/>
              </w:rPr>
              <w:t xml:space="preserve"> in histopathology at 1.5 year and at 3</w:t>
            </w:r>
            <w:r w:rsidR="005D1FC1">
              <w:rPr>
                <w:b/>
              </w:rPr>
              <w:t xml:space="preserve"> </w:t>
            </w:r>
            <w:r w:rsidRPr="001F7C06">
              <w:rPr>
                <w:b/>
              </w:rPr>
              <w:t>years 7</w:t>
            </w:r>
            <w:r w:rsidR="005D1FC1">
              <w:rPr>
                <w:b/>
              </w:rPr>
              <w:t xml:space="preserve"> </w:t>
            </w:r>
            <w:r w:rsidRPr="001F7C06">
              <w:rPr>
                <w:b/>
              </w:rPr>
              <w:t xml:space="preserve">months follow-up </w:t>
            </w:r>
          </w:p>
          <w:p w:rsidR="009C4D0C" w:rsidRPr="001F7C06" w:rsidRDefault="009C4D0C" w:rsidP="00904BA0">
            <w:pPr>
              <w:pStyle w:val="Tabletext"/>
            </w:pPr>
            <w:r w:rsidRPr="001F7C06">
              <w:t>Test yield</w:t>
            </w:r>
          </w:p>
          <w:p w:rsidR="009C4D0C" w:rsidRPr="00274021" w:rsidRDefault="009C4D0C" w:rsidP="00904BA0">
            <w:pPr>
              <w:pStyle w:val="Tabletext"/>
            </w:pPr>
            <w:r>
              <w:t>Inadequate rates</w:t>
            </w:r>
          </w:p>
        </w:tc>
        <w:tc>
          <w:tcPr>
            <w:tcW w:w="0" w:type="auto"/>
            <w:tcBorders>
              <w:top w:val="single" w:sz="4" w:space="0" w:color="auto"/>
              <w:bottom w:val="single" w:sz="4" w:space="0" w:color="auto"/>
            </w:tcBorders>
          </w:tcPr>
          <w:p w:rsidR="009C4D0C" w:rsidRPr="00327283" w:rsidRDefault="009C4D0C" w:rsidP="00904BA0">
            <w:pPr>
              <w:pStyle w:val="Tabletext"/>
            </w:pPr>
            <w:r w:rsidRPr="00327283">
              <w:t xml:space="preserve">Multiple logistic regression modelling was used adjusting for age and the proportion of ThinPrep/conventional smears unevenly distributed between the screening clinics. </w:t>
            </w:r>
            <w:r w:rsidR="00FF4CCE">
              <w:t xml:space="preserve">The type of method was included as well as age and screening unit. </w:t>
            </w:r>
            <w:r w:rsidRPr="00327283">
              <w:t xml:space="preserve">Uncorrected differences in proportions between groups were calculated with the chi-square test using </w:t>
            </w:r>
            <w:r w:rsidR="005D1FC1">
              <w:t>Stata software. P values were two-</w:t>
            </w:r>
            <w:r w:rsidRPr="00327283">
              <w:t>sided</w:t>
            </w:r>
          </w:p>
        </w:tc>
      </w:tr>
      <w:tr w:rsidR="009C4D0C" w:rsidRPr="000D6DC2" w:rsidTr="000D6DC2">
        <w:tc>
          <w:tcPr>
            <w:tcW w:w="0" w:type="auto"/>
            <w:tcBorders>
              <w:bottom w:val="single" w:sz="4" w:space="0" w:color="auto"/>
            </w:tcBorders>
          </w:tcPr>
          <w:p w:rsidR="009C4D0C" w:rsidRPr="000D6DC2" w:rsidRDefault="009C4D0C" w:rsidP="000D6DC2">
            <w:pPr>
              <w:pStyle w:val="Tabletext"/>
            </w:pPr>
            <w:r w:rsidRPr="000D6DC2">
              <w:t>Source:</w:t>
            </w:r>
          </w:p>
        </w:tc>
        <w:tc>
          <w:tcPr>
            <w:tcW w:w="0" w:type="auto"/>
            <w:gridSpan w:val="2"/>
            <w:tcBorders>
              <w:top w:val="single" w:sz="4" w:space="0" w:color="auto"/>
              <w:bottom w:val="single" w:sz="4" w:space="0" w:color="auto"/>
            </w:tcBorders>
          </w:tcPr>
          <w:p w:rsidR="009C4D0C" w:rsidRPr="000D6DC2" w:rsidRDefault="000D6DC2" w:rsidP="000D6DC2">
            <w:pPr>
              <w:pStyle w:val="Tabletext"/>
            </w:pPr>
            <w:r>
              <w:t xml:space="preserve">Strander </w:t>
            </w:r>
            <w:r w:rsidR="009C4D0C" w:rsidRPr="000D6DC2">
              <w:t>2007, Statistical analysis p. 287 and Discussion p. 289</w:t>
            </w:r>
          </w:p>
        </w:tc>
      </w:tr>
      <w:tr w:rsidR="009C4D0C" w:rsidRPr="00274021" w:rsidTr="000D6DC2">
        <w:tc>
          <w:tcPr>
            <w:tcW w:w="0" w:type="auto"/>
            <w:tcBorders>
              <w:bottom w:val="single" w:sz="4" w:space="0" w:color="auto"/>
            </w:tcBorders>
          </w:tcPr>
          <w:p w:rsidR="009C4D0C" w:rsidRPr="00274021" w:rsidRDefault="009C4D0C" w:rsidP="00904BA0">
            <w:pPr>
              <w:pStyle w:val="Tabletext"/>
            </w:pPr>
            <w:r>
              <w:t>Maccallini 2008</w:t>
            </w:r>
          </w:p>
        </w:tc>
        <w:tc>
          <w:tcPr>
            <w:tcW w:w="0" w:type="auto"/>
            <w:tcBorders>
              <w:top w:val="single" w:sz="4" w:space="0" w:color="auto"/>
              <w:bottom w:val="single" w:sz="4" w:space="0" w:color="auto"/>
            </w:tcBorders>
          </w:tcPr>
          <w:p w:rsidR="009C4D0C" w:rsidRPr="00D169FB" w:rsidRDefault="009C4D0C" w:rsidP="00904BA0">
            <w:pPr>
              <w:pStyle w:val="Tabletext"/>
              <w:rPr>
                <w:bCs/>
              </w:rPr>
            </w:pPr>
            <w:r>
              <w:rPr>
                <w:bCs/>
              </w:rPr>
              <w:t>Test yield</w:t>
            </w:r>
          </w:p>
          <w:p w:rsidR="009C4D0C" w:rsidRDefault="009C4D0C" w:rsidP="00904BA0">
            <w:pPr>
              <w:pStyle w:val="Tabletext"/>
              <w:rPr>
                <w:bCs/>
              </w:rPr>
            </w:pPr>
            <w:r w:rsidRPr="00D169FB">
              <w:rPr>
                <w:bCs/>
              </w:rPr>
              <w:t>Frequency of inadequate</w:t>
            </w:r>
            <w:r>
              <w:rPr>
                <w:bCs/>
              </w:rPr>
              <w:t xml:space="preserve"> reports</w:t>
            </w:r>
          </w:p>
          <w:p w:rsidR="009C4D0C" w:rsidRDefault="009C4D0C" w:rsidP="00904BA0">
            <w:pPr>
              <w:pStyle w:val="Tabletext"/>
              <w:rPr>
                <w:bCs/>
              </w:rPr>
            </w:pPr>
            <w:r>
              <w:rPr>
                <w:bCs/>
              </w:rPr>
              <w:t xml:space="preserve">Referral rate to colposcopy </w:t>
            </w:r>
          </w:p>
          <w:p w:rsidR="009C4D0C" w:rsidRDefault="009C4D0C" w:rsidP="00904BA0">
            <w:pPr>
              <w:pStyle w:val="Tabletext"/>
              <w:rPr>
                <w:bCs/>
              </w:rPr>
            </w:pPr>
            <w:r>
              <w:rPr>
                <w:bCs/>
              </w:rPr>
              <w:t>CIN</w:t>
            </w:r>
            <w:r w:rsidR="00041974">
              <w:rPr>
                <w:bCs/>
              </w:rPr>
              <w:t xml:space="preserve"> </w:t>
            </w:r>
            <w:r>
              <w:rPr>
                <w:bCs/>
              </w:rPr>
              <w:t>2+ detection rate</w:t>
            </w:r>
          </w:p>
          <w:p w:rsidR="009C4D0C" w:rsidRPr="00313BEA" w:rsidRDefault="009C4D0C" w:rsidP="00904BA0">
            <w:pPr>
              <w:pStyle w:val="Tabletext"/>
              <w:rPr>
                <w:bCs/>
              </w:rPr>
            </w:pPr>
            <w:r>
              <w:rPr>
                <w:bCs/>
              </w:rPr>
              <w:t>Referral PPV for CIN</w:t>
            </w:r>
            <w:r w:rsidR="00041974">
              <w:rPr>
                <w:bCs/>
              </w:rPr>
              <w:t xml:space="preserve"> </w:t>
            </w:r>
            <w:r>
              <w:rPr>
                <w:bCs/>
              </w:rPr>
              <w:t>2+</w:t>
            </w:r>
          </w:p>
        </w:tc>
        <w:tc>
          <w:tcPr>
            <w:tcW w:w="0" w:type="auto"/>
            <w:tcBorders>
              <w:top w:val="single" w:sz="4" w:space="0" w:color="auto"/>
              <w:bottom w:val="single" w:sz="4" w:space="0" w:color="auto"/>
            </w:tcBorders>
          </w:tcPr>
          <w:p w:rsidR="00FF4CCE" w:rsidRPr="00FF4CCE" w:rsidRDefault="00FF4CCE" w:rsidP="00FF4CCE">
            <w:pPr>
              <w:pStyle w:val="Tabletext"/>
            </w:pPr>
            <w:r>
              <w:t>Two separate analyses were performed according to intention to treat (comparing by screening arm) or intention to screen (comparing by actually performed sampling methods). As differences in results between intention to treat and intention to screen were quite limited and not statistically significant.</w:t>
            </w:r>
            <w:r>
              <w:br/>
              <w:t>Statistical analysis of observed differences was performed according to the actual tes</w:t>
            </w:r>
            <w:r w:rsidR="005D1FC1">
              <w:t>t performed. CI</w:t>
            </w:r>
            <w:r>
              <w:t>s were c</w:t>
            </w:r>
            <w:r w:rsidR="00041974">
              <w:t>alculated. All P</w:t>
            </w:r>
            <w:r w:rsidR="005D1FC1">
              <w:t xml:space="preserve"> values were two-</w:t>
            </w:r>
            <w:r>
              <w:t>sided</w:t>
            </w:r>
          </w:p>
        </w:tc>
      </w:tr>
      <w:tr w:rsidR="009C4D0C" w:rsidRPr="000D6DC2" w:rsidTr="000D6DC2">
        <w:tc>
          <w:tcPr>
            <w:tcW w:w="0" w:type="auto"/>
            <w:tcBorders>
              <w:bottom w:val="single" w:sz="4" w:space="0" w:color="auto"/>
            </w:tcBorders>
          </w:tcPr>
          <w:p w:rsidR="009C4D0C" w:rsidRPr="000D6DC2" w:rsidRDefault="009C4D0C" w:rsidP="000D6DC2">
            <w:pPr>
              <w:pStyle w:val="Tabletext"/>
            </w:pPr>
            <w:r w:rsidRPr="000D6DC2">
              <w:t>Source:</w:t>
            </w:r>
          </w:p>
        </w:tc>
        <w:tc>
          <w:tcPr>
            <w:tcW w:w="0" w:type="auto"/>
            <w:gridSpan w:val="2"/>
            <w:tcBorders>
              <w:top w:val="single" w:sz="4" w:space="0" w:color="auto"/>
              <w:bottom w:val="single" w:sz="4" w:space="0" w:color="auto"/>
            </w:tcBorders>
          </w:tcPr>
          <w:p w:rsidR="009C4D0C" w:rsidRPr="000D6DC2" w:rsidRDefault="000D6DC2" w:rsidP="000D6DC2">
            <w:pPr>
              <w:pStyle w:val="Tabletext"/>
            </w:pPr>
            <w:r>
              <w:t xml:space="preserve">Maccallini </w:t>
            </w:r>
            <w:r w:rsidR="009C4D0C" w:rsidRPr="000D6DC2">
              <w:t>2008</w:t>
            </w:r>
            <w:r>
              <w:t>, M</w:t>
            </w:r>
            <w:r w:rsidR="009C4D0C" w:rsidRPr="000D6DC2">
              <w:t>aterials and methods p.570</w:t>
            </w:r>
          </w:p>
        </w:tc>
      </w:tr>
      <w:tr w:rsidR="009C4D0C" w:rsidRPr="00274021" w:rsidTr="000D6DC2">
        <w:tc>
          <w:tcPr>
            <w:tcW w:w="0" w:type="auto"/>
            <w:tcBorders>
              <w:bottom w:val="single" w:sz="4" w:space="0" w:color="auto"/>
            </w:tcBorders>
          </w:tcPr>
          <w:p w:rsidR="009C4D0C" w:rsidRPr="00274021" w:rsidRDefault="009C4D0C" w:rsidP="00904BA0">
            <w:pPr>
              <w:pStyle w:val="Tabletext"/>
            </w:pPr>
            <w:r>
              <w:t>Obwegeser 2001</w:t>
            </w:r>
          </w:p>
        </w:tc>
        <w:tc>
          <w:tcPr>
            <w:tcW w:w="0" w:type="auto"/>
            <w:tcBorders>
              <w:top w:val="single" w:sz="4" w:space="0" w:color="auto"/>
              <w:bottom w:val="single" w:sz="4" w:space="0" w:color="auto"/>
            </w:tcBorders>
          </w:tcPr>
          <w:p w:rsidR="009C4D0C" w:rsidRDefault="009C4D0C" w:rsidP="00904BA0">
            <w:pPr>
              <w:pStyle w:val="Tabletext"/>
            </w:pPr>
            <w:r>
              <w:t>T</w:t>
            </w:r>
            <w:r w:rsidRPr="00256036">
              <w:t>est yield</w:t>
            </w:r>
          </w:p>
          <w:p w:rsidR="009C4D0C" w:rsidRDefault="009C4D0C" w:rsidP="00904BA0">
            <w:pPr>
              <w:pStyle w:val="Tabletext"/>
            </w:pPr>
            <w:r>
              <w:t>Unsatisfactory rates</w:t>
            </w:r>
            <w:r w:rsidRPr="00256036">
              <w:t xml:space="preserve"> </w:t>
            </w:r>
          </w:p>
          <w:p w:rsidR="009C4D0C" w:rsidRDefault="009C4D0C" w:rsidP="00904BA0">
            <w:pPr>
              <w:pStyle w:val="Tabletext"/>
            </w:pPr>
            <w:r>
              <w:t>Specimen adequacy</w:t>
            </w:r>
          </w:p>
          <w:p w:rsidR="009C4D0C" w:rsidRPr="00274021" w:rsidRDefault="009C4D0C" w:rsidP="00904BA0">
            <w:pPr>
              <w:pStyle w:val="Tabletext"/>
            </w:pPr>
            <w:r>
              <w:t>Detection of HSIL</w:t>
            </w:r>
          </w:p>
        </w:tc>
        <w:tc>
          <w:tcPr>
            <w:tcW w:w="0" w:type="auto"/>
            <w:tcBorders>
              <w:top w:val="single" w:sz="4" w:space="0" w:color="auto"/>
              <w:bottom w:val="single" w:sz="4" w:space="0" w:color="auto"/>
            </w:tcBorders>
          </w:tcPr>
          <w:p w:rsidR="009C4D0C" w:rsidRPr="00274021" w:rsidRDefault="009C4D0C" w:rsidP="00904BA0">
            <w:pPr>
              <w:pStyle w:val="Tabletext"/>
            </w:pPr>
            <w:r>
              <w:t>The proportion of the two patient populations that were abnormal were compared using the two-sample test for binomial proportions</w:t>
            </w:r>
          </w:p>
        </w:tc>
      </w:tr>
      <w:tr w:rsidR="009C4D0C" w:rsidRPr="000D6DC2" w:rsidTr="000D6DC2">
        <w:tc>
          <w:tcPr>
            <w:tcW w:w="0" w:type="auto"/>
            <w:tcBorders>
              <w:bottom w:val="single" w:sz="4" w:space="0" w:color="auto"/>
            </w:tcBorders>
          </w:tcPr>
          <w:p w:rsidR="009C4D0C" w:rsidRPr="000D6DC2" w:rsidRDefault="009C4D0C" w:rsidP="000D6DC2">
            <w:pPr>
              <w:pStyle w:val="Tabletext"/>
            </w:pPr>
            <w:r w:rsidRPr="000D6DC2">
              <w:t>Source</w:t>
            </w:r>
          </w:p>
        </w:tc>
        <w:tc>
          <w:tcPr>
            <w:tcW w:w="0" w:type="auto"/>
            <w:gridSpan w:val="2"/>
            <w:tcBorders>
              <w:top w:val="single" w:sz="4" w:space="0" w:color="auto"/>
              <w:bottom w:val="single" w:sz="4" w:space="0" w:color="auto"/>
            </w:tcBorders>
          </w:tcPr>
          <w:p w:rsidR="009C4D0C" w:rsidRPr="000D6DC2" w:rsidRDefault="000D6DC2" w:rsidP="000D6DC2">
            <w:pPr>
              <w:pStyle w:val="Tabletext"/>
            </w:pPr>
            <w:r>
              <w:t xml:space="preserve">Obwegeser </w:t>
            </w:r>
            <w:r w:rsidR="009C4D0C" w:rsidRPr="000D6DC2">
              <w:t>2001</w:t>
            </w:r>
          </w:p>
        </w:tc>
      </w:tr>
      <w:tr w:rsidR="009C4D0C" w:rsidRPr="00274021" w:rsidTr="000D6DC2">
        <w:tc>
          <w:tcPr>
            <w:tcW w:w="0" w:type="auto"/>
            <w:tcBorders>
              <w:bottom w:val="single" w:sz="4" w:space="0" w:color="auto"/>
            </w:tcBorders>
          </w:tcPr>
          <w:p w:rsidR="009C4D0C" w:rsidRDefault="009C4D0C" w:rsidP="00904BA0">
            <w:pPr>
              <w:pStyle w:val="Tabletext"/>
            </w:pPr>
            <w:r>
              <w:t>RHINE-SAAR Study</w:t>
            </w:r>
          </w:p>
        </w:tc>
        <w:tc>
          <w:tcPr>
            <w:tcW w:w="0" w:type="auto"/>
            <w:tcBorders>
              <w:top w:val="single" w:sz="4" w:space="0" w:color="auto"/>
              <w:bottom w:val="single" w:sz="4" w:space="0" w:color="auto"/>
            </w:tcBorders>
          </w:tcPr>
          <w:p w:rsidR="009C4D0C" w:rsidRPr="00274021" w:rsidRDefault="009C4D0C" w:rsidP="00904BA0">
            <w:pPr>
              <w:pStyle w:val="Tabletext"/>
            </w:pPr>
            <w:r>
              <w:t>Detection of</w:t>
            </w:r>
            <w:r w:rsidR="000D6DC2">
              <w:t xml:space="preserve"> histologically confirmed CIN 2+</w:t>
            </w:r>
            <w:r>
              <w:t xml:space="preserve"> lesions</w:t>
            </w:r>
          </w:p>
        </w:tc>
        <w:tc>
          <w:tcPr>
            <w:tcW w:w="0" w:type="auto"/>
            <w:tcBorders>
              <w:top w:val="single" w:sz="4" w:space="0" w:color="auto"/>
              <w:bottom w:val="single" w:sz="4" w:space="0" w:color="auto"/>
            </w:tcBorders>
          </w:tcPr>
          <w:p w:rsidR="009C4D0C" w:rsidRPr="00274021" w:rsidRDefault="009C4D0C" w:rsidP="00904BA0">
            <w:pPr>
              <w:pStyle w:val="Tabletext"/>
            </w:pPr>
            <w:r>
              <w:t>NR</w:t>
            </w:r>
          </w:p>
        </w:tc>
      </w:tr>
      <w:tr w:rsidR="009C4D0C" w:rsidRPr="000D6DC2" w:rsidTr="000D6DC2">
        <w:tc>
          <w:tcPr>
            <w:tcW w:w="0" w:type="auto"/>
            <w:tcBorders>
              <w:bottom w:val="single" w:sz="4" w:space="0" w:color="auto"/>
            </w:tcBorders>
          </w:tcPr>
          <w:p w:rsidR="009C4D0C" w:rsidRPr="000D6DC2" w:rsidRDefault="009C4D0C" w:rsidP="000D6DC2">
            <w:pPr>
              <w:pStyle w:val="Tabletext"/>
            </w:pPr>
            <w:r w:rsidRPr="000D6DC2">
              <w:t>Source:</w:t>
            </w:r>
          </w:p>
        </w:tc>
        <w:tc>
          <w:tcPr>
            <w:tcW w:w="0" w:type="auto"/>
            <w:gridSpan w:val="2"/>
            <w:tcBorders>
              <w:top w:val="single" w:sz="4" w:space="0" w:color="auto"/>
              <w:bottom w:val="single" w:sz="4" w:space="0" w:color="auto"/>
            </w:tcBorders>
          </w:tcPr>
          <w:p w:rsidR="009C4D0C" w:rsidRPr="000D6DC2" w:rsidRDefault="000D6DC2" w:rsidP="000D6DC2">
            <w:pPr>
              <w:pStyle w:val="Tabletext"/>
            </w:pPr>
            <w:r>
              <w:t xml:space="preserve">Ikenberg </w:t>
            </w:r>
            <w:r w:rsidR="009C4D0C" w:rsidRPr="000D6DC2">
              <w:t>2010</w:t>
            </w:r>
            <w:r>
              <w:t xml:space="preserve">, </w:t>
            </w:r>
            <w:r w:rsidR="009C4D0C" w:rsidRPr="000D6DC2">
              <w:t>Eurogin abstract</w:t>
            </w:r>
          </w:p>
        </w:tc>
      </w:tr>
      <w:tr w:rsidR="009C4D0C" w:rsidRPr="00274021" w:rsidTr="000D6DC2">
        <w:tc>
          <w:tcPr>
            <w:tcW w:w="0" w:type="auto"/>
            <w:gridSpan w:val="3"/>
            <w:tcBorders>
              <w:top w:val="single" w:sz="4" w:space="0" w:color="auto"/>
              <w:left w:val="single" w:sz="4" w:space="0" w:color="auto"/>
              <w:bottom w:val="single" w:sz="4" w:space="0" w:color="auto"/>
              <w:right w:val="single" w:sz="4" w:space="0" w:color="auto"/>
            </w:tcBorders>
            <w:shd w:val="clear" w:color="auto" w:fill="D9D9D9"/>
          </w:tcPr>
          <w:p w:rsidR="009C4D0C" w:rsidRPr="00274021" w:rsidRDefault="009C4D0C" w:rsidP="00904BA0">
            <w:pPr>
              <w:pStyle w:val="Tableheading"/>
            </w:pPr>
            <w:r>
              <w:t>Manual ve</w:t>
            </w:r>
            <w:r w:rsidR="000D6DC2">
              <w:t>rsus a</w:t>
            </w:r>
            <w:r>
              <w:t>utomated</w:t>
            </w:r>
          </w:p>
        </w:tc>
      </w:tr>
      <w:tr w:rsidR="009C4D0C" w:rsidRPr="00274021" w:rsidTr="000D6DC2">
        <w:tc>
          <w:tcPr>
            <w:tcW w:w="0" w:type="auto"/>
            <w:tcBorders>
              <w:top w:val="single" w:sz="4" w:space="0" w:color="auto"/>
            </w:tcBorders>
          </w:tcPr>
          <w:p w:rsidR="009C4D0C" w:rsidRPr="00274021" w:rsidRDefault="009C4D0C" w:rsidP="00904BA0">
            <w:pPr>
              <w:pStyle w:val="Tabletext"/>
            </w:pPr>
            <w:r>
              <w:t>MAVARIC Study</w:t>
            </w:r>
          </w:p>
        </w:tc>
        <w:tc>
          <w:tcPr>
            <w:tcW w:w="0" w:type="auto"/>
            <w:tcBorders>
              <w:top w:val="single" w:sz="4" w:space="0" w:color="auto"/>
              <w:bottom w:val="single" w:sz="4" w:space="0" w:color="auto"/>
            </w:tcBorders>
          </w:tcPr>
          <w:p w:rsidR="009C4D0C" w:rsidRDefault="009C4D0C" w:rsidP="00904BA0">
            <w:pPr>
              <w:pStyle w:val="Tabletext"/>
              <w:rPr>
                <w:b/>
              </w:rPr>
            </w:pPr>
            <w:r w:rsidRPr="00327283">
              <w:rPr>
                <w:b/>
              </w:rPr>
              <w:t>Sensitivity of automation-assisted reading relative to manual reading for th</w:t>
            </w:r>
            <w:r w:rsidR="000D6DC2">
              <w:rPr>
                <w:b/>
              </w:rPr>
              <w:t>e detection of underlying CIN 2+</w:t>
            </w:r>
          </w:p>
          <w:p w:rsidR="009C4D0C" w:rsidRDefault="009C4D0C" w:rsidP="00904BA0">
            <w:pPr>
              <w:pStyle w:val="Tabletext"/>
            </w:pPr>
            <w:r>
              <w:t xml:space="preserve">Relative specificity </w:t>
            </w:r>
          </w:p>
          <w:p w:rsidR="009C4D0C" w:rsidRDefault="009C4D0C" w:rsidP="00904BA0">
            <w:pPr>
              <w:pStyle w:val="Tabletext"/>
            </w:pPr>
            <w:r w:rsidRPr="00327283">
              <w:t xml:space="preserve">Sensitivity of automation-assisted reading relative to manual reading for the detection of underlying </w:t>
            </w:r>
            <w:r>
              <w:t>CIN</w:t>
            </w:r>
            <w:r w:rsidR="000D6DC2">
              <w:t xml:space="preserve"> </w:t>
            </w:r>
            <w:r>
              <w:t>3+</w:t>
            </w:r>
          </w:p>
          <w:p w:rsidR="009C4D0C" w:rsidRDefault="009C4D0C" w:rsidP="00904BA0">
            <w:pPr>
              <w:pStyle w:val="Tabletext"/>
            </w:pPr>
            <w:r>
              <w:t xml:space="preserve">Sensitivity of the two automated technologies </w:t>
            </w:r>
            <w:r>
              <w:lastRenderedPageBreak/>
              <w:t>relative to manual screening and to each other</w:t>
            </w:r>
          </w:p>
          <w:p w:rsidR="009C4D0C" w:rsidRPr="00327283" w:rsidRDefault="009C4D0C" w:rsidP="00904BA0">
            <w:pPr>
              <w:pStyle w:val="Tabletext"/>
            </w:pPr>
            <w:r>
              <w:t>Reliability of slides defined as needing no further review to exclude underlying CIN</w:t>
            </w:r>
            <w:r w:rsidR="000D6DC2">
              <w:t xml:space="preserve"> </w:t>
            </w:r>
            <w:r>
              <w:t>2+</w:t>
            </w:r>
          </w:p>
        </w:tc>
        <w:tc>
          <w:tcPr>
            <w:tcW w:w="0" w:type="auto"/>
            <w:tcBorders>
              <w:top w:val="single" w:sz="4" w:space="0" w:color="auto"/>
              <w:bottom w:val="single" w:sz="4" w:space="0" w:color="auto"/>
            </w:tcBorders>
          </w:tcPr>
          <w:p w:rsidR="009C4D0C" w:rsidRPr="001E5B69" w:rsidRDefault="009C4D0C" w:rsidP="001B4D68">
            <w:pPr>
              <w:pStyle w:val="Tabletext"/>
            </w:pPr>
            <w:r>
              <w:lastRenderedPageBreak/>
              <w:t>Absolute sensitivity of manual reading or automated reading could not be calculated because the number of cases of CIN</w:t>
            </w:r>
            <w:r w:rsidR="000D6DC2">
              <w:t xml:space="preserve"> </w:t>
            </w:r>
            <w:r>
              <w:t>2+ in samples negative according to both methods was unknown. However, an estimation of the ratio of the two sensitivities (the missing count cancels out) and an assessment of confidence intervals and statistical significance was possible. The ratio is the number of samples of CIN</w:t>
            </w:r>
            <w:r w:rsidR="000D6DC2">
              <w:t xml:space="preserve"> </w:t>
            </w:r>
            <w:r>
              <w:t>2+ that were screen positive with automated screening divided by the number of samples of CIN</w:t>
            </w:r>
            <w:r w:rsidR="000D6DC2">
              <w:t xml:space="preserve"> </w:t>
            </w:r>
            <w:r>
              <w:t xml:space="preserve">2+ that tested positive with manual screening. Similarly, relative specificity was calculated roughly as the ratio of the number of samples of </w:t>
            </w:r>
            <w:r w:rsidR="001B4D68">
              <w:t>CIN</w:t>
            </w:r>
            <w:r>
              <w:t xml:space="preserve"> of grade 1 or less that were negative on automated reading, to the number that were negative on manual reading, on the assumption that the number of samples of CIN</w:t>
            </w:r>
            <w:r w:rsidR="000D6DC2">
              <w:t xml:space="preserve"> </w:t>
            </w:r>
            <w:r>
              <w:t>2+ not detected by either screening method is zero</w:t>
            </w:r>
          </w:p>
        </w:tc>
      </w:tr>
      <w:tr w:rsidR="009C4D0C" w:rsidRPr="000D6DC2" w:rsidTr="000D6DC2">
        <w:tc>
          <w:tcPr>
            <w:tcW w:w="0" w:type="auto"/>
            <w:tcBorders>
              <w:top w:val="single" w:sz="4" w:space="0" w:color="auto"/>
            </w:tcBorders>
          </w:tcPr>
          <w:p w:rsidR="009C4D0C" w:rsidRPr="000D6DC2" w:rsidRDefault="009C4D0C" w:rsidP="000D6DC2">
            <w:pPr>
              <w:pStyle w:val="Tabletext"/>
            </w:pPr>
            <w:r w:rsidRPr="000D6DC2">
              <w:lastRenderedPageBreak/>
              <w:t>Source:</w:t>
            </w:r>
          </w:p>
        </w:tc>
        <w:tc>
          <w:tcPr>
            <w:tcW w:w="0" w:type="auto"/>
            <w:gridSpan w:val="2"/>
            <w:tcBorders>
              <w:top w:val="single" w:sz="4" w:space="0" w:color="auto"/>
              <w:bottom w:val="single" w:sz="4" w:space="0" w:color="auto"/>
            </w:tcBorders>
          </w:tcPr>
          <w:p w:rsidR="009C4D0C" w:rsidRPr="000D6DC2" w:rsidRDefault="000D6DC2" w:rsidP="000D6DC2">
            <w:pPr>
              <w:pStyle w:val="Tabletext"/>
            </w:pPr>
            <w:r>
              <w:t xml:space="preserve">Kitchener </w:t>
            </w:r>
            <w:r w:rsidR="009C4D0C" w:rsidRPr="000D6DC2">
              <w:t>2011</w:t>
            </w:r>
            <w:r>
              <w:t>, Procedures p.58;</w:t>
            </w:r>
            <w:r w:rsidR="009C4D0C" w:rsidRPr="000D6DC2">
              <w:t xml:space="preserve"> statistical analyses p.59</w:t>
            </w:r>
          </w:p>
        </w:tc>
      </w:tr>
      <w:tr w:rsidR="009C4D0C" w:rsidRPr="00274021" w:rsidTr="000D6DC2">
        <w:tc>
          <w:tcPr>
            <w:tcW w:w="0" w:type="auto"/>
            <w:tcBorders>
              <w:top w:val="single" w:sz="4" w:space="0" w:color="auto"/>
            </w:tcBorders>
          </w:tcPr>
          <w:p w:rsidR="009C4D0C" w:rsidRDefault="009C4D0C" w:rsidP="00904BA0">
            <w:pPr>
              <w:pStyle w:val="Tabletext"/>
            </w:pPr>
            <w:r>
              <w:t>Palmer 2012</w:t>
            </w:r>
          </w:p>
        </w:tc>
        <w:tc>
          <w:tcPr>
            <w:tcW w:w="0" w:type="auto"/>
            <w:tcBorders>
              <w:top w:val="single" w:sz="4" w:space="0" w:color="auto"/>
              <w:bottom w:val="single" w:sz="4" w:space="0" w:color="auto"/>
            </w:tcBorders>
          </w:tcPr>
          <w:p w:rsidR="009C4D0C" w:rsidRDefault="009C4D0C" w:rsidP="00904BA0">
            <w:pPr>
              <w:pStyle w:val="Tabletext"/>
            </w:pPr>
            <w:r>
              <w:t>Test yield</w:t>
            </w:r>
          </w:p>
          <w:p w:rsidR="009C4D0C" w:rsidRDefault="009C4D0C" w:rsidP="00904BA0">
            <w:pPr>
              <w:pStyle w:val="Tabletext"/>
            </w:pPr>
            <w:r>
              <w:t>Inadequate rates</w:t>
            </w:r>
          </w:p>
          <w:p w:rsidR="009C4D0C" w:rsidRDefault="009C4D0C" w:rsidP="00904BA0">
            <w:pPr>
              <w:pStyle w:val="Tabletext"/>
            </w:pPr>
            <w:r>
              <w:t>Sensitivity, specificity and predictive value for final cytology report</w:t>
            </w:r>
          </w:p>
          <w:p w:rsidR="009C4D0C" w:rsidRDefault="009C4D0C" w:rsidP="00904BA0">
            <w:pPr>
              <w:pStyle w:val="Tabletext"/>
            </w:pPr>
            <w:r>
              <w:t>Correlation between cytology and histology (CIN</w:t>
            </w:r>
            <w:r w:rsidR="000D6DC2">
              <w:t xml:space="preserve"> </w:t>
            </w:r>
            <w:r>
              <w:t>2+ and CIN</w:t>
            </w:r>
            <w:r w:rsidR="000D6DC2">
              <w:t xml:space="preserve"> </w:t>
            </w:r>
            <w:r>
              <w:t>3+ detection rates)</w:t>
            </w:r>
          </w:p>
          <w:p w:rsidR="009C4D0C" w:rsidRPr="00274021" w:rsidRDefault="009C4D0C" w:rsidP="00904BA0">
            <w:pPr>
              <w:pStyle w:val="Tabletext"/>
            </w:pPr>
            <w:r>
              <w:t>Productivity data</w:t>
            </w:r>
          </w:p>
        </w:tc>
        <w:tc>
          <w:tcPr>
            <w:tcW w:w="0" w:type="auto"/>
            <w:tcBorders>
              <w:top w:val="single" w:sz="4" w:space="0" w:color="auto"/>
              <w:bottom w:val="single" w:sz="4" w:space="0" w:color="auto"/>
            </w:tcBorders>
          </w:tcPr>
          <w:p w:rsidR="00FF4CCE" w:rsidRDefault="005D1FC1" w:rsidP="007508D9">
            <w:pPr>
              <w:pStyle w:val="Tabletext"/>
            </w:pPr>
            <w:r>
              <w:t>95% CI</w:t>
            </w:r>
            <w:r w:rsidR="009C4D0C">
              <w:t>s reported for th</w:t>
            </w:r>
            <w:r w:rsidR="000B10C9">
              <w:t>e sum of all 6 laboratories was</w:t>
            </w:r>
            <w:r w:rsidR="009C4D0C">
              <w:t xml:space="preserve"> calc</w:t>
            </w:r>
            <w:r>
              <w:t xml:space="preserve">ulated using Wilson’s method. P </w:t>
            </w:r>
            <w:r w:rsidR="009C4D0C">
              <w:t>values are two-tailed Fisher’s Exact tests except</w:t>
            </w:r>
            <w:r w:rsidR="00FF4CCE">
              <w:t xml:space="preserve"> where stated otherwise.</w:t>
            </w:r>
          </w:p>
          <w:p w:rsidR="000D6DC2" w:rsidRDefault="00FF4CCE" w:rsidP="00FF4CCE">
            <w:pPr>
              <w:pStyle w:val="Tabletext"/>
            </w:pPr>
            <w:r>
              <w:t>Sensitivity, specificity and false-negative rates using the final cytology report as the outcome,</w:t>
            </w:r>
            <w:r w:rsidR="005D1FC1">
              <w:t xml:space="preserve"> and PPV</w:t>
            </w:r>
            <w:r>
              <w:t xml:space="preserve"> using histological biopsy as outcome are calculated according to National Health Service Cervi</w:t>
            </w:r>
            <w:r w:rsidR="005D1FC1">
              <w:t xml:space="preserve">cal Screening Programme </w:t>
            </w:r>
            <w:r>
              <w:t xml:space="preserve">definitions from data </w:t>
            </w:r>
            <w:r w:rsidR="005D1FC1">
              <w:t>collected automatically</w:t>
            </w:r>
            <w:r>
              <w:t xml:space="preserve">. </w:t>
            </w:r>
          </w:p>
          <w:p w:rsidR="009C4D0C" w:rsidRPr="001E5B69" w:rsidRDefault="00FF4CCE" w:rsidP="00FF4CCE">
            <w:pPr>
              <w:pStyle w:val="Tabletext"/>
            </w:pPr>
            <w:r>
              <w:t>PPV is the percentage of cases referred for high-grade cytological abnormalities (moderate dyskaryosis or worse) tha</w:t>
            </w:r>
            <w:r w:rsidR="005D1FC1">
              <w:t xml:space="preserve">t are found on biopsy to have CIN 2 or </w:t>
            </w:r>
            <w:r>
              <w:t>CIN</w:t>
            </w:r>
            <w:r w:rsidR="000D6DC2">
              <w:t xml:space="preserve"> </w:t>
            </w:r>
            <w:r w:rsidR="005D1FC1">
              <w:t>2+</w:t>
            </w:r>
            <w:r>
              <w:t xml:space="preserve">; the </w:t>
            </w:r>
            <w:r w:rsidR="005D1FC1">
              <w:t xml:space="preserve">abnormal predictive value </w:t>
            </w:r>
            <w:r>
              <w:t>is the percentage referred with borderline changes or mild dyskaryosis that have CIN</w:t>
            </w:r>
            <w:r w:rsidR="000D6DC2">
              <w:t xml:space="preserve"> </w:t>
            </w:r>
            <w:r>
              <w:t>2+;</w:t>
            </w:r>
            <w:r w:rsidR="005D1FC1">
              <w:t xml:space="preserve"> and the total predictive value</w:t>
            </w:r>
            <w:r w:rsidR="000D6DC2">
              <w:t xml:space="preserve"> is the percentage of all women referred to colposcopy who</w:t>
            </w:r>
            <w:r>
              <w:t xml:space="preserve"> have CIN</w:t>
            </w:r>
            <w:r w:rsidR="000D6DC2">
              <w:t xml:space="preserve"> </w:t>
            </w:r>
            <w:r>
              <w:t>2+. Persistent inadequate LBC preparations were not included in the calculations</w:t>
            </w:r>
          </w:p>
        </w:tc>
      </w:tr>
      <w:tr w:rsidR="009C4D0C" w:rsidRPr="000D6DC2" w:rsidTr="000D6DC2">
        <w:tc>
          <w:tcPr>
            <w:tcW w:w="0" w:type="auto"/>
            <w:tcBorders>
              <w:right w:val="single" w:sz="4" w:space="0" w:color="auto"/>
            </w:tcBorders>
          </w:tcPr>
          <w:p w:rsidR="009C4D0C" w:rsidRPr="000D6DC2" w:rsidRDefault="009C4D0C" w:rsidP="000D6DC2">
            <w:pPr>
              <w:pStyle w:val="Tabletext"/>
            </w:pPr>
            <w:r w:rsidRPr="000D6DC2">
              <w:t>Source:</w:t>
            </w:r>
          </w:p>
        </w:tc>
        <w:tc>
          <w:tcPr>
            <w:tcW w:w="0" w:type="auto"/>
            <w:tcBorders>
              <w:top w:val="single" w:sz="4" w:space="0" w:color="auto"/>
              <w:left w:val="single" w:sz="4" w:space="0" w:color="auto"/>
              <w:bottom w:val="single" w:sz="4" w:space="0" w:color="auto"/>
              <w:right w:val="nil"/>
            </w:tcBorders>
          </w:tcPr>
          <w:p w:rsidR="009C4D0C" w:rsidRPr="000D6DC2" w:rsidRDefault="000D6DC2" w:rsidP="000D6DC2">
            <w:pPr>
              <w:pStyle w:val="Tabletext"/>
            </w:pPr>
            <w:r>
              <w:t xml:space="preserve">Palmer </w:t>
            </w:r>
            <w:r w:rsidR="009C4D0C" w:rsidRPr="000D6DC2">
              <w:t>2012</w:t>
            </w:r>
            <w:r w:rsidR="00FF4CCE" w:rsidRPr="000D6DC2">
              <w:t xml:space="preserve"> p</w:t>
            </w:r>
            <w:r>
              <w:t>p.3–</w:t>
            </w:r>
            <w:r w:rsidR="00FF4CCE" w:rsidRPr="000D6DC2">
              <w:t>4</w:t>
            </w:r>
          </w:p>
        </w:tc>
        <w:tc>
          <w:tcPr>
            <w:tcW w:w="0" w:type="auto"/>
            <w:tcBorders>
              <w:top w:val="single" w:sz="4" w:space="0" w:color="auto"/>
              <w:left w:val="nil"/>
              <w:bottom w:val="single" w:sz="4" w:space="0" w:color="auto"/>
              <w:right w:val="single" w:sz="4" w:space="0" w:color="auto"/>
            </w:tcBorders>
          </w:tcPr>
          <w:p w:rsidR="009C4D0C" w:rsidRPr="000D6DC2" w:rsidRDefault="009C4D0C" w:rsidP="000D6DC2">
            <w:pPr>
              <w:pStyle w:val="Tabletext"/>
            </w:pPr>
          </w:p>
        </w:tc>
      </w:tr>
    </w:tbl>
    <w:p w:rsidR="005D1FC1" w:rsidRDefault="009C4D0C" w:rsidP="005D1FC1">
      <w:pPr>
        <w:pStyle w:val="Tabletext"/>
      </w:pPr>
      <w:r w:rsidRPr="005D1FC1">
        <w:t xml:space="preserve">Abbreviations: </w:t>
      </w:r>
      <w:r w:rsidR="005D1FC1" w:rsidRPr="005D1FC1">
        <w:t>ASCUS +, atypical squamous cells of undetermined significance; CI, confidence interval; CIN,</w:t>
      </w:r>
      <w:r w:rsidR="005D1FC1">
        <w:t xml:space="preserve"> cervical </w:t>
      </w:r>
      <w:r w:rsidR="005D1FC1" w:rsidRPr="00FA5639">
        <w:t xml:space="preserve">intraepithelial neoplasia; </w:t>
      </w:r>
      <w:r w:rsidR="000B10C9" w:rsidRPr="00FA5639">
        <w:t xml:space="preserve">DR, </w:t>
      </w:r>
      <w:r w:rsidR="00FA5639" w:rsidRPr="00FA5639">
        <w:t>detection rate</w:t>
      </w:r>
      <w:r w:rsidR="000B10C9" w:rsidRPr="00FA5639">
        <w:t xml:space="preserve">; </w:t>
      </w:r>
      <w:r w:rsidR="005D1FC1" w:rsidRPr="00FA5639">
        <w:t>HPV</w:t>
      </w:r>
      <w:r w:rsidR="005D1FC1">
        <w:t>, human papillomavirus; HSIL, high-grade squamous intraepithelial lesion; LBC, liquid-based cytology; NR, not reported, PPV, positive predictive value; RR, rate ratio; SE, standard error</w:t>
      </w:r>
    </w:p>
    <w:p w:rsidR="008353DC" w:rsidRDefault="008353DC" w:rsidP="00041974">
      <w:pPr>
        <w:pStyle w:val="Tabletext"/>
      </w:pPr>
      <w:r>
        <w:t xml:space="preserve">Note: items reported in </w:t>
      </w:r>
      <w:r w:rsidRPr="008353DC">
        <w:rPr>
          <w:b/>
        </w:rPr>
        <w:t>bold</w:t>
      </w:r>
      <w:r>
        <w:t xml:space="preserve"> represent specified primary outcomes</w:t>
      </w:r>
    </w:p>
    <w:p w:rsidR="008A626E" w:rsidRDefault="008A626E" w:rsidP="009C4D0C">
      <w:pPr>
        <w:pStyle w:val="Heading40"/>
      </w:pPr>
      <w:r>
        <w:t>Minimum clinically important difference (MCID)</w:t>
      </w:r>
    </w:p>
    <w:p w:rsidR="008A626E" w:rsidRPr="008A626E" w:rsidRDefault="005D1FC1" w:rsidP="00BA25B5">
      <w:r>
        <w:t>The RCTs</w:t>
      </w:r>
      <w:r w:rsidR="008A626E" w:rsidRPr="008A626E">
        <w:t xml:space="preserve"> tell us the relative accuracy of an experimental </w:t>
      </w:r>
      <w:r w:rsidR="00622FF8">
        <w:t>screening</w:t>
      </w:r>
      <w:r w:rsidR="00622FF8" w:rsidRPr="008A626E">
        <w:t xml:space="preserve"> </w:t>
      </w:r>
      <w:r w:rsidR="008A626E" w:rsidRPr="008A626E">
        <w:t xml:space="preserve">intervention compared to a reference standard, </w:t>
      </w:r>
      <w:r w:rsidR="000D6DC2">
        <w:t xml:space="preserve">but </w:t>
      </w:r>
      <w:r w:rsidR="008A626E" w:rsidRPr="008A626E">
        <w:t>they do not inform us about whether the differences in accuracy are clinically important, or the degree of clinical importance (in other words, the impact on patient outcomes).</w:t>
      </w:r>
      <w:r w:rsidR="000D6DC2">
        <w:t xml:space="preserve"> </w:t>
      </w:r>
      <w:r w:rsidR="00BA25B5">
        <w:t>CIN</w:t>
      </w:r>
      <w:r w:rsidR="000D6DC2">
        <w:t xml:space="preserve"> </w:t>
      </w:r>
      <w:r w:rsidR="00BA25B5">
        <w:t>3 is the direct precursor of invasive cancer and therefore, reduced incidence of CIN</w:t>
      </w:r>
      <w:r w:rsidR="000D6DC2">
        <w:t xml:space="preserve"> </w:t>
      </w:r>
      <w:r w:rsidR="00BA25B5">
        <w:t>3+ is considered as an acceptable a proxy outcome of trials evaluating new p</w:t>
      </w:r>
      <w:r w:rsidR="000D6DC2">
        <w:t xml:space="preserve">reventive strategies (Arbyn </w:t>
      </w:r>
      <w:r w:rsidR="00BA25B5">
        <w:t>2009). CIN</w:t>
      </w:r>
      <w:r w:rsidR="000D6DC2">
        <w:t xml:space="preserve"> </w:t>
      </w:r>
      <w:r w:rsidR="00BA25B5">
        <w:t>1 is the histopathologic manifestation of a carcinogenic or non</w:t>
      </w:r>
      <w:r>
        <w:t>-</w:t>
      </w:r>
      <w:r w:rsidR="00BA25B5">
        <w:t>carcinogenic HPV infection that rarely progresses on a per event basis to cancer. Its detection is not clinically useful, possibly leading to over-treatment, and should not be targe</w:t>
      </w:r>
      <w:r w:rsidR="000D6DC2">
        <w:t>ted by any screening test (Arbyn</w:t>
      </w:r>
      <w:r w:rsidR="00BA25B5">
        <w:t xml:space="preserve"> 2009). CIN</w:t>
      </w:r>
      <w:r w:rsidR="000D6DC2">
        <w:t xml:space="preserve"> </w:t>
      </w:r>
      <w:r w:rsidR="00BA25B5">
        <w:t>2</w:t>
      </w:r>
      <w:r w:rsidR="000D6DC2">
        <w:t>,</w:t>
      </w:r>
      <w:r w:rsidR="00BA25B5">
        <w:t xml:space="preserve"> and especially CIN</w:t>
      </w:r>
      <w:r w:rsidR="000D6DC2">
        <w:t xml:space="preserve"> </w:t>
      </w:r>
      <w:r w:rsidR="00BA25B5">
        <w:t>3</w:t>
      </w:r>
      <w:r w:rsidR="000D6DC2">
        <w:t>,</w:t>
      </w:r>
      <w:r w:rsidR="00BA25B5">
        <w:t xml:space="preserve"> indicate a considerable </w:t>
      </w:r>
      <w:r w:rsidR="00BA25B5" w:rsidRPr="00BA25B5">
        <w:t>risk of developing cancer and should therefore not be missed by a screen test</w:t>
      </w:r>
      <w:r w:rsidR="000D6DC2">
        <w:t xml:space="preserve"> </w:t>
      </w:r>
      <w:r w:rsidR="00C162E5">
        <w:t>(Arbyn</w:t>
      </w:r>
      <w:r w:rsidR="00BA25B5">
        <w:t xml:space="preserve"> 2009)</w:t>
      </w:r>
      <w:r w:rsidR="00BA25B5" w:rsidRPr="00BA25B5">
        <w:t>.</w:t>
      </w:r>
    </w:p>
    <w:p w:rsidR="009C4D0C" w:rsidRPr="007F3167" w:rsidRDefault="00C162E5" w:rsidP="009C4D0C">
      <w:pPr>
        <w:pStyle w:val="Heading40"/>
      </w:pPr>
      <w:r>
        <w:t>Cytology and histology classification s</w:t>
      </w:r>
      <w:r w:rsidR="009C4D0C">
        <w:t>ystems</w:t>
      </w:r>
    </w:p>
    <w:p w:rsidR="004F40AE" w:rsidRDefault="004F40AE" w:rsidP="004F40AE">
      <w:r>
        <w:t>Cytological and histological classification systems have changed over time as the natural history and pathogenesis of cervical ca</w:t>
      </w:r>
      <w:r w:rsidR="00C162E5">
        <w:t>ncer has become clearer (Wright 2006;</w:t>
      </w:r>
      <w:r>
        <w:t xml:space="preserve"> </w:t>
      </w:r>
      <w:r w:rsidR="00086C77">
        <w:fldChar w:fldCharType="begin"/>
      </w:r>
      <w:r>
        <w:instrText xml:space="preserve"> REF _Ref333998017 \h </w:instrText>
      </w:r>
      <w:r w:rsidR="00086C77">
        <w:fldChar w:fldCharType="separate"/>
      </w:r>
      <w:r w:rsidR="003361A8">
        <w:t xml:space="preserve">Table </w:t>
      </w:r>
      <w:r w:rsidR="003361A8">
        <w:rPr>
          <w:noProof/>
        </w:rPr>
        <w:t>19</w:t>
      </w:r>
      <w:r w:rsidR="00086C77">
        <w:fldChar w:fldCharType="end"/>
      </w:r>
      <w:r>
        <w:t>). This is demonstrated in the varying terminology used throughout the included trials</w:t>
      </w:r>
      <w:r w:rsidR="00F177DC">
        <w:t xml:space="preserve">. </w:t>
      </w:r>
      <w:r w:rsidR="00086C77">
        <w:fldChar w:fldCharType="begin"/>
      </w:r>
      <w:r>
        <w:instrText xml:space="preserve"> REF _Ref334000647 \h </w:instrText>
      </w:r>
      <w:r w:rsidR="00086C77">
        <w:fldChar w:fldCharType="separate"/>
      </w:r>
      <w:r w:rsidR="003361A8">
        <w:t xml:space="preserve">Table </w:t>
      </w:r>
      <w:r w:rsidR="003361A8">
        <w:rPr>
          <w:noProof/>
        </w:rPr>
        <w:t>21</w:t>
      </w:r>
      <w:r w:rsidR="00086C77">
        <w:fldChar w:fldCharType="end"/>
      </w:r>
      <w:r w:rsidR="00F177DC">
        <w:t xml:space="preserve"> represents a comparison of various classification systems</w:t>
      </w:r>
      <w:r>
        <w:t>.</w:t>
      </w:r>
    </w:p>
    <w:p w:rsidR="004F40AE" w:rsidRDefault="00C162E5" w:rsidP="004F40AE">
      <w:r>
        <w:lastRenderedPageBreak/>
        <w:t>T</w:t>
      </w:r>
      <w:r w:rsidR="004F40AE">
        <w:t>he Bethesda classification system</w:t>
      </w:r>
      <w:r w:rsidR="00F177DC">
        <w:t>,</w:t>
      </w:r>
      <w:r w:rsidR="004F40AE">
        <w:t xml:space="preserve"> introduced in 1991</w:t>
      </w:r>
      <w:r>
        <w:t>,</w:t>
      </w:r>
      <w:r w:rsidR="004F40AE">
        <w:t xml:space="preserve"> </w:t>
      </w:r>
      <w:r>
        <w:t xml:space="preserve">had several issues and </w:t>
      </w:r>
      <w:r w:rsidR="004F40AE">
        <w:t xml:space="preserve">was reviewed and modified in 2001. A comparison of the changes made is presented </w:t>
      </w:r>
      <w:r w:rsidR="000B10C9">
        <w:t>(</w:t>
      </w:r>
      <w:r w:rsidR="00086C77">
        <w:fldChar w:fldCharType="begin"/>
      </w:r>
      <w:r w:rsidR="004F40AE">
        <w:instrText xml:space="preserve"> REF _Ref335033132 \h </w:instrText>
      </w:r>
      <w:r w:rsidR="00086C77">
        <w:fldChar w:fldCharType="separate"/>
      </w:r>
      <w:r w:rsidR="003361A8">
        <w:t xml:space="preserve">Table </w:t>
      </w:r>
      <w:r w:rsidR="003361A8">
        <w:rPr>
          <w:noProof/>
        </w:rPr>
        <w:t>20</w:t>
      </w:r>
      <w:r w:rsidR="00086C77">
        <w:fldChar w:fldCharType="end"/>
      </w:r>
      <w:r w:rsidR="000B10C9">
        <w:t>)</w:t>
      </w:r>
      <w:r w:rsidR="004F40AE">
        <w:t xml:space="preserve">. The three tier system for assessing the adequacy of a slide </w:t>
      </w:r>
      <w:r w:rsidR="00F177DC">
        <w:t xml:space="preserve">in the 1991 system </w:t>
      </w:r>
      <w:r w:rsidR="004F40AE">
        <w:t>was changed to just two in 2001, by removing the term ‘Satisfactory but limited by</w:t>
      </w:r>
      <w:r>
        <w:t>…</w:t>
      </w:r>
      <w:r w:rsidR="00041974">
        <w:t>’</w:t>
      </w:r>
      <w:r w:rsidR="004F40AE">
        <w:t xml:space="preserve"> This was due to confusion a</w:t>
      </w:r>
      <w:r>
        <w:t>mong</w:t>
      </w:r>
      <w:r w:rsidR="004F40AE">
        <w:t xml:space="preserve"> clinicians resulting in a large number of early repeat smears (NHMRC Guidelines 2005, p.19). </w:t>
      </w:r>
      <w:r w:rsidR="003954A4">
        <w:t>A</w:t>
      </w:r>
      <w:r w:rsidR="004F40AE">
        <w:t xml:space="preserve">ll possible low-grade and possible high-grade smears </w:t>
      </w:r>
      <w:r w:rsidR="003954A4">
        <w:t xml:space="preserve">were combined </w:t>
      </w:r>
      <w:r w:rsidR="004F40AE">
        <w:t>into the one category of ASCUS</w:t>
      </w:r>
      <w:r w:rsidR="003954A4">
        <w:t xml:space="preserve"> using the 1991 system</w:t>
      </w:r>
      <w:r w:rsidR="004F40AE">
        <w:t xml:space="preserve">. This was corrected in the 2001 system by creating a separate field for possible high grade (ASC-H) results (NHMRC Guidelines 2005, p.19). </w:t>
      </w:r>
    </w:p>
    <w:p w:rsidR="004E71C8" w:rsidRDefault="00086C77" w:rsidP="004E71C8">
      <w:r>
        <w:fldChar w:fldCharType="begin"/>
      </w:r>
      <w:r w:rsidR="004E71C8">
        <w:instrText xml:space="preserve"> REF _Ref334000647 \h </w:instrText>
      </w:r>
      <w:r>
        <w:fldChar w:fldCharType="separate"/>
      </w:r>
      <w:r w:rsidR="003361A8">
        <w:t xml:space="preserve">Table </w:t>
      </w:r>
      <w:r w:rsidR="003361A8">
        <w:rPr>
          <w:noProof/>
        </w:rPr>
        <w:t>21</w:t>
      </w:r>
      <w:r>
        <w:fldChar w:fldCharType="end"/>
      </w:r>
      <w:r w:rsidR="000B10C9">
        <w:t xml:space="preserve"> lists</w:t>
      </w:r>
      <w:r w:rsidR="004E71C8">
        <w:t xml:space="preserve"> the cytology and histology classification systems used in the incl</w:t>
      </w:r>
      <w:r w:rsidR="00C162E5">
        <w:t>uded trials. The Bethesda 1991 s</w:t>
      </w:r>
      <w:r w:rsidR="004E71C8">
        <w:t xml:space="preserve">ystem was the confirmed cytology classification method used in NTCC trial, and Maccallini 2008. Strander 2007 used the 2001 Bethesda system. </w:t>
      </w:r>
      <w:r w:rsidR="00C162E5">
        <w:t>Cytotechnologists i</w:t>
      </w:r>
      <w:r w:rsidR="004E71C8">
        <w:t>n Bee</w:t>
      </w:r>
      <w:r w:rsidR="00C162E5">
        <w:t>rman 2009 and the NETHCON trial</w:t>
      </w:r>
      <w:r w:rsidR="004E71C8">
        <w:t xml:space="preserve"> classified slides using the CISOE-A/KOPAC-B systems before results were converted to the Bethesda system for reporting purposes. Bethesda terminology was also used in Obwegeser</w:t>
      </w:r>
      <w:r w:rsidR="00C162E5">
        <w:t xml:space="preserve"> 2001 and the RHINE-SAAR and RODEO studies</w:t>
      </w:r>
      <w:r w:rsidR="004E71C8">
        <w:t xml:space="preserve">. </w:t>
      </w:r>
    </w:p>
    <w:p w:rsidR="004E71C8" w:rsidRDefault="004E71C8" w:rsidP="004E71C8">
      <w:r>
        <w:t xml:space="preserve">The MAVARIC study did not explicitly state use of a classification system, however Bethesda, two tier and NHSCP terminology were all used in the paper. Palmer </w:t>
      </w:r>
      <w:r w:rsidR="00C162E5">
        <w:t xml:space="preserve">2012 </w:t>
      </w:r>
      <w:r>
        <w:t>used the NHSCSP for both cytology and histology classification. Almost all other trials used CIN classification for histology results</w:t>
      </w:r>
      <w:r w:rsidR="00C162E5">
        <w:t>,</w:t>
      </w:r>
      <w:r>
        <w:t xml:space="preserve"> except for Obwegeser 2001</w:t>
      </w:r>
      <w:r w:rsidR="00C162E5">
        <w:t>,</w:t>
      </w:r>
      <w:r>
        <w:t xml:space="preserve"> which also used the terms HSIL and LSIL in reporting.</w:t>
      </w:r>
    </w:p>
    <w:p w:rsidR="004F40AE" w:rsidRDefault="004F40AE" w:rsidP="004F40AE">
      <w:r>
        <w:t xml:space="preserve">It can be seen that the Australian </w:t>
      </w:r>
      <w:r w:rsidR="004E71C8">
        <w:t xml:space="preserve">modified </w:t>
      </w:r>
      <w:r>
        <w:t>Bethesda Classification terms, although not used in any of the trials, are compatible and can be converted between systems. Of importance is the clarification that the term atypical cells of undetermined significance (ASCUS) used in most trials corresponds to the Australian term of po</w:t>
      </w:r>
      <w:r w:rsidR="00C162E5">
        <w:t>ssible low-grade squamous intra</w:t>
      </w:r>
      <w:r>
        <w:t>epithelial lesion (pLSIL).</w:t>
      </w:r>
    </w:p>
    <w:p w:rsidR="004F40AE" w:rsidRDefault="004F40AE" w:rsidP="004F40AE">
      <w:pPr>
        <w:sectPr w:rsidR="004F40AE" w:rsidSect="008846BA">
          <w:pgSz w:w="11907" w:h="16839" w:code="9"/>
          <w:pgMar w:top="1701" w:right="1418" w:bottom="1418" w:left="1701" w:header="720" w:footer="720" w:gutter="0"/>
          <w:paperSrc w:first="4035" w:other="4035"/>
          <w:cols w:space="720"/>
          <w:noEndnote/>
        </w:sectPr>
      </w:pPr>
      <w:r>
        <w:t xml:space="preserve"> </w:t>
      </w:r>
    </w:p>
    <w:p w:rsidR="009C4D0C" w:rsidRDefault="009C4D0C" w:rsidP="009C4D0C">
      <w:pPr>
        <w:pStyle w:val="Caption"/>
      </w:pPr>
      <w:bookmarkStart w:id="217" w:name="_Ref333998017"/>
      <w:bookmarkStart w:id="218" w:name="_Toc335665985"/>
      <w:bookmarkStart w:id="219" w:name="_Toc337546956"/>
      <w:r>
        <w:lastRenderedPageBreak/>
        <w:t xml:space="preserve">Table </w:t>
      </w:r>
      <w:fldSimple w:instr=" SEQ Table \* ARABIC ">
        <w:r w:rsidR="003361A8">
          <w:rPr>
            <w:noProof/>
          </w:rPr>
          <w:t>19</w:t>
        </w:r>
      </w:fldSimple>
      <w:bookmarkEnd w:id="217"/>
      <w:r>
        <w:tab/>
        <w:t>Comparison of different cytological and histological classification systems</w:t>
      </w:r>
      <w:bookmarkEnd w:id="218"/>
      <w:bookmarkEnd w:id="2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3"/>
        <w:gridCol w:w="1354"/>
        <w:gridCol w:w="1354"/>
        <w:gridCol w:w="1902"/>
        <w:gridCol w:w="1966"/>
        <w:gridCol w:w="794"/>
        <w:gridCol w:w="1240"/>
        <w:gridCol w:w="2652"/>
        <w:gridCol w:w="1391"/>
      </w:tblGrid>
      <w:tr w:rsidR="004F40AE" w:rsidRPr="00F23810" w:rsidTr="00C162E5">
        <w:trPr>
          <w:cantSplit/>
          <w:trHeight w:val="336"/>
          <w:tblHeader/>
        </w:trPr>
        <w:tc>
          <w:tcPr>
            <w:tcW w:w="0" w:type="auto"/>
            <w:tcBorders>
              <w:bottom w:val="single" w:sz="4" w:space="0" w:color="auto"/>
            </w:tcBorders>
          </w:tcPr>
          <w:p w:rsidR="004F40AE" w:rsidRPr="00F23810" w:rsidRDefault="004F40AE" w:rsidP="00F23810">
            <w:pPr>
              <w:pStyle w:val="Tabletext"/>
              <w:rPr>
                <w:b/>
              </w:rPr>
            </w:pPr>
            <w:r w:rsidRPr="00F23810">
              <w:rPr>
                <w:b/>
              </w:rPr>
              <w:t>Papanicolaou</w:t>
            </w:r>
          </w:p>
        </w:tc>
        <w:tc>
          <w:tcPr>
            <w:tcW w:w="0" w:type="auto"/>
            <w:tcBorders>
              <w:bottom w:val="single" w:sz="4" w:space="0" w:color="auto"/>
            </w:tcBorders>
          </w:tcPr>
          <w:p w:rsidR="004F40AE" w:rsidRPr="00F23810" w:rsidRDefault="004F40AE" w:rsidP="00F23810">
            <w:pPr>
              <w:pStyle w:val="Tabletext"/>
              <w:rPr>
                <w:b/>
              </w:rPr>
            </w:pPr>
            <w:r w:rsidRPr="00F23810">
              <w:rPr>
                <w:b/>
              </w:rPr>
              <w:t>The Bethesda System</w:t>
            </w:r>
          </w:p>
          <w:p w:rsidR="004F40AE" w:rsidRPr="00F23810" w:rsidRDefault="004F40AE" w:rsidP="00F23810">
            <w:pPr>
              <w:pStyle w:val="Tabletext"/>
              <w:rPr>
                <w:b/>
              </w:rPr>
            </w:pPr>
            <w:r w:rsidRPr="00F23810">
              <w:rPr>
                <w:b/>
              </w:rPr>
              <w:t>1991</w:t>
            </w:r>
          </w:p>
        </w:tc>
        <w:tc>
          <w:tcPr>
            <w:tcW w:w="0" w:type="auto"/>
            <w:tcBorders>
              <w:bottom w:val="single" w:sz="4" w:space="0" w:color="auto"/>
            </w:tcBorders>
          </w:tcPr>
          <w:p w:rsidR="004F40AE" w:rsidRPr="00F23810" w:rsidRDefault="004F40AE" w:rsidP="00F23810">
            <w:pPr>
              <w:pStyle w:val="Tabletext"/>
              <w:rPr>
                <w:b/>
              </w:rPr>
            </w:pPr>
            <w:r w:rsidRPr="00F23810">
              <w:rPr>
                <w:b/>
              </w:rPr>
              <w:t xml:space="preserve">The Bethesda System </w:t>
            </w:r>
          </w:p>
          <w:p w:rsidR="004F40AE" w:rsidRPr="00F23810" w:rsidRDefault="004F40AE" w:rsidP="00F23810">
            <w:pPr>
              <w:pStyle w:val="Tabletext"/>
              <w:rPr>
                <w:b/>
              </w:rPr>
            </w:pPr>
            <w:r w:rsidRPr="00F23810">
              <w:rPr>
                <w:b/>
              </w:rPr>
              <w:t>2001</w:t>
            </w:r>
          </w:p>
        </w:tc>
        <w:tc>
          <w:tcPr>
            <w:tcW w:w="0" w:type="auto"/>
            <w:tcBorders>
              <w:bottom w:val="single" w:sz="4" w:space="0" w:color="auto"/>
            </w:tcBorders>
          </w:tcPr>
          <w:p w:rsidR="004F40AE" w:rsidRPr="00F23810" w:rsidRDefault="004F40AE" w:rsidP="00F23810">
            <w:pPr>
              <w:pStyle w:val="Tabletext"/>
              <w:rPr>
                <w:b/>
              </w:rPr>
            </w:pPr>
            <w:r w:rsidRPr="00F23810">
              <w:rPr>
                <w:b/>
              </w:rPr>
              <w:t>Australian modified Bethesda System</w:t>
            </w:r>
          </w:p>
        </w:tc>
        <w:tc>
          <w:tcPr>
            <w:tcW w:w="0" w:type="auto"/>
            <w:tcBorders>
              <w:bottom w:val="single" w:sz="4" w:space="0" w:color="auto"/>
            </w:tcBorders>
          </w:tcPr>
          <w:p w:rsidR="004F40AE" w:rsidRPr="00F23810" w:rsidRDefault="004F40AE" w:rsidP="00F23810">
            <w:pPr>
              <w:pStyle w:val="Tabletext"/>
              <w:rPr>
                <w:b/>
              </w:rPr>
            </w:pPr>
            <w:r w:rsidRPr="00F23810">
              <w:rPr>
                <w:b/>
              </w:rPr>
              <w:t>WHO</w:t>
            </w:r>
          </w:p>
        </w:tc>
        <w:tc>
          <w:tcPr>
            <w:tcW w:w="0" w:type="auto"/>
            <w:tcBorders>
              <w:bottom w:val="single" w:sz="4" w:space="0" w:color="auto"/>
            </w:tcBorders>
          </w:tcPr>
          <w:p w:rsidR="004F40AE" w:rsidRPr="00F23810" w:rsidRDefault="00C162E5" w:rsidP="00F23810">
            <w:pPr>
              <w:pStyle w:val="Tabletext"/>
              <w:rPr>
                <w:b/>
              </w:rPr>
            </w:pPr>
            <w:r w:rsidRPr="00F23810">
              <w:rPr>
                <w:b/>
              </w:rPr>
              <w:t>Two-t</w:t>
            </w:r>
            <w:r w:rsidR="004F40AE" w:rsidRPr="00F23810">
              <w:rPr>
                <w:b/>
              </w:rPr>
              <w:t>ier</w:t>
            </w:r>
          </w:p>
        </w:tc>
        <w:tc>
          <w:tcPr>
            <w:tcW w:w="0" w:type="auto"/>
            <w:tcBorders>
              <w:bottom w:val="single" w:sz="4" w:space="0" w:color="auto"/>
            </w:tcBorders>
          </w:tcPr>
          <w:p w:rsidR="004F40AE" w:rsidRPr="00F23810" w:rsidRDefault="004F40AE" w:rsidP="00F23810">
            <w:pPr>
              <w:pStyle w:val="Tabletext"/>
              <w:rPr>
                <w:b/>
              </w:rPr>
            </w:pPr>
            <w:r w:rsidRPr="00F23810">
              <w:rPr>
                <w:b/>
              </w:rPr>
              <w:t>CIN</w:t>
            </w:r>
          </w:p>
        </w:tc>
        <w:tc>
          <w:tcPr>
            <w:tcW w:w="0" w:type="auto"/>
            <w:tcBorders>
              <w:bottom w:val="single" w:sz="4" w:space="0" w:color="auto"/>
            </w:tcBorders>
          </w:tcPr>
          <w:p w:rsidR="004F40AE" w:rsidRPr="00F23810" w:rsidRDefault="004F40AE" w:rsidP="00F23810">
            <w:pPr>
              <w:pStyle w:val="Tabletext"/>
              <w:rPr>
                <w:b/>
              </w:rPr>
            </w:pPr>
            <w:r w:rsidRPr="00F23810">
              <w:rPr>
                <w:b/>
              </w:rPr>
              <w:t>NHSCSP/BSCC</w:t>
            </w:r>
          </w:p>
        </w:tc>
        <w:tc>
          <w:tcPr>
            <w:tcW w:w="0" w:type="auto"/>
            <w:tcBorders>
              <w:bottom w:val="single" w:sz="4" w:space="0" w:color="auto"/>
            </w:tcBorders>
          </w:tcPr>
          <w:p w:rsidR="004F40AE" w:rsidRPr="00F23810" w:rsidRDefault="004F40AE" w:rsidP="00F23810">
            <w:pPr>
              <w:pStyle w:val="Tabletext"/>
              <w:rPr>
                <w:b/>
              </w:rPr>
            </w:pPr>
            <w:r w:rsidRPr="00F23810">
              <w:rPr>
                <w:b/>
              </w:rPr>
              <w:t>Modified CIN</w:t>
            </w:r>
          </w:p>
        </w:tc>
      </w:tr>
      <w:tr w:rsidR="004F40AE" w:rsidRPr="00274021" w:rsidTr="00C162E5">
        <w:trPr>
          <w:cantSplit/>
        </w:trPr>
        <w:tc>
          <w:tcPr>
            <w:tcW w:w="0" w:type="auto"/>
            <w:tcBorders>
              <w:top w:val="single" w:sz="4" w:space="0" w:color="auto"/>
              <w:left w:val="single" w:sz="4" w:space="0" w:color="auto"/>
              <w:bottom w:val="single" w:sz="4" w:space="0" w:color="auto"/>
              <w:right w:val="single" w:sz="4" w:space="0" w:color="auto"/>
            </w:tcBorders>
          </w:tcPr>
          <w:p w:rsidR="004F40AE" w:rsidRDefault="004F40AE" w:rsidP="004F40AE">
            <w:pPr>
              <w:pStyle w:val="Tableheading"/>
              <w:rPr>
                <w:b w:val="0"/>
              </w:rPr>
            </w:pPr>
            <w:r>
              <w:rPr>
                <w:b w:val="0"/>
              </w:rPr>
              <w:t>Pap 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40AE" w:rsidRPr="00274021" w:rsidRDefault="004F40AE" w:rsidP="004F40AE">
            <w:pPr>
              <w:pStyle w:val="Tableheading"/>
              <w:rPr>
                <w:b w:val="0"/>
              </w:rPr>
            </w:pPr>
            <w:r>
              <w:rPr>
                <w:b w:val="0"/>
              </w:rPr>
              <w:t>Within normal limits</w:t>
            </w:r>
          </w:p>
        </w:tc>
        <w:tc>
          <w:tcPr>
            <w:tcW w:w="0" w:type="auto"/>
            <w:tcBorders>
              <w:top w:val="single" w:sz="4" w:space="0" w:color="auto"/>
              <w:left w:val="single" w:sz="4" w:space="0" w:color="auto"/>
              <w:bottom w:val="single" w:sz="4" w:space="0" w:color="auto"/>
              <w:right w:val="single" w:sz="4" w:space="0" w:color="auto"/>
            </w:tcBorders>
          </w:tcPr>
          <w:p w:rsidR="004F40AE" w:rsidRPr="00274021" w:rsidRDefault="004F40AE" w:rsidP="004F40AE">
            <w:pPr>
              <w:pStyle w:val="Tableheading"/>
              <w:rPr>
                <w:b w:val="0"/>
              </w:rPr>
            </w:pPr>
            <w:r>
              <w:rPr>
                <w:b w:val="0"/>
              </w:rPr>
              <w:t>Within normal limits</w:t>
            </w:r>
          </w:p>
        </w:tc>
        <w:tc>
          <w:tcPr>
            <w:tcW w:w="0" w:type="auto"/>
            <w:tcBorders>
              <w:top w:val="single" w:sz="4" w:space="0" w:color="auto"/>
              <w:left w:val="single" w:sz="4" w:space="0" w:color="auto"/>
              <w:bottom w:val="single" w:sz="4" w:space="0" w:color="auto"/>
              <w:right w:val="single" w:sz="4" w:space="0" w:color="auto"/>
            </w:tcBorders>
          </w:tcPr>
          <w:p w:rsidR="004F40AE" w:rsidRPr="00EF7E0A" w:rsidRDefault="004F40AE" w:rsidP="004F40AE">
            <w:pPr>
              <w:pStyle w:val="Tableheading"/>
              <w:rPr>
                <w:b w:val="0"/>
              </w:rPr>
            </w:pPr>
            <w:r>
              <w:rPr>
                <w:b w:val="0"/>
              </w:rPr>
              <w:t>Within normal limits</w:t>
            </w:r>
          </w:p>
        </w:tc>
        <w:tc>
          <w:tcPr>
            <w:tcW w:w="0" w:type="auto"/>
            <w:tcBorders>
              <w:top w:val="single" w:sz="4" w:space="0" w:color="auto"/>
              <w:left w:val="single" w:sz="4" w:space="0" w:color="auto"/>
              <w:bottom w:val="single" w:sz="4" w:space="0" w:color="auto"/>
              <w:right w:val="single" w:sz="4" w:space="0" w:color="auto"/>
            </w:tcBorders>
          </w:tcPr>
          <w:p w:rsidR="004F40AE" w:rsidRPr="00EF7E0A" w:rsidRDefault="004F40AE" w:rsidP="004F40AE">
            <w:pPr>
              <w:pStyle w:val="Tableheading"/>
              <w:rPr>
                <w:b w:val="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40AE" w:rsidRPr="00EF7E0A" w:rsidRDefault="004F40AE" w:rsidP="004F40AE">
            <w:pPr>
              <w:pStyle w:val="Tableheading"/>
              <w:rPr>
                <w:b w:val="0"/>
              </w:rPr>
            </w:pPr>
          </w:p>
        </w:tc>
        <w:tc>
          <w:tcPr>
            <w:tcW w:w="0" w:type="auto"/>
            <w:tcBorders>
              <w:top w:val="single" w:sz="4" w:space="0" w:color="auto"/>
              <w:left w:val="single" w:sz="4" w:space="0" w:color="auto"/>
              <w:bottom w:val="single" w:sz="4" w:space="0" w:color="auto"/>
              <w:right w:val="single" w:sz="4" w:space="0" w:color="auto"/>
            </w:tcBorders>
          </w:tcPr>
          <w:p w:rsidR="004F40AE" w:rsidRDefault="004F40AE" w:rsidP="004F40AE">
            <w:pPr>
              <w:pStyle w:val="Tableheading"/>
              <w:rPr>
                <w:b w:val="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40AE" w:rsidRPr="00EF7E0A" w:rsidRDefault="00C162E5" w:rsidP="004F40AE">
            <w:pPr>
              <w:pStyle w:val="Tableheading"/>
              <w:rPr>
                <w:b w:val="0"/>
              </w:rPr>
            </w:pPr>
            <w:r>
              <w:rPr>
                <w:b w:val="0"/>
              </w:rPr>
              <w:t>N</w:t>
            </w:r>
            <w:r w:rsidR="004F40AE">
              <w:rPr>
                <w:b w:val="0"/>
              </w:rPr>
              <w:t>ormal</w:t>
            </w:r>
            <w:r>
              <w:rPr>
                <w:b w:val="0"/>
              </w:rPr>
              <w:t xml:space="preserve"> </w:t>
            </w:r>
          </w:p>
        </w:tc>
        <w:tc>
          <w:tcPr>
            <w:tcW w:w="0" w:type="auto"/>
            <w:tcBorders>
              <w:top w:val="single" w:sz="4" w:space="0" w:color="auto"/>
              <w:left w:val="single" w:sz="4" w:space="0" w:color="auto"/>
              <w:bottom w:val="single" w:sz="4" w:space="0" w:color="auto"/>
              <w:right w:val="single" w:sz="4" w:space="0" w:color="auto"/>
            </w:tcBorders>
          </w:tcPr>
          <w:p w:rsidR="004F40AE" w:rsidRDefault="004F40AE" w:rsidP="004F40AE">
            <w:pPr>
              <w:pStyle w:val="Tableheading"/>
              <w:rPr>
                <w:b w:val="0"/>
              </w:rPr>
            </w:pPr>
          </w:p>
        </w:tc>
      </w:tr>
      <w:tr w:rsidR="004F40AE" w:rsidRPr="00274021" w:rsidTr="00C162E5">
        <w:trPr>
          <w:cantSplit/>
        </w:trPr>
        <w:tc>
          <w:tcPr>
            <w:tcW w:w="0" w:type="auto"/>
            <w:tcBorders>
              <w:top w:val="single" w:sz="4" w:space="0" w:color="auto"/>
              <w:left w:val="single" w:sz="4" w:space="0" w:color="auto"/>
              <w:bottom w:val="single" w:sz="4" w:space="0" w:color="auto"/>
              <w:right w:val="single" w:sz="4" w:space="0" w:color="auto"/>
            </w:tcBorders>
          </w:tcPr>
          <w:p w:rsidR="004F40AE" w:rsidRDefault="004F40AE" w:rsidP="004F40AE">
            <w:pPr>
              <w:pStyle w:val="Tableheading"/>
              <w:rPr>
                <w:b w:val="0"/>
              </w:rPr>
            </w:pPr>
            <w:r>
              <w:rPr>
                <w:b w:val="0"/>
              </w:rPr>
              <w:t>Pap II</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40AE" w:rsidRPr="00274021" w:rsidRDefault="004F40AE" w:rsidP="004F40AE">
            <w:pPr>
              <w:pStyle w:val="Tableheading"/>
              <w:rPr>
                <w:b w:val="0"/>
              </w:rPr>
            </w:pPr>
            <w:r>
              <w:rPr>
                <w:b w:val="0"/>
              </w:rPr>
              <w:t>ASCUS</w:t>
            </w:r>
          </w:p>
        </w:tc>
        <w:tc>
          <w:tcPr>
            <w:tcW w:w="0" w:type="auto"/>
            <w:tcBorders>
              <w:top w:val="single" w:sz="4" w:space="0" w:color="auto"/>
              <w:left w:val="single" w:sz="4" w:space="0" w:color="auto"/>
              <w:bottom w:val="single" w:sz="4" w:space="0" w:color="auto"/>
              <w:right w:val="single" w:sz="4" w:space="0" w:color="auto"/>
            </w:tcBorders>
          </w:tcPr>
          <w:p w:rsidR="004F40AE" w:rsidRPr="00274021" w:rsidRDefault="004F40AE" w:rsidP="004F40AE">
            <w:pPr>
              <w:pStyle w:val="Tableheading"/>
              <w:rPr>
                <w:b w:val="0"/>
              </w:rPr>
            </w:pPr>
            <w:r>
              <w:rPr>
                <w:b w:val="0"/>
              </w:rPr>
              <w:t>ASCUS</w:t>
            </w:r>
          </w:p>
        </w:tc>
        <w:tc>
          <w:tcPr>
            <w:tcW w:w="0" w:type="auto"/>
            <w:tcBorders>
              <w:top w:val="single" w:sz="4" w:space="0" w:color="auto"/>
              <w:left w:val="single" w:sz="4" w:space="0" w:color="auto"/>
              <w:bottom w:val="single" w:sz="4" w:space="0" w:color="auto"/>
              <w:right w:val="single" w:sz="4" w:space="0" w:color="auto"/>
            </w:tcBorders>
          </w:tcPr>
          <w:p w:rsidR="004F40AE" w:rsidRDefault="004F40AE" w:rsidP="004F40AE">
            <w:pPr>
              <w:pStyle w:val="Tableheading"/>
              <w:rPr>
                <w:b w:val="0"/>
              </w:rPr>
            </w:pPr>
            <w:r w:rsidRPr="00CD0BE2">
              <w:rPr>
                <w:b w:val="0"/>
              </w:rPr>
              <w:t>pLSIL</w:t>
            </w:r>
          </w:p>
        </w:tc>
        <w:tc>
          <w:tcPr>
            <w:tcW w:w="0" w:type="auto"/>
            <w:tcBorders>
              <w:top w:val="single" w:sz="4" w:space="0" w:color="auto"/>
              <w:left w:val="single" w:sz="4" w:space="0" w:color="auto"/>
              <w:bottom w:val="single" w:sz="4" w:space="0" w:color="auto"/>
              <w:right w:val="single" w:sz="4" w:space="0" w:color="auto"/>
            </w:tcBorders>
          </w:tcPr>
          <w:p w:rsidR="004F40AE" w:rsidRDefault="004F40AE" w:rsidP="004F40AE">
            <w:pPr>
              <w:pStyle w:val="Tableheading"/>
              <w:rPr>
                <w:b w:val="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40AE" w:rsidRPr="00EF7E0A" w:rsidRDefault="00C162E5" w:rsidP="004F40AE">
            <w:pPr>
              <w:pStyle w:val="Tableheading"/>
              <w:rPr>
                <w:b w:val="0"/>
              </w:rPr>
            </w:pPr>
            <w:r>
              <w:rPr>
                <w:b w:val="0"/>
              </w:rPr>
              <w:t xml:space="preserve">Low </w:t>
            </w:r>
            <w:r w:rsidR="004F40AE">
              <w:rPr>
                <w:b w:val="0"/>
              </w:rPr>
              <w:t>grade</w:t>
            </w:r>
          </w:p>
        </w:tc>
        <w:tc>
          <w:tcPr>
            <w:tcW w:w="0" w:type="auto"/>
            <w:tcBorders>
              <w:top w:val="single" w:sz="4" w:space="0" w:color="auto"/>
              <w:left w:val="single" w:sz="4" w:space="0" w:color="auto"/>
              <w:bottom w:val="single" w:sz="4" w:space="0" w:color="auto"/>
              <w:right w:val="single" w:sz="4" w:space="0" w:color="auto"/>
            </w:tcBorders>
          </w:tcPr>
          <w:p w:rsidR="004F40AE" w:rsidRDefault="004F40AE" w:rsidP="004F40AE">
            <w:pPr>
              <w:pStyle w:val="Tableheading"/>
              <w:rPr>
                <w:b w:val="0"/>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4F40AE" w:rsidRPr="00EF7E0A" w:rsidRDefault="004F40AE" w:rsidP="004F40AE">
            <w:pPr>
              <w:pStyle w:val="Tableheading"/>
              <w:rPr>
                <w:b w:val="0"/>
              </w:rPr>
            </w:pPr>
            <w:r>
              <w:rPr>
                <w:b w:val="0"/>
              </w:rPr>
              <w:t>Borderline squamous and glandular changes without HPV</w:t>
            </w:r>
          </w:p>
        </w:tc>
        <w:tc>
          <w:tcPr>
            <w:tcW w:w="0" w:type="auto"/>
            <w:tcBorders>
              <w:top w:val="single" w:sz="4" w:space="0" w:color="auto"/>
              <w:left w:val="single" w:sz="4" w:space="0" w:color="auto"/>
              <w:bottom w:val="single" w:sz="4" w:space="0" w:color="auto"/>
              <w:right w:val="single" w:sz="4" w:space="0" w:color="auto"/>
            </w:tcBorders>
          </w:tcPr>
          <w:p w:rsidR="004F40AE" w:rsidRDefault="004F40AE" w:rsidP="004F40AE">
            <w:pPr>
              <w:pStyle w:val="Tableheading"/>
              <w:rPr>
                <w:b w:val="0"/>
              </w:rPr>
            </w:pPr>
          </w:p>
        </w:tc>
      </w:tr>
      <w:tr w:rsidR="004F40AE" w:rsidRPr="00274021" w:rsidTr="00C162E5">
        <w:trPr>
          <w:cantSplit/>
        </w:trPr>
        <w:tc>
          <w:tcPr>
            <w:tcW w:w="0" w:type="auto"/>
            <w:tcBorders>
              <w:top w:val="single" w:sz="4" w:space="0" w:color="auto"/>
            </w:tcBorders>
          </w:tcPr>
          <w:p w:rsidR="004F40AE" w:rsidRDefault="004F40AE" w:rsidP="004F40AE">
            <w:pPr>
              <w:pStyle w:val="Tabletext"/>
            </w:pPr>
            <w:r>
              <w:t>Pap III</w:t>
            </w:r>
          </w:p>
        </w:tc>
        <w:tc>
          <w:tcPr>
            <w:tcW w:w="0" w:type="auto"/>
            <w:tcBorders>
              <w:top w:val="single" w:sz="4" w:space="0" w:color="auto"/>
            </w:tcBorders>
          </w:tcPr>
          <w:p w:rsidR="004F40AE" w:rsidRPr="00274021" w:rsidRDefault="004F40AE" w:rsidP="004F40AE">
            <w:pPr>
              <w:pStyle w:val="Tableheading"/>
              <w:rPr>
                <w:b w:val="0"/>
              </w:rPr>
            </w:pPr>
            <w:r>
              <w:rPr>
                <w:b w:val="0"/>
              </w:rPr>
              <w:t>LSIL</w:t>
            </w:r>
          </w:p>
        </w:tc>
        <w:tc>
          <w:tcPr>
            <w:tcW w:w="0" w:type="auto"/>
            <w:tcBorders>
              <w:top w:val="single" w:sz="4" w:space="0" w:color="auto"/>
            </w:tcBorders>
          </w:tcPr>
          <w:p w:rsidR="004F40AE" w:rsidRPr="00274021" w:rsidRDefault="004F40AE" w:rsidP="004F40AE">
            <w:pPr>
              <w:pStyle w:val="Tableheading"/>
              <w:rPr>
                <w:b w:val="0"/>
              </w:rPr>
            </w:pPr>
            <w:r>
              <w:rPr>
                <w:b w:val="0"/>
              </w:rPr>
              <w:t>LSIL</w:t>
            </w:r>
          </w:p>
        </w:tc>
        <w:tc>
          <w:tcPr>
            <w:tcW w:w="0" w:type="auto"/>
            <w:tcBorders>
              <w:top w:val="single" w:sz="4" w:space="0" w:color="auto"/>
            </w:tcBorders>
          </w:tcPr>
          <w:p w:rsidR="004F40AE" w:rsidRPr="003C35FD" w:rsidRDefault="004F40AE" w:rsidP="004F40AE">
            <w:pPr>
              <w:pStyle w:val="Tableheading"/>
              <w:rPr>
                <w:b w:val="0"/>
              </w:rPr>
            </w:pPr>
            <w:r>
              <w:rPr>
                <w:b w:val="0"/>
              </w:rPr>
              <w:t>LSIL</w:t>
            </w:r>
          </w:p>
        </w:tc>
        <w:tc>
          <w:tcPr>
            <w:tcW w:w="0" w:type="auto"/>
            <w:tcBorders>
              <w:top w:val="single" w:sz="4" w:space="0" w:color="auto"/>
            </w:tcBorders>
          </w:tcPr>
          <w:p w:rsidR="004F40AE" w:rsidRPr="003C35FD" w:rsidRDefault="004F40AE" w:rsidP="004F40AE">
            <w:pPr>
              <w:pStyle w:val="Tableheading"/>
              <w:rPr>
                <w:b w:val="0"/>
              </w:rPr>
            </w:pPr>
            <w:r w:rsidRPr="003C35FD">
              <w:rPr>
                <w:b w:val="0"/>
              </w:rPr>
              <w:t>Mild dysplasia</w:t>
            </w:r>
          </w:p>
        </w:tc>
        <w:tc>
          <w:tcPr>
            <w:tcW w:w="0" w:type="auto"/>
            <w:tcBorders>
              <w:top w:val="single" w:sz="4" w:space="0" w:color="auto"/>
              <w:bottom w:val="single" w:sz="4" w:space="0" w:color="auto"/>
            </w:tcBorders>
          </w:tcPr>
          <w:p w:rsidR="004F40AE" w:rsidRPr="00327283" w:rsidRDefault="004F40AE" w:rsidP="004F40AE">
            <w:pPr>
              <w:pStyle w:val="Tableheading"/>
            </w:pPr>
          </w:p>
        </w:tc>
        <w:tc>
          <w:tcPr>
            <w:tcW w:w="0" w:type="auto"/>
            <w:tcBorders>
              <w:top w:val="single" w:sz="4" w:space="0" w:color="auto"/>
              <w:bottom w:val="single" w:sz="4" w:space="0" w:color="auto"/>
            </w:tcBorders>
          </w:tcPr>
          <w:p w:rsidR="004F40AE" w:rsidRDefault="004F40AE" w:rsidP="004F40AE">
            <w:pPr>
              <w:pStyle w:val="Tableheading"/>
              <w:rPr>
                <w:b w:val="0"/>
              </w:rPr>
            </w:pPr>
            <w:r>
              <w:rPr>
                <w:b w:val="0"/>
              </w:rPr>
              <w:t>CIN I</w:t>
            </w:r>
          </w:p>
        </w:tc>
        <w:tc>
          <w:tcPr>
            <w:tcW w:w="0" w:type="auto"/>
            <w:tcBorders>
              <w:top w:val="single" w:sz="4" w:space="0" w:color="auto"/>
              <w:bottom w:val="single" w:sz="4" w:space="0" w:color="auto"/>
            </w:tcBorders>
          </w:tcPr>
          <w:p w:rsidR="004F40AE" w:rsidRPr="00EF7E0A" w:rsidRDefault="004F40AE" w:rsidP="004F40AE">
            <w:pPr>
              <w:pStyle w:val="Tableheading"/>
              <w:rPr>
                <w:b w:val="0"/>
              </w:rPr>
            </w:pPr>
            <w:r>
              <w:rPr>
                <w:b w:val="0"/>
              </w:rPr>
              <w:t>Borderline with HPV and mild dyskaryosis</w:t>
            </w:r>
          </w:p>
        </w:tc>
        <w:tc>
          <w:tcPr>
            <w:tcW w:w="0" w:type="auto"/>
            <w:tcBorders>
              <w:top w:val="single" w:sz="4" w:space="0" w:color="auto"/>
              <w:bottom w:val="single" w:sz="4" w:space="0" w:color="auto"/>
            </w:tcBorders>
          </w:tcPr>
          <w:p w:rsidR="004F40AE" w:rsidRDefault="004F40AE" w:rsidP="004F40AE">
            <w:pPr>
              <w:pStyle w:val="Tableheading"/>
              <w:rPr>
                <w:b w:val="0"/>
              </w:rPr>
            </w:pPr>
            <w:r>
              <w:rPr>
                <w:b w:val="0"/>
              </w:rPr>
              <w:t>Low-grade CIN (CIN</w:t>
            </w:r>
            <w:r w:rsidR="00C162E5">
              <w:rPr>
                <w:b w:val="0"/>
              </w:rPr>
              <w:t xml:space="preserve"> </w:t>
            </w:r>
            <w:r>
              <w:rPr>
                <w:b w:val="0"/>
              </w:rPr>
              <w:t>1)</w:t>
            </w:r>
          </w:p>
        </w:tc>
      </w:tr>
      <w:tr w:rsidR="004F40AE" w:rsidRPr="00274021" w:rsidTr="00C162E5">
        <w:tc>
          <w:tcPr>
            <w:tcW w:w="0" w:type="auto"/>
          </w:tcPr>
          <w:p w:rsidR="004F40AE" w:rsidRDefault="004F40AE" w:rsidP="004F40AE">
            <w:pPr>
              <w:pStyle w:val="Tabletext"/>
            </w:pPr>
          </w:p>
        </w:tc>
        <w:tc>
          <w:tcPr>
            <w:tcW w:w="0" w:type="auto"/>
          </w:tcPr>
          <w:p w:rsidR="004F40AE" w:rsidRDefault="004F40AE" w:rsidP="004F40AE">
            <w:pPr>
              <w:pStyle w:val="Tabletext"/>
            </w:pPr>
          </w:p>
        </w:tc>
        <w:tc>
          <w:tcPr>
            <w:tcW w:w="0" w:type="auto"/>
          </w:tcPr>
          <w:p w:rsidR="004F40AE" w:rsidRDefault="004F40AE" w:rsidP="004F40AE">
            <w:pPr>
              <w:pStyle w:val="Tabletext"/>
            </w:pPr>
            <w:r>
              <w:t>ASC-H</w:t>
            </w:r>
          </w:p>
        </w:tc>
        <w:tc>
          <w:tcPr>
            <w:tcW w:w="0" w:type="auto"/>
          </w:tcPr>
          <w:p w:rsidR="004F40AE" w:rsidRDefault="004F40AE" w:rsidP="004F40AE">
            <w:pPr>
              <w:pStyle w:val="Tabletext"/>
            </w:pPr>
            <w:r>
              <w:t>pHSIL</w:t>
            </w:r>
          </w:p>
        </w:tc>
        <w:tc>
          <w:tcPr>
            <w:tcW w:w="0" w:type="auto"/>
          </w:tcPr>
          <w:p w:rsidR="004F40AE" w:rsidRDefault="004F40AE" w:rsidP="004F40AE">
            <w:pPr>
              <w:pStyle w:val="Tabletext"/>
            </w:pPr>
          </w:p>
        </w:tc>
        <w:tc>
          <w:tcPr>
            <w:tcW w:w="0" w:type="auto"/>
            <w:tcBorders>
              <w:top w:val="single" w:sz="4" w:space="0" w:color="auto"/>
              <w:bottom w:val="single" w:sz="4" w:space="0" w:color="auto"/>
            </w:tcBorders>
          </w:tcPr>
          <w:p w:rsidR="004F40AE" w:rsidRDefault="004F40AE" w:rsidP="004F40AE">
            <w:pPr>
              <w:pStyle w:val="Tabletext"/>
            </w:pPr>
          </w:p>
        </w:tc>
        <w:tc>
          <w:tcPr>
            <w:tcW w:w="0" w:type="auto"/>
            <w:tcBorders>
              <w:top w:val="single" w:sz="4" w:space="0" w:color="auto"/>
              <w:bottom w:val="single" w:sz="4" w:space="0" w:color="auto"/>
            </w:tcBorders>
          </w:tcPr>
          <w:p w:rsidR="004F40AE" w:rsidRDefault="004F40AE" w:rsidP="004F40AE">
            <w:pPr>
              <w:pStyle w:val="Tabletext"/>
            </w:pPr>
          </w:p>
        </w:tc>
        <w:tc>
          <w:tcPr>
            <w:tcW w:w="0" w:type="auto"/>
            <w:tcBorders>
              <w:top w:val="single" w:sz="4" w:space="0" w:color="auto"/>
              <w:bottom w:val="single" w:sz="4" w:space="0" w:color="auto"/>
            </w:tcBorders>
          </w:tcPr>
          <w:p w:rsidR="004F40AE" w:rsidRDefault="004F40AE" w:rsidP="004F40AE">
            <w:pPr>
              <w:pStyle w:val="Tabletext"/>
            </w:pPr>
          </w:p>
        </w:tc>
        <w:tc>
          <w:tcPr>
            <w:tcW w:w="0" w:type="auto"/>
            <w:tcBorders>
              <w:top w:val="single" w:sz="4" w:space="0" w:color="auto"/>
              <w:bottom w:val="single" w:sz="4" w:space="0" w:color="auto"/>
            </w:tcBorders>
          </w:tcPr>
          <w:p w:rsidR="004F40AE" w:rsidRDefault="004F40AE" w:rsidP="004F40AE">
            <w:pPr>
              <w:pStyle w:val="Tabletext"/>
            </w:pPr>
          </w:p>
        </w:tc>
      </w:tr>
      <w:tr w:rsidR="004F40AE" w:rsidRPr="00274021" w:rsidTr="00C162E5">
        <w:tc>
          <w:tcPr>
            <w:tcW w:w="0" w:type="auto"/>
          </w:tcPr>
          <w:p w:rsidR="004F40AE" w:rsidRDefault="004F40AE" w:rsidP="004F40AE">
            <w:pPr>
              <w:pStyle w:val="Tabletext"/>
            </w:pPr>
          </w:p>
        </w:tc>
        <w:tc>
          <w:tcPr>
            <w:tcW w:w="0" w:type="auto"/>
          </w:tcPr>
          <w:p w:rsidR="004F40AE" w:rsidRPr="00274021" w:rsidRDefault="004F40AE" w:rsidP="004F40AE">
            <w:pPr>
              <w:pStyle w:val="Tabletext"/>
            </w:pPr>
            <w:r>
              <w:t>HSIL</w:t>
            </w:r>
          </w:p>
        </w:tc>
        <w:tc>
          <w:tcPr>
            <w:tcW w:w="0" w:type="auto"/>
          </w:tcPr>
          <w:p w:rsidR="004F40AE" w:rsidRPr="00274021" w:rsidRDefault="004F40AE" w:rsidP="004F40AE">
            <w:pPr>
              <w:pStyle w:val="Tabletext"/>
            </w:pPr>
            <w:r>
              <w:t>HSIL</w:t>
            </w:r>
          </w:p>
        </w:tc>
        <w:tc>
          <w:tcPr>
            <w:tcW w:w="0" w:type="auto"/>
          </w:tcPr>
          <w:p w:rsidR="004F40AE" w:rsidRDefault="004F40AE" w:rsidP="004F40AE">
            <w:pPr>
              <w:pStyle w:val="Tabletext"/>
            </w:pPr>
            <w:r>
              <w:t>HSIL</w:t>
            </w:r>
          </w:p>
        </w:tc>
        <w:tc>
          <w:tcPr>
            <w:tcW w:w="0" w:type="auto"/>
          </w:tcPr>
          <w:p w:rsidR="004F40AE" w:rsidRDefault="004F40AE" w:rsidP="004F40AE">
            <w:pPr>
              <w:pStyle w:val="Tabletext"/>
            </w:pPr>
            <w:r>
              <w:t>Moderate dysplasia</w:t>
            </w:r>
          </w:p>
        </w:tc>
        <w:tc>
          <w:tcPr>
            <w:tcW w:w="0" w:type="auto"/>
            <w:tcBorders>
              <w:top w:val="single" w:sz="4" w:space="0" w:color="auto"/>
              <w:bottom w:val="single" w:sz="4" w:space="0" w:color="auto"/>
            </w:tcBorders>
          </w:tcPr>
          <w:p w:rsidR="004F40AE" w:rsidRPr="00274021" w:rsidRDefault="00C162E5" w:rsidP="004F40AE">
            <w:pPr>
              <w:pStyle w:val="Tabletext"/>
            </w:pPr>
            <w:r>
              <w:t xml:space="preserve">High </w:t>
            </w:r>
            <w:r w:rsidR="004F40AE">
              <w:t>grade</w:t>
            </w:r>
          </w:p>
        </w:tc>
        <w:tc>
          <w:tcPr>
            <w:tcW w:w="0" w:type="auto"/>
            <w:tcBorders>
              <w:top w:val="single" w:sz="4" w:space="0" w:color="auto"/>
              <w:bottom w:val="single" w:sz="4" w:space="0" w:color="auto"/>
            </w:tcBorders>
          </w:tcPr>
          <w:p w:rsidR="004F40AE" w:rsidRDefault="004F40AE" w:rsidP="004F40AE">
            <w:pPr>
              <w:pStyle w:val="Tabletext"/>
            </w:pPr>
            <w:r>
              <w:t>CIN II</w:t>
            </w:r>
          </w:p>
        </w:tc>
        <w:tc>
          <w:tcPr>
            <w:tcW w:w="0" w:type="auto"/>
            <w:tcBorders>
              <w:top w:val="single" w:sz="4" w:space="0" w:color="auto"/>
              <w:bottom w:val="single" w:sz="4" w:space="0" w:color="auto"/>
            </w:tcBorders>
          </w:tcPr>
          <w:p w:rsidR="004F40AE" w:rsidRPr="00274021" w:rsidRDefault="004F40AE" w:rsidP="004F40AE">
            <w:pPr>
              <w:pStyle w:val="Tabletext"/>
            </w:pPr>
            <w:r>
              <w:t>Moderate dyskaryosis</w:t>
            </w:r>
          </w:p>
        </w:tc>
        <w:tc>
          <w:tcPr>
            <w:tcW w:w="0" w:type="auto"/>
            <w:tcBorders>
              <w:top w:val="single" w:sz="4" w:space="0" w:color="auto"/>
              <w:bottom w:val="single" w:sz="4" w:space="0" w:color="auto"/>
            </w:tcBorders>
          </w:tcPr>
          <w:p w:rsidR="004F40AE" w:rsidRDefault="004F40AE" w:rsidP="004F40AE">
            <w:pPr>
              <w:pStyle w:val="Tabletext"/>
            </w:pPr>
            <w:r>
              <w:t>High grade CIN (CIN</w:t>
            </w:r>
            <w:r w:rsidR="00C162E5">
              <w:t xml:space="preserve"> </w:t>
            </w:r>
            <w:r>
              <w:t>2,</w:t>
            </w:r>
            <w:r w:rsidR="00C162E5">
              <w:t xml:space="preserve"> </w:t>
            </w:r>
            <w:r>
              <w:t>3)</w:t>
            </w:r>
          </w:p>
        </w:tc>
      </w:tr>
      <w:tr w:rsidR="004F40AE" w:rsidRPr="00274021" w:rsidTr="00C162E5">
        <w:tc>
          <w:tcPr>
            <w:tcW w:w="0" w:type="auto"/>
          </w:tcPr>
          <w:p w:rsidR="004F40AE" w:rsidRDefault="004F40AE" w:rsidP="004F40AE">
            <w:pPr>
              <w:pStyle w:val="Tabletext"/>
            </w:pPr>
          </w:p>
        </w:tc>
        <w:tc>
          <w:tcPr>
            <w:tcW w:w="0" w:type="auto"/>
          </w:tcPr>
          <w:p w:rsidR="004F40AE" w:rsidRPr="00274021" w:rsidRDefault="004F40AE" w:rsidP="004F40AE">
            <w:pPr>
              <w:pStyle w:val="Tabletext"/>
            </w:pPr>
          </w:p>
        </w:tc>
        <w:tc>
          <w:tcPr>
            <w:tcW w:w="0" w:type="auto"/>
          </w:tcPr>
          <w:p w:rsidR="004F40AE" w:rsidRPr="00274021" w:rsidRDefault="004F40AE" w:rsidP="004F40AE">
            <w:pPr>
              <w:pStyle w:val="Tabletext"/>
            </w:pPr>
          </w:p>
        </w:tc>
        <w:tc>
          <w:tcPr>
            <w:tcW w:w="0" w:type="auto"/>
          </w:tcPr>
          <w:p w:rsidR="004F40AE" w:rsidRDefault="004F40AE" w:rsidP="004F40AE">
            <w:pPr>
              <w:pStyle w:val="Tabletext"/>
            </w:pPr>
          </w:p>
        </w:tc>
        <w:tc>
          <w:tcPr>
            <w:tcW w:w="0" w:type="auto"/>
          </w:tcPr>
          <w:p w:rsidR="004F40AE" w:rsidRPr="00274021" w:rsidRDefault="004F40AE" w:rsidP="004F40AE">
            <w:pPr>
              <w:pStyle w:val="Tabletext"/>
            </w:pPr>
            <w:r>
              <w:t>Severe dysplasia</w:t>
            </w:r>
          </w:p>
        </w:tc>
        <w:tc>
          <w:tcPr>
            <w:tcW w:w="0" w:type="auto"/>
            <w:tcBorders>
              <w:top w:val="single" w:sz="4" w:space="0" w:color="auto"/>
              <w:bottom w:val="single" w:sz="4" w:space="0" w:color="auto"/>
            </w:tcBorders>
          </w:tcPr>
          <w:p w:rsidR="004F40AE" w:rsidRPr="00274021" w:rsidRDefault="004F40AE" w:rsidP="004F40AE">
            <w:pPr>
              <w:pStyle w:val="Tabletext"/>
            </w:pPr>
          </w:p>
        </w:tc>
        <w:tc>
          <w:tcPr>
            <w:tcW w:w="0" w:type="auto"/>
            <w:tcBorders>
              <w:top w:val="single" w:sz="4" w:space="0" w:color="auto"/>
              <w:bottom w:val="single" w:sz="4" w:space="0" w:color="auto"/>
            </w:tcBorders>
          </w:tcPr>
          <w:p w:rsidR="004F40AE" w:rsidRDefault="004F40AE" w:rsidP="004F40AE">
            <w:pPr>
              <w:pStyle w:val="Tabletext"/>
            </w:pPr>
            <w:r>
              <w:t>CIN III</w:t>
            </w:r>
          </w:p>
        </w:tc>
        <w:tc>
          <w:tcPr>
            <w:tcW w:w="0" w:type="auto"/>
            <w:tcBorders>
              <w:top w:val="single" w:sz="4" w:space="0" w:color="auto"/>
              <w:bottom w:val="single" w:sz="4" w:space="0" w:color="auto"/>
            </w:tcBorders>
          </w:tcPr>
          <w:p w:rsidR="004F40AE" w:rsidRPr="00274021" w:rsidRDefault="004F40AE" w:rsidP="004F40AE">
            <w:pPr>
              <w:pStyle w:val="Tabletext"/>
            </w:pPr>
            <w:r>
              <w:t xml:space="preserve">Severe dyskaryosis </w:t>
            </w:r>
          </w:p>
        </w:tc>
        <w:tc>
          <w:tcPr>
            <w:tcW w:w="0" w:type="auto"/>
            <w:tcBorders>
              <w:top w:val="single" w:sz="4" w:space="0" w:color="auto"/>
              <w:bottom w:val="single" w:sz="4" w:space="0" w:color="auto"/>
            </w:tcBorders>
          </w:tcPr>
          <w:p w:rsidR="004F40AE" w:rsidRDefault="004F40AE" w:rsidP="004F40AE">
            <w:pPr>
              <w:pStyle w:val="Tabletext"/>
            </w:pPr>
          </w:p>
        </w:tc>
      </w:tr>
      <w:tr w:rsidR="004F40AE" w:rsidRPr="00274021" w:rsidTr="00C162E5">
        <w:tc>
          <w:tcPr>
            <w:tcW w:w="0" w:type="auto"/>
          </w:tcPr>
          <w:p w:rsidR="004F40AE" w:rsidRDefault="004F40AE" w:rsidP="004F40AE">
            <w:pPr>
              <w:pStyle w:val="Tabletext"/>
            </w:pPr>
            <w:r>
              <w:t>Pap IV</w:t>
            </w:r>
          </w:p>
        </w:tc>
        <w:tc>
          <w:tcPr>
            <w:tcW w:w="0" w:type="auto"/>
          </w:tcPr>
          <w:p w:rsidR="004F40AE" w:rsidRPr="00274021" w:rsidRDefault="004F40AE" w:rsidP="004F40AE">
            <w:pPr>
              <w:pStyle w:val="Tabletext"/>
            </w:pPr>
          </w:p>
        </w:tc>
        <w:tc>
          <w:tcPr>
            <w:tcW w:w="0" w:type="auto"/>
          </w:tcPr>
          <w:p w:rsidR="004F40AE" w:rsidRPr="00274021" w:rsidRDefault="004F40AE" w:rsidP="004F40AE">
            <w:pPr>
              <w:pStyle w:val="Tabletext"/>
            </w:pPr>
            <w:r>
              <w:t>AIS</w:t>
            </w:r>
          </w:p>
        </w:tc>
        <w:tc>
          <w:tcPr>
            <w:tcW w:w="0" w:type="auto"/>
          </w:tcPr>
          <w:p w:rsidR="004F40AE" w:rsidRDefault="004F40AE" w:rsidP="004F40AE">
            <w:pPr>
              <w:pStyle w:val="Tabletext"/>
            </w:pPr>
          </w:p>
        </w:tc>
        <w:tc>
          <w:tcPr>
            <w:tcW w:w="0" w:type="auto"/>
          </w:tcPr>
          <w:p w:rsidR="004F40AE" w:rsidRPr="00274021" w:rsidRDefault="004F40AE" w:rsidP="004F40AE">
            <w:pPr>
              <w:pStyle w:val="Tabletext"/>
            </w:pPr>
            <w:r>
              <w:t>Carcinoma in situ</w:t>
            </w:r>
          </w:p>
        </w:tc>
        <w:tc>
          <w:tcPr>
            <w:tcW w:w="0" w:type="auto"/>
            <w:tcBorders>
              <w:top w:val="single" w:sz="4" w:space="0" w:color="auto"/>
              <w:bottom w:val="single" w:sz="4" w:space="0" w:color="auto"/>
            </w:tcBorders>
          </w:tcPr>
          <w:p w:rsidR="004F40AE" w:rsidRPr="00274021" w:rsidRDefault="004F40AE" w:rsidP="004F40AE">
            <w:pPr>
              <w:pStyle w:val="Tabletext"/>
            </w:pPr>
          </w:p>
        </w:tc>
        <w:tc>
          <w:tcPr>
            <w:tcW w:w="0" w:type="auto"/>
            <w:tcBorders>
              <w:top w:val="single" w:sz="4" w:space="0" w:color="auto"/>
              <w:bottom w:val="single" w:sz="4" w:space="0" w:color="auto"/>
            </w:tcBorders>
          </w:tcPr>
          <w:p w:rsidR="004F40AE" w:rsidRPr="00274021" w:rsidRDefault="004F40AE" w:rsidP="004F40AE">
            <w:pPr>
              <w:pStyle w:val="Tabletext"/>
            </w:pPr>
            <w:r>
              <w:t>CIN III</w:t>
            </w:r>
          </w:p>
        </w:tc>
        <w:tc>
          <w:tcPr>
            <w:tcW w:w="0" w:type="auto"/>
            <w:tcBorders>
              <w:top w:val="single" w:sz="4" w:space="0" w:color="auto"/>
              <w:bottom w:val="single" w:sz="4" w:space="0" w:color="auto"/>
            </w:tcBorders>
          </w:tcPr>
          <w:p w:rsidR="004F40AE" w:rsidRPr="00274021" w:rsidRDefault="004F40AE" w:rsidP="004F40AE">
            <w:pPr>
              <w:pStyle w:val="Tabletext"/>
            </w:pPr>
          </w:p>
        </w:tc>
        <w:tc>
          <w:tcPr>
            <w:tcW w:w="0" w:type="auto"/>
            <w:tcBorders>
              <w:top w:val="single" w:sz="4" w:space="0" w:color="auto"/>
              <w:bottom w:val="single" w:sz="4" w:space="0" w:color="auto"/>
            </w:tcBorders>
          </w:tcPr>
          <w:p w:rsidR="004F40AE" w:rsidRPr="00274021" w:rsidRDefault="004F40AE" w:rsidP="004F40AE">
            <w:pPr>
              <w:pStyle w:val="Tabletext"/>
            </w:pPr>
          </w:p>
        </w:tc>
      </w:tr>
      <w:tr w:rsidR="004F40AE" w:rsidRPr="00274021" w:rsidTr="00C162E5">
        <w:tc>
          <w:tcPr>
            <w:tcW w:w="0" w:type="auto"/>
          </w:tcPr>
          <w:p w:rsidR="004F40AE" w:rsidRDefault="004F40AE" w:rsidP="004F40AE">
            <w:pPr>
              <w:pStyle w:val="Tabletext"/>
            </w:pPr>
            <w:r>
              <w:t>Pap V</w:t>
            </w:r>
          </w:p>
        </w:tc>
        <w:tc>
          <w:tcPr>
            <w:tcW w:w="0" w:type="auto"/>
          </w:tcPr>
          <w:p w:rsidR="004F40AE" w:rsidRPr="00274021" w:rsidRDefault="000B10C9" w:rsidP="004F40AE">
            <w:pPr>
              <w:pStyle w:val="Tabletext"/>
            </w:pPr>
            <w:r>
              <w:t>SCC</w:t>
            </w:r>
          </w:p>
        </w:tc>
        <w:tc>
          <w:tcPr>
            <w:tcW w:w="0" w:type="auto"/>
          </w:tcPr>
          <w:p w:rsidR="004F40AE" w:rsidRPr="00274021" w:rsidRDefault="000B10C9" w:rsidP="004F40AE">
            <w:pPr>
              <w:pStyle w:val="Tabletext"/>
            </w:pPr>
            <w:r>
              <w:t>SCC</w:t>
            </w:r>
          </w:p>
        </w:tc>
        <w:tc>
          <w:tcPr>
            <w:tcW w:w="0" w:type="auto"/>
          </w:tcPr>
          <w:p w:rsidR="004F40AE" w:rsidRDefault="000B10C9" w:rsidP="004F40AE">
            <w:pPr>
              <w:pStyle w:val="Tabletext"/>
            </w:pPr>
            <w:r>
              <w:t>SCC</w:t>
            </w:r>
          </w:p>
        </w:tc>
        <w:tc>
          <w:tcPr>
            <w:tcW w:w="0" w:type="auto"/>
          </w:tcPr>
          <w:p w:rsidR="004F40AE" w:rsidRPr="00274021" w:rsidRDefault="004F40AE" w:rsidP="004F40AE">
            <w:pPr>
              <w:pStyle w:val="Tabletext"/>
            </w:pPr>
            <w:r>
              <w:t>Micro</w:t>
            </w:r>
            <w:r w:rsidR="00041974">
              <w:t>-</w:t>
            </w:r>
            <w:r>
              <w:t>invasive/invasive carcinoma</w:t>
            </w:r>
          </w:p>
        </w:tc>
        <w:tc>
          <w:tcPr>
            <w:tcW w:w="0" w:type="auto"/>
            <w:tcBorders>
              <w:top w:val="single" w:sz="4" w:space="0" w:color="auto"/>
              <w:bottom w:val="single" w:sz="4" w:space="0" w:color="auto"/>
            </w:tcBorders>
          </w:tcPr>
          <w:p w:rsidR="004F40AE" w:rsidRPr="00274021" w:rsidRDefault="004F40AE" w:rsidP="004F40AE">
            <w:pPr>
              <w:pStyle w:val="Tabletext"/>
            </w:pPr>
          </w:p>
        </w:tc>
        <w:tc>
          <w:tcPr>
            <w:tcW w:w="0" w:type="auto"/>
            <w:tcBorders>
              <w:top w:val="single" w:sz="4" w:space="0" w:color="auto"/>
              <w:bottom w:val="single" w:sz="4" w:space="0" w:color="auto"/>
            </w:tcBorders>
          </w:tcPr>
          <w:p w:rsidR="004F40AE" w:rsidRDefault="004F40AE" w:rsidP="004F40AE">
            <w:pPr>
              <w:pStyle w:val="Tabletext"/>
            </w:pPr>
            <w:r>
              <w:t>Invasive carcinoma</w:t>
            </w:r>
          </w:p>
        </w:tc>
        <w:tc>
          <w:tcPr>
            <w:tcW w:w="0" w:type="auto"/>
            <w:tcBorders>
              <w:top w:val="single" w:sz="4" w:space="0" w:color="auto"/>
              <w:bottom w:val="single" w:sz="4" w:space="0" w:color="auto"/>
            </w:tcBorders>
          </w:tcPr>
          <w:p w:rsidR="004F40AE" w:rsidRPr="00274021" w:rsidRDefault="004F40AE" w:rsidP="004F40AE">
            <w:pPr>
              <w:pStyle w:val="Tabletext"/>
            </w:pPr>
            <w:r>
              <w:t>Invasive carcinoma</w:t>
            </w:r>
          </w:p>
        </w:tc>
        <w:tc>
          <w:tcPr>
            <w:tcW w:w="0" w:type="auto"/>
            <w:tcBorders>
              <w:top w:val="single" w:sz="4" w:space="0" w:color="auto"/>
              <w:bottom w:val="single" w:sz="4" w:space="0" w:color="auto"/>
            </w:tcBorders>
          </w:tcPr>
          <w:p w:rsidR="004F40AE" w:rsidRDefault="004F40AE" w:rsidP="004F40AE">
            <w:pPr>
              <w:pStyle w:val="Tabletext"/>
            </w:pPr>
            <w:r>
              <w:t>Invasive cancer</w:t>
            </w:r>
          </w:p>
        </w:tc>
      </w:tr>
    </w:tbl>
    <w:p w:rsidR="004F40AE" w:rsidRPr="00F23810" w:rsidRDefault="004F40AE" w:rsidP="00F23810">
      <w:pPr>
        <w:pStyle w:val="Tabletext"/>
        <w:sectPr w:rsidR="004F40AE" w:rsidRPr="00F23810" w:rsidSect="008846BA">
          <w:pgSz w:w="16839" w:h="11907" w:orient="landscape" w:code="9"/>
          <w:pgMar w:top="1701" w:right="1701" w:bottom="1418" w:left="1418" w:header="720" w:footer="720" w:gutter="0"/>
          <w:paperSrc w:first="4035" w:other="4035"/>
          <w:cols w:space="720"/>
          <w:noEndnote/>
          <w:docGrid w:linePitch="299"/>
        </w:sectPr>
      </w:pPr>
      <w:r w:rsidRPr="00F23810">
        <w:t>Source: Wright 2006</w:t>
      </w:r>
      <w:r w:rsidR="00C162E5" w:rsidRPr="00F23810">
        <w:t xml:space="preserve">, Table 2 p.S25, Palmer </w:t>
      </w:r>
      <w:r w:rsidRPr="00F23810">
        <w:t>2012, Box 3 p.4</w:t>
      </w:r>
      <w:r w:rsidR="00C162E5" w:rsidRPr="00F23810">
        <w:t>, 2009 MSAC report Table 1 p.5,</w:t>
      </w:r>
      <w:r w:rsidRPr="00F23810">
        <w:t xml:space="preserve"> and https://openaccess.leidenuniv.nl/bitstream/handle/1887/4435/01.pdf?sequence=13 Chapter 1, Equivocal cytology; Table 1 p.12 </w:t>
      </w:r>
      <w:r w:rsidR="004E71C8" w:rsidRPr="00F23810">
        <w:br/>
      </w:r>
      <w:r w:rsidRPr="00F23810">
        <w:t>Abbreviations: NHSCSP, National Hea</w:t>
      </w:r>
      <w:r w:rsidR="00F23810">
        <w:t>lth Service Cervical Screening P</w:t>
      </w:r>
      <w:r w:rsidRPr="00F23810">
        <w:t>ro</w:t>
      </w:r>
      <w:r w:rsidR="00F23810">
        <w:t>gram; HPV, human p</w:t>
      </w:r>
      <w:r w:rsidRPr="00F23810">
        <w:t>apillomavirus; ASCUS, atypical squamous cells of undetermined significance; ASC-H, atypical squamous cell cannot exclude high-grade squamous intraepithelial lesion; pLSIL, possible low-grade squamous intraepithelial lesion; LSIL, low-grade squamous intraepithelial lesion; pHSIL, possible high-grade intraepithelial lesion HSIL, high-grade squamous intraepithelial le</w:t>
      </w:r>
      <w:r w:rsidR="00C162E5" w:rsidRPr="00F23810">
        <w:t>sion</w:t>
      </w:r>
      <w:r w:rsidR="000B10C9">
        <w:t>; SCC, squamous cell carcinoma</w:t>
      </w:r>
    </w:p>
    <w:p w:rsidR="004F40AE" w:rsidRDefault="004F40AE" w:rsidP="004F40AE">
      <w:pPr>
        <w:pStyle w:val="Caption"/>
        <w:rPr>
          <w:sz w:val="16"/>
          <w:szCs w:val="16"/>
        </w:rPr>
      </w:pPr>
      <w:bookmarkStart w:id="220" w:name="_Ref335033132"/>
      <w:bookmarkStart w:id="221" w:name="_Toc335665986"/>
      <w:bookmarkStart w:id="222" w:name="_Toc337546957"/>
      <w:r>
        <w:lastRenderedPageBreak/>
        <w:t xml:space="preserve">Table </w:t>
      </w:r>
      <w:fldSimple w:instr=" SEQ Table \* ARABIC ">
        <w:r w:rsidR="003361A8">
          <w:rPr>
            <w:noProof/>
          </w:rPr>
          <w:t>20</w:t>
        </w:r>
      </w:fldSimple>
      <w:bookmarkEnd w:id="220"/>
      <w:r>
        <w:tab/>
        <w:t xml:space="preserve">Changes made </w:t>
      </w:r>
      <w:r w:rsidRPr="006E002A">
        <w:t>between the 1991 and 2011 Bethesda Classification Systems</w:t>
      </w:r>
      <w:bookmarkEnd w:id="221"/>
      <w:bookmarkEnd w:id="2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22"/>
        <w:gridCol w:w="4282"/>
      </w:tblGrid>
      <w:tr w:rsidR="004F40AE" w:rsidRPr="00F23810" w:rsidTr="00C162E5">
        <w:trPr>
          <w:cantSplit/>
          <w:trHeight w:val="20"/>
        </w:trPr>
        <w:tc>
          <w:tcPr>
            <w:tcW w:w="2622" w:type="pct"/>
            <w:tcBorders>
              <w:top w:val="single" w:sz="4" w:space="0" w:color="auto"/>
              <w:left w:val="single" w:sz="4" w:space="0" w:color="auto"/>
              <w:bottom w:val="single" w:sz="4" w:space="0" w:color="auto"/>
              <w:right w:val="single" w:sz="4" w:space="0" w:color="auto"/>
            </w:tcBorders>
            <w:shd w:val="clear" w:color="auto" w:fill="auto"/>
          </w:tcPr>
          <w:p w:rsidR="004F40AE" w:rsidRPr="00F23810" w:rsidRDefault="004F40AE" w:rsidP="00F23810">
            <w:pPr>
              <w:pStyle w:val="Tabletext"/>
              <w:rPr>
                <w:b/>
              </w:rPr>
            </w:pPr>
            <w:r w:rsidRPr="00F23810">
              <w:rPr>
                <w:b/>
              </w:rPr>
              <w:t>The Bethesda System 1991</w:t>
            </w:r>
          </w:p>
        </w:tc>
        <w:tc>
          <w:tcPr>
            <w:tcW w:w="2378" w:type="pct"/>
            <w:tcBorders>
              <w:top w:val="single" w:sz="4" w:space="0" w:color="auto"/>
              <w:left w:val="single" w:sz="4" w:space="0" w:color="auto"/>
              <w:bottom w:val="single" w:sz="4" w:space="0" w:color="auto"/>
              <w:right w:val="single" w:sz="4" w:space="0" w:color="auto"/>
            </w:tcBorders>
          </w:tcPr>
          <w:p w:rsidR="004F40AE" w:rsidRPr="00F23810" w:rsidRDefault="004F40AE" w:rsidP="00F23810">
            <w:pPr>
              <w:pStyle w:val="Tabletext"/>
              <w:rPr>
                <w:b/>
              </w:rPr>
            </w:pPr>
            <w:r w:rsidRPr="00F23810">
              <w:rPr>
                <w:b/>
              </w:rPr>
              <w:t>The Bethesda System 2001</w:t>
            </w:r>
          </w:p>
        </w:tc>
      </w:tr>
      <w:tr w:rsidR="004F40AE" w:rsidRPr="00F23810" w:rsidTr="00C162E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rsidR="004F40AE" w:rsidRPr="00F23810" w:rsidRDefault="004F40AE" w:rsidP="00C162E5">
            <w:pPr>
              <w:pStyle w:val="Tabletext"/>
              <w:rPr>
                <w:b/>
              </w:rPr>
            </w:pPr>
            <w:r w:rsidRPr="00F23810">
              <w:rPr>
                <w:b/>
              </w:rPr>
              <w:t>Reporting of unsatisfactory smears</w:t>
            </w:r>
          </w:p>
        </w:tc>
      </w:tr>
      <w:tr w:rsidR="004F40AE" w:rsidRPr="00EF7E0A" w:rsidTr="00C162E5">
        <w:trPr>
          <w:cantSplit/>
          <w:trHeight w:val="20"/>
        </w:trPr>
        <w:tc>
          <w:tcPr>
            <w:tcW w:w="2622" w:type="pct"/>
            <w:tcBorders>
              <w:top w:val="single" w:sz="4" w:space="0" w:color="auto"/>
              <w:left w:val="single" w:sz="4" w:space="0" w:color="auto"/>
              <w:bottom w:val="single" w:sz="4" w:space="0" w:color="auto"/>
              <w:right w:val="single" w:sz="4" w:space="0" w:color="auto"/>
            </w:tcBorders>
            <w:shd w:val="clear" w:color="auto" w:fill="auto"/>
          </w:tcPr>
          <w:p w:rsidR="004F40AE" w:rsidRPr="00F23810" w:rsidRDefault="004F40AE" w:rsidP="00C162E5">
            <w:pPr>
              <w:pStyle w:val="Tabletext"/>
            </w:pPr>
            <w:r w:rsidRPr="00F23810">
              <w:t>Satisfactory for evaluation</w:t>
            </w:r>
          </w:p>
        </w:tc>
        <w:tc>
          <w:tcPr>
            <w:tcW w:w="2378" w:type="pct"/>
            <w:vMerge w:val="restart"/>
            <w:tcBorders>
              <w:top w:val="single" w:sz="4" w:space="0" w:color="auto"/>
              <w:left w:val="single" w:sz="4" w:space="0" w:color="auto"/>
              <w:right w:val="single" w:sz="4" w:space="0" w:color="auto"/>
            </w:tcBorders>
          </w:tcPr>
          <w:p w:rsidR="004F40AE" w:rsidRPr="00F23810" w:rsidRDefault="004F40AE" w:rsidP="00C162E5">
            <w:pPr>
              <w:pStyle w:val="Tabletext"/>
            </w:pPr>
            <w:r w:rsidRPr="00F23810">
              <w:t>Satisfactory for evaluation</w:t>
            </w:r>
          </w:p>
        </w:tc>
      </w:tr>
      <w:tr w:rsidR="004F40AE" w:rsidRPr="00EF7E0A" w:rsidTr="00C162E5">
        <w:trPr>
          <w:cantSplit/>
          <w:trHeight w:val="289"/>
        </w:trPr>
        <w:tc>
          <w:tcPr>
            <w:tcW w:w="2622" w:type="pct"/>
            <w:vMerge w:val="restart"/>
            <w:tcBorders>
              <w:top w:val="single" w:sz="4" w:space="0" w:color="auto"/>
              <w:left w:val="single" w:sz="4" w:space="0" w:color="auto"/>
              <w:right w:val="single" w:sz="4" w:space="0" w:color="auto"/>
            </w:tcBorders>
            <w:shd w:val="clear" w:color="auto" w:fill="auto"/>
          </w:tcPr>
          <w:p w:rsidR="004F40AE" w:rsidRPr="00F23810" w:rsidRDefault="004F40AE" w:rsidP="00C162E5">
            <w:pPr>
              <w:pStyle w:val="Tabletext"/>
            </w:pPr>
            <w:r w:rsidRPr="00F23810">
              <w:t>Satisfactory but limited by…</w:t>
            </w:r>
          </w:p>
        </w:tc>
        <w:tc>
          <w:tcPr>
            <w:tcW w:w="2378" w:type="pct"/>
            <w:vMerge/>
            <w:tcBorders>
              <w:left w:val="single" w:sz="4" w:space="0" w:color="auto"/>
              <w:bottom w:val="single" w:sz="4" w:space="0" w:color="auto"/>
              <w:right w:val="single" w:sz="4" w:space="0" w:color="auto"/>
            </w:tcBorders>
          </w:tcPr>
          <w:p w:rsidR="004F40AE" w:rsidRPr="00F23810" w:rsidRDefault="004F40AE" w:rsidP="00C162E5">
            <w:pPr>
              <w:pStyle w:val="Tabletext"/>
            </w:pPr>
          </w:p>
        </w:tc>
      </w:tr>
      <w:tr w:rsidR="004F40AE" w:rsidRPr="00EF7E0A" w:rsidTr="00C162E5">
        <w:trPr>
          <w:cantSplit/>
          <w:trHeight w:val="349"/>
        </w:trPr>
        <w:tc>
          <w:tcPr>
            <w:tcW w:w="2622" w:type="pct"/>
            <w:vMerge/>
            <w:tcBorders>
              <w:left w:val="single" w:sz="4" w:space="0" w:color="auto"/>
              <w:bottom w:val="single" w:sz="4" w:space="0" w:color="auto"/>
              <w:right w:val="single" w:sz="4" w:space="0" w:color="auto"/>
            </w:tcBorders>
            <w:shd w:val="clear" w:color="auto" w:fill="auto"/>
          </w:tcPr>
          <w:p w:rsidR="004F40AE" w:rsidRPr="00F23810" w:rsidRDefault="004F40AE" w:rsidP="00C162E5">
            <w:pPr>
              <w:pStyle w:val="Tabletext"/>
            </w:pPr>
          </w:p>
        </w:tc>
        <w:tc>
          <w:tcPr>
            <w:tcW w:w="2378" w:type="pct"/>
            <w:vMerge w:val="restart"/>
            <w:tcBorders>
              <w:top w:val="single" w:sz="4" w:space="0" w:color="auto"/>
              <w:left w:val="single" w:sz="4" w:space="0" w:color="auto"/>
              <w:right w:val="single" w:sz="4" w:space="0" w:color="auto"/>
            </w:tcBorders>
          </w:tcPr>
          <w:p w:rsidR="004F40AE" w:rsidRPr="00F23810" w:rsidRDefault="004F40AE" w:rsidP="00C162E5">
            <w:pPr>
              <w:pStyle w:val="Tabletext"/>
            </w:pPr>
            <w:r w:rsidRPr="00F23810">
              <w:t>Unsatisfactory for evaluation</w:t>
            </w:r>
          </w:p>
        </w:tc>
      </w:tr>
      <w:tr w:rsidR="004F40AE" w:rsidRPr="00EF7E0A" w:rsidTr="00C162E5">
        <w:trPr>
          <w:cantSplit/>
          <w:trHeight w:val="20"/>
        </w:trPr>
        <w:tc>
          <w:tcPr>
            <w:tcW w:w="2622" w:type="pct"/>
            <w:tcBorders>
              <w:top w:val="single" w:sz="4" w:space="0" w:color="auto"/>
              <w:left w:val="single" w:sz="4" w:space="0" w:color="auto"/>
              <w:bottom w:val="single" w:sz="4" w:space="0" w:color="auto"/>
              <w:right w:val="single" w:sz="4" w:space="0" w:color="auto"/>
            </w:tcBorders>
            <w:shd w:val="clear" w:color="auto" w:fill="auto"/>
          </w:tcPr>
          <w:p w:rsidR="004F40AE" w:rsidRDefault="004F40AE" w:rsidP="00C162E5">
            <w:pPr>
              <w:pStyle w:val="Tabletext"/>
            </w:pPr>
            <w:r>
              <w:t>Unsatisfactory for evaluation</w:t>
            </w:r>
          </w:p>
        </w:tc>
        <w:tc>
          <w:tcPr>
            <w:tcW w:w="2378" w:type="pct"/>
            <w:vMerge/>
            <w:tcBorders>
              <w:left w:val="single" w:sz="4" w:space="0" w:color="auto"/>
              <w:right w:val="single" w:sz="4" w:space="0" w:color="auto"/>
            </w:tcBorders>
          </w:tcPr>
          <w:p w:rsidR="004F40AE" w:rsidRPr="00EF7E0A" w:rsidRDefault="004F40AE" w:rsidP="00C162E5">
            <w:pPr>
              <w:pStyle w:val="Tabletext"/>
            </w:pPr>
          </w:p>
        </w:tc>
      </w:tr>
      <w:tr w:rsidR="004F40AE" w:rsidRPr="00EF7E0A" w:rsidTr="00C162E5">
        <w:trPr>
          <w:cantSplit/>
          <w:trHeight w:val="20"/>
        </w:trPr>
        <w:tc>
          <w:tcPr>
            <w:tcW w:w="5000" w:type="pct"/>
            <w:gridSpan w:val="2"/>
            <w:tcBorders>
              <w:top w:val="single" w:sz="4" w:space="0" w:color="auto"/>
              <w:left w:val="single" w:sz="4" w:space="0" w:color="auto"/>
              <w:bottom w:val="single" w:sz="4" w:space="0" w:color="auto"/>
              <w:right w:val="single" w:sz="4" w:space="0" w:color="auto"/>
            </w:tcBorders>
            <w:shd w:val="clear" w:color="auto" w:fill="D9D9D9"/>
          </w:tcPr>
          <w:p w:rsidR="004F40AE" w:rsidRPr="00EF7E0A" w:rsidRDefault="004F40AE" w:rsidP="00C162E5">
            <w:pPr>
              <w:pStyle w:val="Tabletext"/>
              <w:rPr>
                <w:b/>
              </w:rPr>
            </w:pPr>
            <w:r>
              <w:rPr>
                <w:b/>
              </w:rPr>
              <w:t>Reporting of atypical cells</w:t>
            </w:r>
          </w:p>
        </w:tc>
      </w:tr>
      <w:tr w:rsidR="004F40AE" w:rsidRPr="00F23810" w:rsidTr="00C162E5">
        <w:trPr>
          <w:cantSplit/>
          <w:trHeight w:val="20"/>
        </w:trPr>
        <w:tc>
          <w:tcPr>
            <w:tcW w:w="2622" w:type="pct"/>
            <w:vMerge w:val="restart"/>
            <w:tcBorders>
              <w:top w:val="single" w:sz="4" w:space="0" w:color="auto"/>
              <w:left w:val="single" w:sz="4" w:space="0" w:color="auto"/>
              <w:right w:val="single" w:sz="4" w:space="0" w:color="auto"/>
            </w:tcBorders>
            <w:shd w:val="clear" w:color="auto" w:fill="auto"/>
          </w:tcPr>
          <w:p w:rsidR="004F40AE" w:rsidRPr="00F23810" w:rsidRDefault="004F40AE" w:rsidP="00C162E5">
            <w:pPr>
              <w:pStyle w:val="Tabletext"/>
            </w:pPr>
            <w:r w:rsidRPr="00F23810">
              <w:t>ASCUS</w:t>
            </w:r>
          </w:p>
        </w:tc>
        <w:tc>
          <w:tcPr>
            <w:tcW w:w="2378" w:type="pct"/>
            <w:tcBorders>
              <w:left w:val="single" w:sz="4" w:space="0" w:color="auto"/>
              <w:right w:val="single" w:sz="4" w:space="0" w:color="auto"/>
            </w:tcBorders>
          </w:tcPr>
          <w:p w:rsidR="004F40AE" w:rsidRPr="00F23810" w:rsidRDefault="004F40AE" w:rsidP="00C162E5">
            <w:pPr>
              <w:pStyle w:val="Tabletext"/>
            </w:pPr>
            <w:r w:rsidRPr="00F23810">
              <w:t>ASCUS</w:t>
            </w:r>
          </w:p>
        </w:tc>
      </w:tr>
      <w:tr w:rsidR="004F40AE" w:rsidRPr="00F23810" w:rsidTr="00C162E5">
        <w:trPr>
          <w:cantSplit/>
          <w:trHeight w:val="20"/>
        </w:trPr>
        <w:tc>
          <w:tcPr>
            <w:tcW w:w="2622" w:type="pct"/>
            <w:vMerge/>
            <w:tcBorders>
              <w:left w:val="single" w:sz="4" w:space="0" w:color="auto"/>
              <w:bottom w:val="single" w:sz="4" w:space="0" w:color="auto"/>
              <w:right w:val="single" w:sz="4" w:space="0" w:color="auto"/>
            </w:tcBorders>
            <w:shd w:val="clear" w:color="auto" w:fill="auto"/>
          </w:tcPr>
          <w:p w:rsidR="004F40AE" w:rsidRPr="00F23810" w:rsidRDefault="004F40AE" w:rsidP="00C162E5">
            <w:pPr>
              <w:pStyle w:val="Tabletext"/>
            </w:pPr>
          </w:p>
        </w:tc>
        <w:tc>
          <w:tcPr>
            <w:tcW w:w="2378" w:type="pct"/>
            <w:tcBorders>
              <w:left w:val="single" w:sz="4" w:space="0" w:color="auto"/>
              <w:right w:val="single" w:sz="4" w:space="0" w:color="auto"/>
            </w:tcBorders>
          </w:tcPr>
          <w:p w:rsidR="004F40AE" w:rsidRPr="00F23810" w:rsidRDefault="004F40AE" w:rsidP="00C162E5">
            <w:pPr>
              <w:pStyle w:val="Tabletext"/>
            </w:pPr>
            <w:r w:rsidRPr="00F23810">
              <w:t>ASC-H</w:t>
            </w:r>
          </w:p>
        </w:tc>
      </w:tr>
      <w:tr w:rsidR="004F40AE" w:rsidRPr="00EF7E0A" w:rsidTr="00C162E5">
        <w:trPr>
          <w:cantSplit/>
          <w:trHeight w:val="20"/>
        </w:trPr>
        <w:tc>
          <w:tcPr>
            <w:tcW w:w="5000" w:type="pct"/>
            <w:gridSpan w:val="2"/>
            <w:tcBorders>
              <w:left w:val="single" w:sz="4" w:space="0" w:color="auto"/>
              <w:right w:val="single" w:sz="4" w:space="0" w:color="auto"/>
            </w:tcBorders>
            <w:shd w:val="clear" w:color="auto" w:fill="D9D9D9"/>
          </w:tcPr>
          <w:p w:rsidR="004F40AE" w:rsidRDefault="004F40AE" w:rsidP="00C162E5">
            <w:pPr>
              <w:pStyle w:val="Tabletext"/>
              <w:rPr>
                <w:b/>
              </w:rPr>
            </w:pPr>
            <w:r>
              <w:rPr>
                <w:b/>
              </w:rPr>
              <w:t>Reporting of adenocarcinoma in situ</w:t>
            </w:r>
          </w:p>
        </w:tc>
      </w:tr>
      <w:tr w:rsidR="004F40AE" w:rsidRPr="00F23810" w:rsidTr="00C162E5">
        <w:trPr>
          <w:cantSplit/>
          <w:trHeight w:val="20"/>
        </w:trPr>
        <w:tc>
          <w:tcPr>
            <w:tcW w:w="2622" w:type="pct"/>
            <w:vMerge w:val="restart"/>
            <w:tcBorders>
              <w:left w:val="single" w:sz="4" w:space="0" w:color="auto"/>
              <w:right w:val="single" w:sz="4" w:space="0" w:color="auto"/>
            </w:tcBorders>
            <w:shd w:val="clear" w:color="auto" w:fill="auto"/>
          </w:tcPr>
          <w:p w:rsidR="004F40AE" w:rsidRPr="00F23810" w:rsidRDefault="004F40AE" w:rsidP="00C162E5">
            <w:pPr>
              <w:pStyle w:val="Tabletext"/>
            </w:pPr>
            <w:r w:rsidRPr="00F23810">
              <w:t>AGUS</w:t>
            </w:r>
          </w:p>
        </w:tc>
        <w:tc>
          <w:tcPr>
            <w:tcW w:w="2378" w:type="pct"/>
            <w:tcBorders>
              <w:left w:val="single" w:sz="4" w:space="0" w:color="auto"/>
              <w:right w:val="single" w:sz="4" w:space="0" w:color="auto"/>
            </w:tcBorders>
          </w:tcPr>
          <w:p w:rsidR="004F40AE" w:rsidRPr="00F23810" w:rsidRDefault="004F40AE" w:rsidP="00C162E5">
            <w:pPr>
              <w:pStyle w:val="Tabletext"/>
            </w:pPr>
            <w:r w:rsidRPr="00F23810">
              <w:t>AGUS</w:t>
            </w:r>
          </w:p>
        </w:tc>
      </w:tr>
      <w:tr w:rsidR="004F40AE" w:rsidRPr="00F23810" w:rsidTr="004F40AE">
        <w:trPr>
          <w:cantSplit/>
        </w:trPr>
        <w:tc>
          <w:tcPr>
            <w:tcW w:w="2622" w:type="pct"/>
            <w:vMerge/>
            <w:tcBorders>
              <w:left w:val="single" w:sz="4" w:space="0" w:color="auto"/>
              <w:bottom w:val="single" w:sz="4" w:space="0" w:color="auto"/>
              <w:right w:val="single" w:sz="4" w:space="0" w:color="auto"/>
            </w:tcBorders>
            <w:shd w:val="clear" w:color="auto" w:fill="auto"/>
          </w:tcPr>
          <w:p w:rsidR="004F40AE" w:rsidRPr="00F23810" w:rsidRDefault="004F40AE" w:rsidP="00C162E5">
            <w:pPr>
              <w:pStyle w:val="Tabletext"/>
            </w:pPr>
          </w:p>
        </w:tc>
        <w:tc>
          <w:tcPr>
            <w:tcW w:w="2378" w:type="pct"/>
            <w:tcBorders>
              <w:left w:val="single" w:sz="4" w:space="0" w:color="auto"/>
              <w:bottom w:val="single" w:sz="4" w:space="0" w:color="auto"/>
              <w:right w:val="single" w:sz="4" w:space="0" w:color="auto"/>
            </w:tcBorders>
          </w:tcPr>
          <w:p w:rsidR="004F40AE" w:rsidRPr="00F23810" w:rsidRDefault="004F40AE" w:rsidP="00C162E5">
            <w:pPr>
              <w:pStyle w:val="Tabletext"/>
            </w:pPr>
            <w:r w:rsidRPr="00F23810">
              <w:t>AIS</w:t>
            </w:r>
          </w:p>
        </w:tc>
      </w:tr>
    </w:tbl>
    <w:p w:rsidR="004F40AE" w:rsidRPr="00041974" w:rsidRDefault="004F40AE" w:rsidP="00041974">
      <w:pPr>
        <w:pStyle w:val="Tabletext"/>
      </w:pPr>
      <w:r w:rsidRPr="00041974">
        <w:t>Source: NHMRC cervical cancer screening guidelines 2005, problems with TBS 1991 p.19</w:t>
      </w:r>
      <w:r w:rsidR="004E71C8" w:rsidRPr="00041974">
        <w:br/>
      </w:r>
      <w:r w:rsidRPr="00041974">
        <w:t>Abbreviations: ASCUS, atypical squamous cells of undetermined significance; ASC-H, atypical squamous cell cannot exclude high-grade squamous intraepithelial lesion; AGUS, atypical glandular cell of undetermined significance; AIS, adenocarcinoma in situ</w:t>
      </w:r>
    </w:p>
    <w:p w:rsidR="004F40AE" w:rsidRDefault="004F40AE" w:rsidP="009C4D0C">
      <w:pPr>
        <w:pStyle w:val="Tabletext"/>
        <w:rPr>
          <w:sz w:val="16"/>
          <w:szCs w:val="16"/>
        </w:rPr>
      </w:pPr>
    </w:p>
    <w:p w:rsidR="00904BA0" w:rsidRDefault="00904BA0" w:rsidP="00904BA0">
      <w:pPr>
        <w:pStyle w:val="Caption"/>
      </w:pPr>
      <w:bookmarkStart w:id="223" w:name="_Ref334000647"/>
      <w:bookmarkStart w:id="224" w:name="_Toc335665987"/>
      <w:bookmarkStart w:id="225" w:name="_Toc337546958"/>
      <w:r>
        <w:t xml:space="preserve">Table </w:t>
      </w:r>
      <w:fldSimple w:instr=" SEQ Table \* ARABIC ">
        <w:r w:rsidR="003361A8">
          <w:rPr>
            <w:noProof/>
          </w:rPr>
          <w:t>21</w:t>
        </w:r>
      </w:fldSimple>
      <w:bookmarkEnd w:id="223"/>
      <w:r>
        <w:tab/>
        <w:t>Classification systems used in the included trials</w:t>
      </w:r>
      <w:bookmarkEnd w:id="224"/>
      <w:bookmarkEnd w:id="2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1"/>
        <w:gridCol w:w="3901"/>
        <w:gridCol w:w="3902"/>
      </w:tblGrid>
      <w:tr w:rsidR="00904BA0" w:rsidRPr="00274021" w:rsidTr="0023269B">
        <w:trPr>
          <w:cantSplit/>
          <w:trHeight w:val="336"/>
        </w:trPr>
        <w:tc>
          <w:tcPr>
            <w:tcW w:w="667" w:type="pct"/>
            <w:tcBorders>
              <w:bottom w:val="single" w:sz="4" w:space="0" w:color="auto"/>
            </w:tcBorders>
          </w:tcPr>
          <w:p w:rsidR="00904BA0" w:rsidRPr="00274021" w:rsidRDefault="00904BA0" w:rsidP="00904BA0">
            <w:pPr>
              <w:pStyle w:val="Tableheading"/>
            </w:pPr>
            <w:r w:rsidRPr="00274021">
              <w:t>Trial ID</w:t>
            </w:r>
          </w:p>
        </w:tc>
        <w:tc>
          <w:tcPr>
            <w:tcW w:w="2166" w:type="pct"/>
            <w:tcBorders>
              <w:bottom w:val="single" w:sz="4" w:space="0" w:color="auto"/>
            </w:tcBorders>
          </w:tcPr>
          <w:p w:rsidR="00904BA0" w:rsidRPr="00274021" w:rsidRDefault="005E3B41" w:rsidP="00904BA0">
            <w:pPr>
              <w:pStyle w:val="Tableheading"/>
            </w:pPr>
            <w:r>
              <w:t>Cytology classification s</w:t>
            </w:r>
            <w:r w:rsidR="00904BA0">
              <w:t>ystem</w:t>
            </w:r>
          </w:p>
        </w:tc>
        <w:tc>
          <w:tcPr>
            <w:tcW w:w="2167" w:type="pct"/>
            <w:tcBorders>
              <w:bottom w:val="single" w:sz="4" w:space="0" w:color="auto"/>
            </w:tcBorders>
          </w:tcPr>
          <w:p w:rsidR="00904BA0" w:rsidRPr="00274021" w:rsidRDefault="00904BA0" w:rsidP="00904BA0">
            <w:pPr>
              <w:pStyle w:val="Tableheading"/>
            </w:pPr>
            <w:r>
              <w:t xml:space="preserve">Histology </w:t>
            </w:r>
            <w:r w:rsidR="005E3B41">
              <w:t>classification system</w:t>
            </w:r>
          </w:p>
        </w:tc>
      </w:tr>
      <w:tr w:rsidR="00904BA0" w:rsidRPr="005E3B41" w:rsidTr="0023269B">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rsidR="00904BA0" w:rsidRPr="005E3B41" w:rsidRDefault="00904BA0" w:rsidP="005E3B41">
            <w:pPr>
              <w:pStyle w:val="Tabletext"/>
              <w:rPr>
                <w:b/>
              </w:rPr>
            </w:pPr>
            <w:r w:rsidRPr="005E3B41">
              <w:rPr>
                <w:b/>
              </w:rPr>
              <w:t xml:space="preserve">SurePath versus </w:t>
            </w:r>
            <w:r w:rsidR="005E3B41" w:rsidRPr="005E3B41">
              <w:rPr>
                <w:b/>
              </w:rPr>
              <w:t>conventional cytology</w:t>
            </w:r>
          </w:p>
        </w:tc>
      </w:tr>
      <w:tr w:rsidR="00904BA0" w:rsidRPr="00274021" w:rsidTr="0023269B">
        <w:trPr>
          <w:cantSplit/>
        </w:trPr>
        <w:tc>
          <w:tcPr>
            <w:tcW w:w="667" w:type="pct"/>
            <w:tcBorders>
              <w:top w:val="single" w:sz="4" w:space="0" w:color="auto"/>
              <w:left w:val="single" w:sz="4" w:space="0" w:color="auto"/>
              <w:bottom w:val="single" w:sz="4" w:space="0" w:color="auto"/>
              <w:right w:val="single" w:sz="4" w:space="0" w:color="auto"/>
            </w:tcBorders>
            <w:shd w:val="clear" w:color="auto" w:fill="auto"/>
          </w:tcPr>
          <w:p w:rsidR="00904BA0" w:rsidRPr="00274021" w:rsidRDefault="00904BA0" w:rsidP="005E3B41">
            <w:pPr>
              <w:pStyle w:val="Tabletext"/>
            </w:pPr>
            <w:r>
              <w:t>Beerman 2009</w:t>
            </w:r>
          </w:p>
        </w:tc>
        <w:tc>
          <w:tcPr>
            <w:tcW w:w="2166" w:type="pct"/>
            <w:tcBorders>
              <w:top w:val="single" w:sz="4" w:space="0" w:color="auto"/>
              <w:left w:val="single" w:sz="4" w:space="0" w:color="auto"/>
              <w:bottom w:val="single" w:sz="4" w:space="0" w:color="auto"/>
              <w:right w:val="single" w:sz="4" w:space="0" w:color="auto"/>
            </w:tcBorders>
            <w:shd w:val="clear" w:color="auto" w:fill="auto"/>
          </w:tcPr>
          <w:p w:rsidR="00904BA0" w:rsidRPr="00EF7E0A" w:rsidRDefault="00904BA0" w:rsidP="005E3B41">
            <w:pPr>
              <w:pStyle w:val="Tabletext"/>
            </w:pPr>
            <w:r>
              <w:t>Cytotechnologists classified using the KOPAC-B which was then converted to the Bethesda system for reporting purposes</w:t>
            </w:r>
            <w:r w:rsidR="004E71C8">
              <w:t>*</w:t>
            </w:r>
          </w:p>
        </w:tc>
        <w:tc>
          <w:tcPr>
            <w:tcW w:w="2167" w:type="pct"/>
            <w:tcBorders>
              <w:top w:val="single" w:sz="4" w:space="0" w:color="auto"/>
              <w:left w:val="single" w:sz="4" w:space="0" w:color="auto"/>
              <w:bottom w:val="single" w:sz="4" w:space="0" w:color="auto"/>
              <w:right w:val="single" w:sz="4" w:space="0" w:color="auto"/>
            </w:tcBorders>
            <w:shd w:val="clear" w:color="auto" w:fill="auto"/>
          </w:tcPr>
          <w:p w:rsidR="00904BA0" w:rsidRPr="00EF7E0A" w:rsidRDefault="00904BA0" w:rsidP="005E3B41">
            <w:pPr>
              <w:pStyle w:val="Tabletext"/>
            </w:pPr>
            <w:r>
              <w:t>No dy</w:t>
            </w:r>
            <w:r w:rsidR="005E3B41">
              <w:t>s</w:t>
            </w:r>
            <w:r>
              <w:t>plasia, CIN</w:t>
            </w:r>
            <w:r w:rsidR="005E3B41">
              <w:t xml:space="preserve"> </w:t>
            </w:r>
            <w:r>
              <w:t>1/2/3, squamous carcinoma, adenocarcinoma</w:t>
            </w:r>
          </w:p>
        </w:tc>
      </w:tr>
      <w:tr w:rsidR="00904BA0" w:rsidRPr="00274021" w:rsidTr="0023269B">
        <w:trPr>
          <w:cantSplit/>
        </w:trPr>
        <w:tc>
          <w:tcPr>
            <w:tcW w:w="667" w:type="pct"/>
            <w:tcBorders>
              <w:top w:val="single" w:sz="4" w:space="0" w:color="auto"/>
              <w:left w:val="single" w:sz="4" w:space="0" w:color="auto"/>
              <w:bottom w:val="single" w:sz="4" w:space="0" w:color="auto"/>
              <w:right w:val="single" w:sz="4" w:space="0" w:color="auto"/>
            </w:tcBorders>
            <w:shd w:val="clear" w:color="auto" w:fill="auto"/>
          </w:tcPr>
          <w:p w:rsidR="00904BA0" w:rsidRPr="00274021" w:rsidRDefault="00904BA0" w:rsidP="005E3B41">
            <w:pPr>
              <w:pStyle w:val="Tabletext"/>
            </w:pPr>
            <w:r>
              <w:t>RODEO Study</w:t>
            </w:r>
          </w:p>
        </w:tc>
        <w:tc>
          <w:tcPr>
            <w:tcW w:w="2166" w:type="pct"/>
            <w:tcBorders>
              <w:top w:val="single" w:sz="4" w:space="0" w:color="auto"/>
              <w:left w:val="single" w:sz="4" w:space="0" w:color="auto"/>
              <w:bottom w:val="single" w:sz="4" w:space="0" w:color="auto"/>
              <w:right w:val="single" w:sz="4" w:space="0" w:color="auto"/>
            </w:tcBorders>
            <w:shd w:val="clear" w:color="auto" w:fill="auto"/>
          </w:tcPr>
          <w:p w:rsidR="00904BA0" w:rsidRPr="00210CAD" w:rsidRDefault="00904BA0" w:rsidP="005E3B41">
            <w:pPr>
              <w:pStyle w:val="Tabletext"/>
            </w:pPr>
            <w:r>
              <w:t>Bethesda terminology used in reporting</w:t>
            </w:r>
            <w:r w:rsidRPr="00210CAD">
              <w:rPr>
                <w:vertAlign w:val="superscript"/>
              </w:rPr>
              <w:t>a</w:t>
            </w:r>
          </w:p>
        </w:tc>
        <w:tc>
          <w:tcPr>
            <w:tcW w:w="2167" w:type="pct"/>
            <w:tcBorders>
              <w:top w:val="single" w:sz="4" w:space="0" w:color="auto"/>
              <w:left w:val="single" w:sz="4" w:space="0" w:color="auto"/>
              <w:bottom w:val="single" w:sz="4" w:space="0" w:color="auto"/>
              <w:right w:val="single" w:sz="4" w:space="0" w:color="auto"/>
            </w:tcBorders>
            <w:shd w:val="clear" w:color="auto" w:fill="auto"/>
          </w:tcPr>
          <w:p w:rsidR="00904BA0" w:rsidRPr="00EF7E0A" w:rsidRDefault="00904BA0" w:rsidP="005E3B41">
            <w:pPr>
              <w:pStyle w:val="Tabletext"/>
            </w:pPr>
            <w:r>
              <w:t>NR</w:t>
            </w:r>
          </w:p>
        </w:tc>
      </w:tr>
      <w:tr w:rsidR="00904BA0" w:rsidRPr="005E3B41" w:rsidTr="0023269B">
        <w:trPr>
          <w:cantSplit/>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rsidR="00904BA0" w:rsidRPr="005E3B41" w:rsidRDefault="0023269B" w:rsidP="005E3B41">
            <w:pPr>
              <w:pStyle w:val="Tabletext"/>
              <w:rPr>
                <w:b/>
              </w:rPr>
            </w:pPr>
            <w:r>
              <w:rPr>
                <w:b/>
              </w:rPr>
              <w:t>ThinPrep versus conventional c</w:t>
            </w:r>
            <w:r w:rsidR="00904BA0" w:rsidRPr="005E3B41">
              <w:rPr>
                <w:b/>
              </w:rPr>
              <w:t>ytology</w:t>
            </w:r>
          </w:p>
        </w:tc>
      </w:tr>
      <w:tr w:rsidR="00904BA0" w:rsidRPr="00274021" w:rsidTr="0023269B">
        <w:trPr>
          <w:cantSplit/>
        </w:trPr>
        <w:tc>
          <w:tcPr>
            <w:tcW w:w="667" w:type="pct"/>
            <w:tcBorders>
              <w:top w:val="single" w:sz="4" w:space="0" w:color="auto"/>
            </w:tcBorders>
          </w:tcPr>
          <w:p w:rsidR="00904BA0" w:rsidRPr="00274021" w:rsidRDefault="00904BA0" w:rsidP="005E3B41">
            <w:pPr>
              <w:pStyle w:val="Tabletext"/>
            </w:pPr>
            <w:r>
              <w:t>NTCC Trial</w:t>
            </w:r>
          </w:p>
        </w:tc>
        <w:tc>
          <w:tcPr>
            <w:tcW w:w="2166" w:type="pct"/>
            <w:tcBorders>
              <w:top w:val="single" w:sz="4" w:space="0" w:color="auto"/>
              <w:bottom w:val="single" w:sz="4" w:space="0" w:color="auto"/>
            </w:tcBorders>
          </w:tcPr>
          <w:p w:rsidR="00904BA0" w:rsidRPr="00274021" w:rsidRDefault="00904BA0" w:rsidP="005E3B41">
            <w:pPr>
              <w:pStyle w:val="Tabletext"/>
            </w:pPr>
            <w:r>
              <w:t>Bethesda 1991 system</w:t>
            </w:r>
            <w:r w:rsidRPr="001424D5">
              <w:rPr>
                <w:vertAlign w:val="superscript"/>
              </w:rPr>
              <w:t>b</w:t>
            </w:r>
          </w:p>
        </w:tc>
        <w:tc>
          <w:tcPr>
            <w:tcW w:w="2167" w:type="pct"/>
            <w:tcBorders>
              <w:top w:val="single" w:sz="4" w:space="0" w:color="auto"/>
              <w:bottom w:val="single" w:sz="4" w:space="0" w:color="auto"/>
            </w:tcBorders>
          </w:tcPr>
          <w:p w:rsidR="00904BA0" w:rsidRPr="00274021" w:rsidRDefault="00904BA0" w:rsidP="005E3B41">
            <w:pPr>
              <w:pStyle w:val="Tabletext"/>
            </w:pPr>
            <w:r>
              <w:t>CIN 1/2/3</w:t>
            </w:r>
          </w:p>
        </w:tc>
      </w:tr>
      <w:tr w:rsidR="00904BA0" w:rsidRPr="00274021" w:rsidTr="0023269B">
        <w:tc>
          <w:tcPr>
            <w:tcW w:w="667" w:type="pct"/>
            <w:tcBorders>
              <w:bottom w:val="single" w:sz="4" w:space="0" w:color="auto"/>
            </w:tcBorders>
          </w:tcPr>
          <w:p w:rsidR="00904BA0" w:rsidRPr="00274021" w:rsidRDefault="00904BA0" w:rsidP="005E3B41">
            <w:pPr>
              <w:pStyle w:val="Tabletext"/>
            </w:pPr>
            <w:r>
              <w:t>NETHCON Trial</w:t>
            </w:r>
          </w:p>
        </w:tc>
        <w:tc>
          <w:tcPr>
            <w:tcW w:w="2166" w:type="pct"/>
            <w:tcBorders>
              <w:top w:val="single" w:sz="4" w:space="0" w:color="auto"/>
              <w:bottom w:val="single" w:sz="4" w:space="0" w:color="auto"/>
            </w:tcBorders>
          </w:tcPr>
          <w:p w:rsidR="00904BA0" w:rsidRPr="00274021" w:rsidRDefault="00904BA0" w:rsidP="005E3B41">
            <w:pPr>
              <w:pStyle w:val="Tabletext"/>
            </w:pPr>
            <w:r w:rsidRPr="001424D5">
              <w:t xml:space="preserve">Cytotechnologists classified using </w:t>
            </w:r>
            <w:r>
              <w:t xml:space="preserve">CISOE-A </w:t>
            </w:r>
            <w:r w:rsidRPr="001424D5">
              <w:t>which was then converted to the Bethesda system for reporting purposes</w:t>
            </w:r>
            <w:r w:rsidR="004E71C8">
              <w:t>*</w:t>
            </w:r>
          </w:p>
        </w:tc>
        <w:tc>
          <w:tcPr>
            <w:tcW w:w="2167" w:type="pct"/>
            <w:tcBorders>
              <w:top w:val="single" w:sz="4" w:space="0" w:color="auto"/>
              <w:bottom w:val="single" w:sz="4" w:space="0" w:color="auto"/>
            </w:tcBorders>
          </w:tcPr>
          <w:p w:rsidR="00904BA0" w:rsidRDefault="00904BA0" w:rsidP="005E3B41">
            <w:pPr>
              <w:pStyle w:val="Tabletext"/>
            </w:pPr>
            <w:r>
              <w:t>CIN</w:t>
            </w:r>
            <w:r w:rsidR="005E3B41">
              <w:t xml:space="preserve"> </w:t>
            </w:r>
            <w:r>
              <w:t>1+ or low-grade SIL+ (which encompassed CIN</w:t>
            </w:r>
            <w:r w:rsidR="005E3B41">
              <w:t xml:space="preserve"> 1–</w:t>
            </w:r>
            <w:r>
              <w:t>3 and carcinoma)</w:t>
            </w:r>
          </w:p>
          <w:p w:rsidR="00904BA0" w:rsidRPr="00274021" w:rsidRDefault="00904BA0" w:rsidP="005E3B41">
            <w:pPr>
              <w:pStyle w:val="Tabletext"/>
            </w:pPr>
            <w:r>
              <w:t>CIN</w:t>
            </w:r>
            <w:r w:rsidR="005E3B41">
              <w:t xml:space="preserve"> </w:t>
            </w:r>
            <w:r>
              <w:t xml:space="preserve">2+ or </w:t>
            </w:r>
            <w:r w:rsidR="00906C98">
              <w:t>H</w:t>
            </w:r>
            <w:r>
              <w:t>SIL+ (which encompassed CIN</w:t>
            </w:r>
            <w:r w:rsidR="005E3B41">
              <w:t xml:space="preserve"> 2–</w:t>
            </w:r>
            <w:r>
              <w:t>3 and carcinoma)</w:t>
            </w:r>
          </w:p>
        </w:tc>
      </w:tr>
      <w:tr w:rsidR="00904BA0" w:rsidRPr="00274021" w:rsidTr="0023269B">
        <w:tc>
          <w:tcPr>
            <w:tcW w:w="667" w:type="pct"/>
            <w:tcBorders>
              <w:bottom w:val="single" w:sz="4" w:space="0" w:color="auto"/>
            </w:tcBorders>
          </w:tcPr>
          <w:p w:rsidR="00904BA0" w:rsidRPr="00274021" w:rsidRDefault="00904BA0" w:rsidP="005E3B41">
            <w:pPr>
              <w:pStyle w:val="Tabletext"/>
            </w:pPr>
            <w:r>
              <w:t>Strander 2007</w:t>
            </w:r>
          </w:p>
        </w:tc>
        <w:tc>
          <w:tcPr>
            <w:tcW w:w="2166" w:type="pct"/>
            <w:tcBorders>
              <w:top w:val="single" w:sz="4" w:space="0" w:color="auto"/>
              <w:bottom w:val="single" w:sz="4" w:space="0" w:color="auto"/>
            </w:tcBorders>
          </w:tcPr>
          <w:p w:rsidR="00904BA0" w:rsidRDefault="00904BA0" w:rsidP="005E3B41">
            <w:pPr>
              <w:pStyle w:val="Tabletext"/>
            </w:pPr>
            <w:r>
              <w:t>Bethesda 2001 criteria</w:t>
            </w:r>
          </w:p>
          <w:p w:rsidR="00904BA0" w:rsidRPr="00274021" w:rsidRDefault="00904BA0" w:rsidP="005E3B41">
            <w:pPr>
              <w:pStyle w:val="Tabletext"/>
            </w:pPr>
            <w:r>
              <w:t>Yet discusses CIN terminology as defining cytological abnormalities for referral to colposcopy or repeat smear</w:t>
            </w:r>
          </w:p>
        </w:tc>
        <w:tc>
          <w:tcPr>
            <w:tcW w:w="2167" w:type="pct"/>
            <w:tcBorders>
              <w:top w:val="single" w:sz="4" w:space="0" w:color="auto"/>
              <w:bottom w:val="single" w:sz="4" w:space="0" w:color="auto"/>
            </w:tcBorders>
          </w:tcPr>
          <w:p w:rsidR="00904BA0" w:rsidRDefault="00904BA0" w:rsidP="005E3B41">
            <w:pPr>
              <w:pStyle w:val="Tabletext"/>
            </w:pPr>
            <w:r>
              <w:t>Reported in table as benign/low-grade/high-grade</w:t>
            </w:r>
          </w:p>
          <w:p w:rsidR="00904BA0" w:rsidRPr="00327283" w:rsidRDefault="00904BA0" w:rsidP="005E3B41">
            <w:pPr>
              <w:pStyle w:val="Tabletext"/>
            </w:pPr>
            <w:r>
              <w:t>Yet discusses CIN terminology elsewhere in text.</w:t>
            </w:r>
          </w:p>
        </w:tc>
      </w:tr>
      <w:tr w:rsidR="00904BA0" w:rsidRPr="00274021" w:rsidTr="0023269B">
        <w:tc>
          <w:tcPr>
            <w:tcW w:w="667" w:type="pct"/>
            <w:tcBorders>
              <w:bottom w:val="single" w:sz="4" w:space="0" w:color="auto"/>
            </w:tcBorders>
          </w:tcPr>
          <w:p w:rsidR="00904BA0" w:rsidRPr="00274021" w:rsidRDefault="00904BA0" w:rsidP="005E3B41">
            <w:pPr>
              <w:pStyle w:val="Tabletext"/>
            </w:pPr>
            <w:r>
              <w:t>Maccallini 2008</w:t>
            </w:r>
          </w:p>
        </w:tc>
        <w:tc>
          <w:tcPr>
            <w:tcW w:w="2166" w:type="pct"/>
            <w:tcBorders>
              <w:top w:val="single" w:sz="4" w:space="0" w:color="auto"/>
              <w:bottom w:val="single" w:sz="4" w:space="0" w:color="auto"/>
            </w:tcBorders>
          </w:tcPr>
          <w:p w:rsidR="00904BA0" w:rsidRPr="00313BEA" w:rsidRDefault="00904BA0" w:rsidP="005E3B41">
            <w:pPr>
              <w:pStyle w:val="Tabletext"/>
              <w:rPr>
                <w:bCs/>
              </w:rPr>
            </w:pPr>
            <w:r>
              <w:rPr>
                <w:bCs/>
              </w:rPr>
              <w:t>Bethesda 1991 system</w:t>
            </w:r>
          </w:p>
        </w:tc>
        <w:tc>
          <w:tcPr>
            <w:tcW w:w="2167" w:type="pct"/>
            <w:tcBorders>
              <w:top w:val="single" w:sz="4" w:space="0" w:color="auto"/>
              <w:bottom w:val="single" w:sz="4" w:space="0" w:color="auto"/>
            </w:tcBorders>
          </w:tcPr>
          <w:p w:rsidR="00904BA0" w:rsidRPr="00274021" w:rsidRDefault="00904BA0" w:rsidP="005E3B41">
            <w:pPr>
              <w:pStyle w:val="Tabletext"/>
            </w:pPr>
            <w:r>
              <w:t>CIN</w:t>
            </w:r>
            <w:r w:rsidRPr="00ED6D77">
              <w:rPr>
                <w:vertAlign w:val="superscript"/>
              </w:rPr>
              <w:t>a</w:t>
            </w:r>
          </w:p>
        </w:tc>
      </w:tr>
      <w:tr w:rsidR="00904BA0" w:rsidRPr="00274021" w:rsidTr="0023269B">
        <w:tc>
          <w:tcPr>
            <w:tcW w:w="667" w:type="pct"/>
            <w:tcBorders>
              <w:bottom w:val="single" w:sz="4" w:space="0" w:color="auto"/>
            </w:tcBorders>
          </w:tcPr>
          <w:p w:rsidR="00904BA0" w:rsidRPr="00274021" w:rsidRDefault="00904BA0" w:rsidP="005E3B41">
            <w:pPr>
              <w:pStyle w:val="Tabletext"/>
            </w:pPr>
            <w:r>
              <w:t>Obwegeser 2001</w:t>
            </w:r>
          </w:p>
        </w:tc>
        <w:tc>
          <w:tcPr>
            <w:tcW w:w="2166" w:type="pct"/>
            <w:tcBorders>
              <w:top w:val="single" w:sz="4" w:space="0" w:color="auto"/>
              <w:bottom w:val="single" w:sz="4" w:space="0" w:color="auto"/>
            </w:tcBorders>
          </w:tcPr>
          <w:p w:rsidR="00904BA0" w:rsidRPr="00274021" w:rsidRDefault="00904BA0" w:rsidP="005E3B41">
            <w:pPr>
              <w:pStyle w:val="Tabletext"/>
            </w:pPr>
            <w:r w:rsidRPr="00ED6D77">
              <w:t>Bethesda terminology used in reporting</w:t>
            </w:r>
            <w:r w:rsidRPr="00ED6D77">
              <w:rPr>
                <w:vertAlign w:val="superscript"/>
              </w:rPr>
              <w:t>a</w:t>
            </w:r>
          </w:p>
        </w:tc>
        <w:tc>
          <w:tcPr>
            <w:tcW w:w="2167" w:type="pct"/>
            <w:tcBorders>
              <w:top w:val="single" w:sz="4" w:space="0" w:color="auto"/>
              <w:bottom w:val="single" w:sz="4" w:space="0" w:color="auto"/>
            </w:tcBorders>
          </w:tcPr>
          <w:p w:rsidR="00904BA0" w:rsidRPr="00274021" w:rsidRDefault="005E3B41" w:rsidP="005E3B41">
            <w:pPr>
              <w:pStyle w:val="Tabletext"/>
            </w:pPr>
            <w:r>
              <w:t xml:space="preserve">Not </w:t>
            </w:r>
            <w:r w:rsidR="00904BA0">
              <w:t>explicitly state</w:t>
            </w:r>
            <w:r>
              <w:t>d</w:t>
            </w:r>
            <w:r w:rsidR="00904BA0">
              <w:t>, CIN terminology used in one part and HSIL and LSIL used when referring to histology in other section of the paper</w:t>
            </w:r>
          </w:p>
        </w:tc>
      </w:tr>
      <w:tr w:rsidR="00904BA0" w:rsidRPr="00274021" w:rsidTr="0023269B">
        <w:tc>
          <w:tcPr>
            <w:tcW w:w="667" w:type="pct"/>
            <w:tcBorders>
              <w:bottom w:val="single" w:sz="4" w:space="0" w:color="auto"/>
            </w:tcBorders>
          </w:tcPr>
          <w:p w:rsidR="0023269B" w:rsidRDefault="00904BA0" w:rsidP="005E3B41">
            <w:pPr>
              <w:pStyle w:val="Tabletext"/>
            </w:pPr>
            <w:r>
              <w:t>RHINE-SAAR Study</w:t>
            </w:r>
          </w:p>
        </w:tc>
        <w:tc>
          <w:tcPr>
            <w:tcW w:w="2166" w:type="pct"/>
            <w:tcBorders>
              <w:top w:val="single" w:sz="4" w:space="0" w:color="auto"/>
              <w:bottom w:val="single" w:sz="4" w:space="0" w:color="auto"/>
            </w:tcBorders>
          </w:tcPr>
          <w:p w:rsidR="00904BA0" w:rsidRPr="00274021" w:rsidRDefault="00904BA0" w:rsidP="005E3B41">
            <w:pPr>
              <w:pStyle w:val="Tabletext"/>
            </w:pPr>
            <w:r w:rsidRPr="00ED6D77">
              <w:t>Bethesda terminology used in reporting</w:t>
            </w:r>
            <w:r w:rsidRPr="00ED6D77">
              <w:rPr>
                <w:vertAlign w:val="superscript"/>
              </w:rPr>
              <w:t>a</w:t>
            </w:r>
          </w:p>
        </w:tc>
        <w:tc>
          <w:tcPr>
            <w:tcW w:w="2167" w:type="pct"/>
            <w:tcBorders>
              <w:top w:val="single" w:sz="4" w:space="0" w:color="auto"/>
              <w:bottom w:val="single" w:sz="4" w:space="0" w:color="auto"/>
            </w:tcBorders>
          </w:tcPr>
          <w:p w:rsidR="00904BA0" w:rsidRPr="00274021" w:rsidRDefault="00904BA0" w:rsidP="005E3B41">
            <w:pPr>
              <w:pStyle w:val="Tabletext"/>
            </w:pPr>
            <w:r>
              <w:t>CIN</w:t>
            </w:r>
            <w:r w:rsidRPr="00ED6D77">
              <w:rPr>
                <w:vertAlign w:val="superscript"/>
              </w:rPr>
              <w:t>a</w:t>
            </w:r>
          </w:p>
        </w:tc>
      </w:tr>
    </w:tbl>
    <w:p w:rsidR="0023269B" w:rsidRDefault="002326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1"/>
        <w:gridCol w:w="3901"/>
        <w:gridCol w:w="3902"/>
      </w:tblGrid>
      <w:tr w:rsidR="00904BA0" w:rsidRPr="005E3B41" w:rsidTr="00904BA0">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rsidR="00904BA0" w:rsidRPr="005E3B41" w:rsidRDefault="005E3B41" w:rsidP="005E3B41">
            <w:pPr>
              <w:pStyle w:val="Tabletext"/>
              <w:rPr>
                <w:b/>
              </w:rPr>
            </w:pPr>
            <w:r>
              <w:rPr>
                <w:b/>
              </w:rPr>
              <w:lastRenderedPageBreak/>
              <w:t>Manual versus a</w:t>
            </w:r>
            <w:r w:rsidR="00904BA0" w:rsidRPr="005E3B41">
              <w:rPr>
                <w:b/>
              </w:rPr>
              <w:t>utomated</w:t>
            </w:r>
          </w:p>
        </w:tc>
      </w:tr>
      <w:tr w:rsidR="00904BA0" w:rsidRPr="00274021" w:rsidTr="00904BA0">
        <w:tc>
          <w:tcPr>
            <w:tcW w:w="667" w:type="pct"/>
            <w:tcBorders>
              <w:top w:val="single" w:sz="4" w:space="0" w:color="auto"/>
            </w:tcBorders>
          </w:tcPr>
          <w:p w:rsidR="00904BA0" w:rsidRPr="00274021" w:rsidRDefault="00904BA0" w:rsidP="00904BA0">
            <w:pPr>
              <w:pStyle w:val="Tabletext"/>
            </w:pPr>
            <w:r>
              <w:t>MAVARIC Study</w:t>
            </w:r>
          </w:p>
        </w:tc>
        <w:tc>
          <w:tcPr>
            <w:tcW w:w="2166" w:type="pct"/>
            <w:tcBorders>
              <w:top w:val="single" w:sz="4" w:space="0" w:color="auto"/>
              <w:bottom w:val="single" w:sz="4" w:space="0" w:color="auto"/>
            </w:tcBorders>
          </w:tcPr>
          <w:p w:rsidR="00904BA0" w:rsidRPr="00327283" w:rsidRDefault="00904BA0" w:rsidP="00904BA0">
            <w:pPr>
              <w:pStyle w:val="Tabletext"/>
            </w:pPr>
            <w:r>
              <w:t>Two tier, Bethesda and NHSCP terminology all used. Doesn’t explicitly state a classification system adhered to. (High grade, low grade, ASCUS and mild dyskaryosis all used.)</w:t>
            </w:r>
          </w:p>
        </w:tc>
        <w:tc>
          <w:tcPr>
            <w:tcW w:w="2167" w:type="pct"/>
            <w:tcBorders>
              <w:top w:val="single" w:sz="4" w:space="0" w:color="auto"/>
              <w:bottom w:val="single" w:sz="4" w:space="0" w:color="auto"/>
            </w:tcBorders>
          </w:tcPr>
          <w:p w:rsidR="00904BA0" w:rsidRPr="001E5B69" w:rsidRDefault="00904BA0" w:rsidP="00904BA0">
            <w:pPr>
              <w:pStyle w:val="Tabletext"/>
            </w:pPr>
            <w:r>
              <w:t>CIN</w:t>
            </w:r>
            <w:r w:rsidRPr="00ED6D77">
              <w:rPr>
                <w:vertAlign w:val="superscript"/>
              </w:rPr>
              <w:t>a</w:t>
            </w:r>
          </w:p>
        </w:tc>
      </w:tr>
      <w:tr w:rsidR="00904BA0" w:rsidRPr="00274021" w:rsidTr="00904BA0">
        <w:tc>
          <w:tcPr>
            <w:tcW w:w="667" w:type="pct"/>
            <w:tcBorders>
              <w:top w:val="single" w:sz="4" w:space="0" w:color="auto"/>
            </w:tcBorders>
          </w:tcPr>
          <w:p w:rsidR="00904BA0" w:rsidRDefault="00904BA0" w:rsidP="00904BA0">
            <w:pPr>
              <w:pStyle w:val="Tabletext"/>
            </w:pPr>
            <w:r>
              <w:t>Palmer 2012</w:t>
            </w:r>
          </w:p>
        </w:tc>
        <w:tc>
          <w:tcPr>
            <w:tcW w:w="2166" w:type="pct"/>
            <w:tcBorders>
              <w:top w:val="single" w:sz="4" w:space="0" w:color="auto"/>
              <w:bottom w:val="single" w:sz="4" w:space="0" w:color="auto"/>
            </w:tcBorders>
          </w:tcPr>
          <w:p w:rsidR="00904BA0" w:rsidRPr="00274021" w:rsidRDefault="00904BA0" w:rsidP="00904BA0">
            <w:pPr>
              <w:pStyle w:val="Tabletext"/>
            </w:pPr>
            <w:r>
              <w:t>NHSCSP</w:t>
            </w:r>
          </w:p>
        </w:tc>
        <w:tc>
          <w:tcPr>
            <w:tcW w:w="2167" w:type="pct"/>
            <w:tcBorders>
              <w:top w:val="single" w:sz="4" w:space="0" w:color="auto"/>
              <w:bottom w:val="single" w:sz="4" w:space="0" w:color="auto"/>
            </w:tcBorders>
          </w:tcPr>
          <w:p w:rsidR="00904BA0" w:rsidRPr="001E5B69" w:rsidRDefault="00904BA0" w:rsidP="00904BA0">
            <w:pPr>
              <w:pStyle w:val="Tabletext"/>
            </w:pPr>
            <w:r>
              <w:t>NHSCSP</w:t>
            </w:r>
          </w:p>
        </w:tc>
      </w:tr>
    </w:tbl>
    <w:p w:rsidR="00F23810" w:rsidRDefault="009E0BCE" w:rsidP="00041974">
      <w:pPr>
        <w:pStyle w:val="Tabletext"/>
      </w:pPr>
      <w:r>
        <w:t xml:space="preserve">Abbreviations: </w:t>
      </w:r>
      <w:r w:rsidRPr="00ED6D77">
        <w:t xml:space="preserve">NHSCSP, National Health Service Cervical Screening program; </w:t>
      </w:r>
      <w:r>
        <w:t>ASC</w:t>
      </w:r>
      <w:r w:rsidRPr="00ED6D77">
        <w:t>US, atypical squamous cells of undetermined significance</w:t>
      </w:r>
      <w:r>
        <w:t>;</w:t>
      </w:r>
      <w:r w:rsidRPr="00ED6D77">
        <w:t xml:space="preserve"> LSIL, low-grade squamous intraepithelial lesion; HSIL, high-grade s</w:t>
      </w:r>
      <w:r>
        <w:t xml:space="preserve">quamous intraepithelial lesion; CIN, cervical intraepithelial neoplasia; CISOE-A, classification system </w:t>
      </w:r>
      <w:r w:rsidRPr="00B83F06">
        <w:t>composition (C), inflammation (I), squamous</w:t>
      </w:r>
      <w:r>
        <w:t xml:space="preserve"> </w:t>
      </w:r>
      <w:r w:rsidRPr="00B83F06">
        <w:t>epithelium (S), other and endometrium (O), and endocervical columnar epithelium (E)</w:t>
      </w:r>
      <w:r>
        <w:t xml:space="preserve">; KOPAC-B, dutch classification system </w:t>
      </w:r>
      <w:r w:rsidRPr="00B83F06">
        <w:t xml:space="preserve">kompositie (K), ontsteking (O), plaveisel epitheel (P), andere </w:t>
      </w:r>
      <w:r>
        <w:t xml:space="preserve">en endometrium afwijkingen (A), </w:t>
      </w:r>
      <w:r w:rsidRPr="00B83F06">
        <w:t>cylinder epitheel (C)</w:t>
      </w:r>
      <w:r>
        <w:t>; NR, not reported, QC, quality control</w:t>
      </w:r>
      <w:r w:rsidRPr="00274021">
        <w:t xml:space="preserve">: </w:t>
      </w:r>
      <w:r w:rsidR="004E71C8">
        <w:br/>
        <w:t>*</w:t>
      </w:r>
      <w:r w:rsidR="004E71C8" w:rsidRPr="004E71C8">
        <w:t xml:space="preserve"> </w:t>
      </w:r>
      <w:r w:rsidR="004E71C8">
        <w:t xml:space="preserve">In the </w:t>
      </w:r>
      <w:r w:rsidR="004E71C8" w:rsidRPr="004E71C8">
        <w:t>CISOE-A system (also known as KOPAC-B in the Dutch language) cervical smears are examined and categorised by five different categories; composition (C), inflammation (I), squamous epithelium (S), other and endometrium (O) and endocervical columnar epithelium (E), with the (A) of the acronym indicating the adequacy of the smear.</w:t>
      </w:r>
      <w:r w:rsidR="004E71C8">
        <w:t xml:space="preserve"> Both the Beerman and NETHCON trial report the conversion to the Bethesda system but do not report the correlation between categories of the different reporting systems</w:t>
      </w:r>
    </w:p>
    <w:p w:rsidR="00F23810" w:rsidRDefault="00904BA0" w:rsidP="00041974">
      <w:pPr>
        <w:pStyle w:val="Tabletext"/>
      </w:pPr>
      <w:proofErr w:type="gramStart"/>
      <w:r w:rsidRPr="00210CAD">
        <w:t>a</w:t>
      </w:r>
      <w:proofErr w:type="gramEnd"/>
      <w:r w:rsidRPr="00210CAD">
        <w:t xml:space="preserve"> Whilst</w:t>
      </w:r>
      <w:r>
        <w:t xml:space="preserve"> the </w:t>
      </w:r>
      <w:r w:rsidRPr="00210CAD">
        <w:t xml:space="preserve">terminology </w:t>
      </w:r>
      <w:r>
        <w:t xml:space="preserve">is </w:t>
      </w:r>
      <w:r w:rsidRPr="00210CAD">
        <w:t xml:space="preserve">used </w:t>
      </w:r>
      <w:r>
        <w:t xml:space="preserve">in </w:t>
      </w:r>
      <w:r w:rsidRPr="00210CAD">
        <w:t>the paper</w:t>
      </w:r>
      <w:r>
        <w:t>, it</w:t>
      </w:r>
      <w:r w:rsidRPr="00210CAD">
        <w:t xml:space="preserve"> does not explicitly state the classification system adhered to in the study protocol.</w:t>
      </w:r>
    </w:p>
    <w:p w:rsidR="00904BA0" w:rsidRDefault="00904BA0" w:rsidP="00041974">
      <w:pPr>
        <w:pStyle w:val="Tabletext"/>
      </w:pPr>
      <w:proofErr w:type="gramStart"/>
      <w:r>
        <w:t>b</w:t>
      </w:r>
      <w:proofErr w:type="gramEnd"/>
      <w:r>
        <w:t xml:space="preserve"> The subcategories for ASCUS were not applied in the study</w:t>
      </w:r>
    </w:p>
    <w:p w:rsidR="009C4D0C" w:rsidRPr="00041974" w:rsidRDefault="009C4D0C" w:rsidP="00041974">
      <w:pPr>
        <w:pStyle w:val="Tabletext"/>
      </w:pPr>
    </w:p>
    <w:p w:rsidR="004347D3" w:rsidRPr="00274021" w:rsidRDefault="004347D3" w:rsidP="00136D50">
      <w:pPr>
        <w:pStyle w:val="Heading30"/>
      </w:pPr>
      <w:bookmarkStart w:id="226" w:name="_Toc170017615"/>
      <w:bookmarkStart w:id="227" w:name="_Ref191442198"/>
      <w:bookmarkStart w:id="228" w:name="_Toc191822161"/>
      <w:bookmarkStart w:id="229" w:name="_Toc191822211"/>
      <w:bookmarkStart w:id="230" w:name="_Toc191822261"/>
      <w:bookmarkStart w:id="231" w:name="_Toc258501782"/>
      <w:bookmarkStart w:id="232" w:name="_Toc312340161"/>
      <w:bookmarkStart w:id="233" w:name="_Toc337546889"/>
      <w:r w:rsidRPr="00274021">
        <w:t>B.5.2</w:t>
      </w:r>
      <w:r w:rsidRPr="00274021">
        <w:tab/>
        <w:t>Outcomes presented in the submission</w:t>
      </w:r>
      <w:bookmarkEnd w:id="226"/>
      <w:bookmarkEnd w:id="227"/>
      <w:bookmarkEnd w:id="228"/>
      <w:bookmarkEnd w:id="229"/>
      <w:bookmarkEnd w:id="230"/>
      <w:bookmarkEnd w:id="231"/>
      <w:bookmarkEnd w:id="232"/>
      <w:bookmarkEnd w:id="233"/>
    </w:p>
    <w:p w:rsidR="00B977BF" w:rsidRDefault="00B977BF" w:rsidP="00B977BF">
      <w:r>
        <w:t xml:space="preserve">As agreed by the DoHA and the Protocol Advisory Subcommittee (PASC) of </w:t>
      </w:r>
      <w:r w:rsidR="004D5A34">
        <w:t>MSAC</w:t>
      </w:r>
      <w:r>
        <w:t xml:space="preserve"> in their advice and final DAP</w:t>
      </w:r>
      <w:r w:rsidR="0023269B">
        <w:t xml:space="preserve"> </w:t>
      </w:r>
      <w:r w:rsidR="00963888">
        <w:t>(May 2012</w:t>
      </w:r>
      <w:r>
        <w:t>) the following outcomes are presented in the submission</w:t>
      </w:r>
      <w:r w:rsidR="008D6F3F">
        <w:t xml:space="preserve"> to address the review questions</w:t>
      </w:r>
      <w:r>
        <w:t>:</w:t>
      </w:r>
    </w:p>
    <w:p w:rsidR="00B977BF" w:rsidRDefault="0023269B" w:rsidP="002B73DC">
      <w:pPr>
        <w:pStyle w:val="Heading40"/>
      </w:pPr>
      <w:r>
        <w:t>Health outcomes</w:t>
      </w:r>
    </w:p>
    <w:p w:rsidR="00B977BF" w:rsidRDefault="00B977BF" w:rsidP="0023269B">
      <w:pPr>
        <w:pStyle w:val="Bulletedbodytext"/>
      </w:pPr>
      <w:r>
        <w:t>Overall survival</w:t>
      </w:r>
    </w:p>
    <w:p w:rsidR="00B977BF" w:rsidRDefault="00B977BF" w:rsidP="0023269B">
      <w:pPr>
        <w:pStyle w:val="Bulletedbodytext"/>
      </w:pPr>
      <w:r>
        <w:t>Incidenc</w:t>
      </w:r>
      <w:r w:rsidR="00041974">
        <w:t>e of cervical cancer</w:t>
      </w:r>
      <w:r>
        <w:t xml:space="preserve"> (including glandular abnormalities, CIN 3+ and adenocarcinoma in situ)</w:t>
      </w:r>
    </w:p>
    <w:p w:rsidR="00B977BF" w:rsidRDefault="00B977BF" w:rsidP="0023269B">
      <w:pPr>
        <w:pStyle w:val="Bulletedbodytext"/>
      </w:pPr>
      <w:r>
        <w:t>Cervical cancer-specific mortality</w:t>
      </w:r>
      <w:r w:rsidR="0023269B">
        <w:t>.</w:t>
      </w:r>
    </w:p>
    <w:p w:rsidR="00B977BF" w:rsidRPr="00041974" w:rsidRDefault="0023269B" w:rsidP="00041974">
      <w:pPr>
        <w:pStyle w:val="Heading40"/>
      </w:pPr>
      <w:r w:rsidRPr="00041974">
        <w:t>Diagnostic o</w:t>
      </w:r>
      <w:r w:rsidR="00B977BF" w:rsidRPr="00041974">
        <w:t>utcomes</w:t>
      </w:r>
    </w:p>
    <w:p w:rsidR="00B977BF" w:rsidRDefault="00B977BF" w:rsidP="00B977BF">
      <w:r>
        <w:t>Accuracy in terms of assessing squamous abnormalities and glandular abnormalities (HSIL, pLSIL, LSIL, CIN) measured as:</w:t>
      </w:r>
    </w:p>
    <w:p w:rsidR="00B977BF" w:rsidRDefault="00B977BF" w:rsidP="0023269B">
      <w:pPr>
        <w:pStyle w:val="Bulletedbodytext"/>
      </w:pPr>
      <w:r>
        <w:t>Test yield</w:t>
      </w:r>
    </w:p>
    <w:p w:rsidR="00B977BF" w:rsidRDefault="00B977BF" w:rsidP="0023269B">
      <w:pPr>
        <w:pStyle w:val="Bulletedbodytext"/>
      </w:pPr>
      <w:r>
        <w:t>Sensitivity and specificity</w:t>
      </w:r>
    </w:p>
    <w:p w:rsidR="00B977BF" w:rsidRDefault="00B977BF" w:rsidP="0023269B">
      <w:pPr>
        <w:pStyle w:val="Bulletedbodytext"/>
      </w:pPr>
      <w:r>
        <w:t>Positive and negative predictive value</w:t>
      </w:r>
      <w:r w:rsidR="00325CCE">
        <w:t xml:space="preserve"> (PPV and NPV)</w:t>
      </w:r>
    </w:p>
    <w:p w:rsidR="00B977BF" w:rsidRDefault="00B977BF" w:rsidP="0023269B">
      <w:pPr>
        <w:pStyle w:val="Bulletedbodytext"/>
      </w:pPr>
      <w:r>
        <w:t>True positive: false positive</w:t>
      </w:r>
    </w:p>
    <w:p w:rsidR="00B977BF" w:rsidRDefault="00B977BF" w:rsidP="0023269B">
      <w:pPr>
        <w:pStyle w:val="Bulletedbodytext"/>
      </w:pPr>
      <w:r>
        <w:lastRenderedPageBreak/>
        <w:t>Incremental rate of true positive</w:t>
      </w:r>
    </w:p>
    <w:p w:rsidR="00B977BF" w:rsidRDefault="00B977BF" w:rsidP="0023269B">
      <w:pPr>
        <w:pStyle w:val="Bulletedbodytext"/>
      </w:pPr>
      <w:r>
        <w:t>Unsatisfactory rates</w:t>
      </w:r>
    </w:p>
    <w:p w:rsidR="00B977BF" w:rsidRDefault="00B977BF" w:rsidP="0023269B">
      <w:pPr>
        <w:pStyle w:val="Bulletedbodytext"/>
      </w:pPr>
      <w:r>
        <w:t>Proportion of CIN lesions detected in each cytological category</w:t>
      </w:r>
    </w:p>
    <w:p w:rsidR="00B977BF" w:rsidRDefault="00B977BF" w:rsidP="0023269B">
      <w:pPr>
        <w:pStyle w:val="Bulletedbodytext"/>
      </w:pPr>
      <w:r>
        <w:t>Proportion of samples yielding unsatisfactory results (Note: same outcome as “Unsatisfactory rates” required above and therefore not repeated)</w:t>
      </w:r>
      <w:r w:rsidR="00F23810">
        <w:t>.</w:t>
      </w:r>
    </w:p>
    <w:p w:rsidR="00B977BF" w:rsidRPr="00041974" w:rsidRDefault="0023269B" w:rsidP="00041974">
      <w:pPr>
        <w:pStyle w:val="Heading40"/>
      </w:pPr>
      <w:r w:rsidRPr="00041974">
        <w:t>Change in m</w:t>
      </w:r>
      <w:r w:rsidR="00B977BF" w:rsidRPr="00041974">
        <w:t>anagement</w:t>
      </w:r>
    </w:p>
    <w:p w:rsidR="00B977BF" w:rsidRDefault="00B977BF" w:rsidP="0023269B">
      <w:pPr>
        <w:pStyle w:val="Bulletedbodytext"/>
      </w:pPr>
      <w:r>
        <w:t>Impact of screening on clinical management (e.g. further investigations, treatment avoided)</w:t>
      </w:r>
      <w:r w:rsidR="0023269B">
        <w:t>.</w:t>
      </w:r>
    </w:p>
    <w:p w:rsidR="00B977BF" w:rsidRPr="00041974" w:rsidRDefault="0023269B" w:rsidP="00041974">
      <w:pPr>
        <w:pStyle w:val="Heading40"/>
      </w:pPr>
      <w:r w:rsidRPr="00041974">
        <w:t>Patient o</w:t>
      </w:r>
      <w:r w:rsidR="00B977BF" w:rsidRPr="00041974">
        <w:t>utcomes</w:t>
      </w:r>
    </w:p>
    <w:p w:rsidR="00B977BF" w:rsidRDefault="00B977BF" w:rsidP="0023269B">
      <w:pPr>
        <w:pStyle w:val="Bulletedbodytext"/>
      </w:pPr>
      <w:r>
        <w:t>Quality of life</w:t>
      </w:r>
    </w:p>
    <w:p w:rsidR="00B977BF" w:rsidRDefault="00B977BF" w:rsidP="0023269B">
      <w:pPr>
        <w:pStyle w:val="Bulletedbodytext"/>
      </w:pPr>
      <w:r>
        <w:t>Patient preference</w:t>
      </w:r>
    </w:p>
    <w:p w:rsidR="00B977BF" w:rsidRDefault="00B977BF" w:rsidP="0023269B">
      <w:pPr>
        <w:pStyle w:val="Bulletedbodytext"/>
      </w:pPr>
      <w:r>
        <w:t>Satisfaction, anxiety</w:t>
      </w:r>
    </w:p>
    <w:p w:rsidR="00B977BF" w:rsidRDefault="00B977BF" w:rsidP="0023269B">
      <w:pPr>
        <w:pStyle w:val="Bulletedbodytext"/>
      </w:pPr>
      <w:r>
        <w:t>Patient compliance</w:t>
      </w:r>
      <w:r w:rsidR="0023269B">
        <w:t>.</w:t>
      </w:r>
    </w:p>
    <w:p w:rsidR="00B977BF" w:rsidRPr="00041974" w:rsidRDefault="00CF76B3" w:rsidP="00041974">
      <w:pPr>
        <w:pStyle w:val="Heading30"/>
      </w:pPr>
      <w:bookmarkStart w:id="234" w:name="_Toc337546890"/>
      <w:r>
        <w:t>B.5.3</w:t>
      </w:r>
      <w:r>
        <w:tab/>
      </w:r>
      <w:r w:rsidR="0023269B" w:rsidRPr="00041974">
        <w:t>Health o</w:t>
      </w:r>
      <w:r w:rsidR="00B977BF" w:rsidRPr="00041974">
        <w:t>utcomes</w:t>
      </w:r>
      <w:bookmarkEnd w:id="234"/>
    </w:p>
    <w:p w:rsidR="00352E05" w:rsidRDefault="00B977BF" w:rsidP="004347D3">
      <w:r>
        <w:t xml:space="preserve">Health outcomes </w:t>
      </w:r>
      <w:r w:rsidR="002A07D2">
        <w:t xml:space="preserve">required by the DAP </w:t>
      </w:r>
      <w:r>
        <w:t>will be reported where available</w:t>
      </w:r>
      <w:r w:rsidR="002A07D2">
        <w:t xml:space="preserve"> from each RCT</w:t>
      </w:r>
      <w:r>
        <w:t>. However t</w:t>
      </w:r>
      <w:r w:rsidR="00D90D82" w:rsidRPr="00D90D82">
        <w:t>he accepted strategy for preventing and diagnosing cervical cancer in Australia</w:t>
      </w:r>
      <w:r w:rsidR="004417B4">
        <w:t xml:space="preserve"> and many countries world</w:t>
      </w:r>
      <w:r w:rsidR="00D90D82">
        <w:t>wide</w:t>
      </w:r>
      <w:r w:rsidR="00D90D82" w:rsidRPr="00D90D82">
        <w:t xml:space="preserve"> is via an organised </w:t>
      </w:r>
      <w:r w:rsidR="004D5A34">
        <w:t>NCSP</w:t>
      </w:r>
      <w:r w:rsidR="00352E05">
        <w:t xml:space="preserve"> as dictated in the </w:t>
      </w:r>
      <w:r w:rsidR="00352E05" w:rsidRPr="00D90D82">
        <w:t>NHMRC 2005 Screening to Prevent Cervical Cancer: Guidelines for the Management of Asymptomatic Women with Screen Detected Abnormalities (MSAC September 2005 p.27)</w:t>
      </w:r>
      <w:r w:rsidR="00D90D82" w:rsidRPr="00D90D82">
        <w:t xml:space="preserve">. </w:t>
      </w:r>
      <w:r>
        <w:t xml:space="preserve">This is because </w:t>
      </w:r>
      <w:r w:rsidRPr="00D90D82">
        <w:t>cervical</w:t>
      </w:r>
      <w:r>
        <w:t xml:space="preserve"> screening </w:t>
      </w:r>
      <w:r w:rsidR="00D90D82" w:rsidRPr="00D90D82">
        <w:t>reduce</w:t>
      </w:r>
      <w:r>
        <w:t>s</w:t>
      </w:r>
      <w:r w:rsidR="00D90D82" w:rsidRPr="00D90D82">
        <w:t xml:space="preserve"> illness and deaths from cervical cancer, achieved by review of cervical cytology collected via a Pap smear test</w:t>
      </w:r>
      <w:r w:rsidR="00D90D82">
        <w:t xml:space="preserve"> (conventional cytology</w:t>
      </w:r>
      <w:r w:rsidR="002B73DC">
        <w:t>, CC</w:t>
      </w:r>
      <w:r w:rsidR="00D90D82">
        <w:t>)</w:t>
      </w:r>
      <w:r w:rsidR="00D90D82" w:rsidRPr="00D90D82">
        <w:t xml:space="preserve">. </w:t>
      </w:r>
      <w:r w:rsidR="00352E05">
        <w:t>Although t</w:t>
      </w:r>
      <w:r w:rsidR="00D90D82">
        <w:t>he</w:t>
      </w:r>
      <w:r>
        <w:t xml:space="preserve"> DAP requires </w:t>
      </w:r>
      <w:r w:rsidR="00352E05">
        <w:t xml:space="preserve">a comparative </w:t>
      </w:r>
      <w:r>
        <w:t xml:space="preserve">assessment </w:t>
      </w:r>
      <w:r w:rsidR="00352E05">
        <w:t>of health outcomes</w:t>
      </w:r>
      <w:r w:rsidR="00D90D82" w:rsidRPr="00D90D82">
        <w:t xml:space="preserve">, </w:t>
      </w:r>
      <w:r w:rsidR="00352E05">
        <w:t>it is felt that, should health outcomes not be reported in the selected studies, a comparative assessment of diagnostic outcomes will be sufficient</w:t>
      </w:r>
      <w:r w:rsidR="00504F47">
        <w:t xml:space="preserve"> to determine whether cell enrichment LBC is equally safe and effective as conventional cytology </w:t>
      </w:r>
      <w:r w:rsidR="00352E05">
        <w:t>.</w:t>
      </w:r>
    </w:p>
    <w:p w:rsidR="002A07D2" w:rsidRPr="00041974" w:rsidRDefault="00CF76B3" w:rsidP="00041974">
      <w:pPr>
        <w:pStyle w:val="Heading30"/>
      </w:pPr>
      <w:bookmarkStart w:id="235" w:name="_Toc337546891"/>
      <w:r>
        <w:t>B.5.4</w:t>
      </w:r>
      <w:r>
        <w:tab/>
      </w:r>
      <w:r w:rsidR="002A07D2" w:rsidRPr="00041974">
        <w:t>Diagnostic outcomes</w:t>
      </w:r>
      <w:bookmarkEnd w:id="235"/>
    </w:p>
    <w:p w:rsidR="00F32F59" w:rsidRDefault="002A07D2" w:rsidP="00F32F59">
      <w:r>
        <w:t xml:space="preserve">Diagnostic outcomes required by the DAP will be reported where available from each RCT. </w:t>
      </w:r>
    </w:p>
    <w:p w:rsidR="008D6F3F" w:rsidRDefault="002B73DC" w:rsidP="008D6F3F">
      <w:r>
        <w:t>Test y</w:t>
      </w:r>
      <w:r w:rsidR="002A07D2">
        <w:t xml:space="preserve">ield only without a reference method is a quite </w:t>
      </w:r>
      <w:r>
        <w:t xml:space="preserve">an </w:t>
      </w:r>
      <w:r w:rsidR="002A07D2">
        <w:t>inaccu</w:t>
      </w:r>
      <w:r w:rsidR="002A07D2" w:rsidRPr="008B2437">
        <w:t>rate measure of true disease status</w:t>
      </w:r>
      <w:r w:rsidR="002A07D2">
        <w:t xml:space="preserve"> (Strander 2007).</w:t>
      </w:r>
      <w:r>
        <w:t xml:space="preserve"> C</w:t>
      </w:r>
      <w:r w:rsidR="002E4C52">
        <w:t xml:space="preserve">lassifications of ASCUS, LSIL or HSIL define the rate of investigation in a screening population, and thus have clinical, personal and financial importance. Based on this and </w:t>
      </w:r>
      <w:r w:rsidR="002A07D2">
        <w:t>in line with the DAP</w:t>
      </w:r>
      <w:r>
        <w:t>,</w:t>
      </w:r>
      <w:r w:rsidR="002A07D2">
        <w:t xml:space="preserve"> the rates of cytological detection are presented. </w:t>
      </w:r>
      <w:r w:rsidR="00D27B2F">
        <w:t xml:space="preserve">Given </w:t>
      </w:r>
      <w:r w:rsidR="0025176C">
        <w:t xml:space="preserve">that the Australian </w:t>
      </w:r>
      <w:r w:rsidR="0025176C">
        <w:lastRenderedPageBreak/>
        <w:t>reference to pLSIL is equivalent to ASCUS (</w:t>
      </w:r>
      <w:r w:rsidR="00086C77">
        <w:fldChar w:fldCharType="begin"/>
      </w:r>
      <w:r w:rsidR="0025176C">
        <w:instrText xml:space="preserve"> REF _Ref333998017 \h </w:instrText>
      </w:r>
      <w:r w:rsidR="00086C77">
        <w:fldChar w:fldCharType="separate"/>
      </w:r>
      <w:r w:rsidR="003361A8">
        <w:t xml:space="preserve">Table </w:t>
      </w:r>
      <w:r w:rsidR="003361A8">
        <w:rPr>
          <w:noProof/>
        </w:rPr>
        <w:t>19</w:t>
      </w:r>
      <w:r w:rsidR="00086C77">
        <w:fldChar w:fldCharType="end"/>
      </w:r>
      <w:r w:rsidR="00D27B2F">
        <w:t xml:space="preserve">), </w:t>
      </w:r>
      <w:r>
        <w:t>diagnostic o</w:t>
      </w:r>
      <w:r w:rsidR="0025176C">
        <w:t>utcomes for ASCUS abnormalities are reported in lieu of pLSIL. As specified in the DAP t</w:t>
      </w:r>
      <w:r w:rsidR="002A07D2">
        <w:t>he rates of unsatisfactory slides are presente</w:t>
      </w:r>
      <w:r>
        <w:t>d as an outcome separate from test y</w:t>
      </w:r>
      <w:r w:rsidR="002A07D2">
        <w:t>ield.</w:t>
      </w:r>
      <w:r w:rsidR="008D6F3F">
        <w:t xml:space="preserve"> </w:t>
      </w:r>
    </w:p>
    <w:p w:rsidR="00325CCE" w:rsidRDefault="00325CCE" w:rsidP="00325CCE">
      <w:r>
        <w:t xml:space="preserve">Several studies have demonstrated that even strict participation in regular screening does not provide full protection from cervical cancer, indicating a need for the improved detection of </w:t>
      </w:r>
      <w:r w:rsidR="00906C98">
        <w:t xml:space="preserve">HSIL </w:t>
      </w:r>
      <w:r>
        <w:t>(Strander 2007).</w:t>
      </w:r>
      <w:r w:rsidRPr="00015B26">
        <w:t xml:space="preserve"> </w:t>
      </w:r>
      <w:r>
        <w:t>As</w:t>
      </w:r>
      <w:r w:rsidR="002B73DC">
        <w:t xml:space="preserve"> mentioned</w:t>
      </w:r>
      <w:r>
        <w:t>, cytological findings without a reference method are quite inaccurate, rather the essential objective of cervical screening programs are detecting and removing histologically confirmed high-grade lesions (CIN</w:t>
      </w:r>
      <w:r w:rsidR="002B73DC">
        <w:t xml:space="preserve"> </w:t>
      </w:r>
      <w:r>
        <w:t xml:space="preserve">2+, </w:t>
      </w:r>
      <w:r w:rsidR="00086C77">
        <w:fldChar w:fldCharType="begin"/>
      </w:r>
      <w:r>
        <w:instrText xml:space="preserve"> REF _Ref333997406 \h </w:instrText>
      </w:r>
      <w:r w:rsidR="00086C77">
        <w:fldChar w:fldCharType="separate"/>
      </w:r>
      <w:r w:rsidR="003361A8">
        <w:t xml:space="preserve">Table </w:t>
      </w:r>
      <w:r w:rsidR="003361A8">
        <w:rPr>
          <w:noProof/>
        </w:rPr>
        <w:t>4</w:t>
      </w:r>
      <w:r w:rsidR="00086C77">
        <w:fldChar w:fldCharType="end"/>
      </w:r>
      <w:r>
        <w:t xml:space="preserve">). The </w:t>
      </w:r>
      <w:r w:rsidR="002B73DC">
        <w:t>p</w:t>
      </w:r>
      <w:r w:rsidRPr="00325CCE">
        <w:t>roportion of CIN lesions detected in each cytological category</w:t>
      </w:r>
      <w:r w:rsidR="002B73DC">
        <w:t xml:space="preserve"> will put the test y</w:t>
      </w:r>
      <w:r>
        <w:t xml:space="preserve">ield for each cytological category reported into context against the reference standard applied. A qualitative review of the correlation will be performed unless trial publications report the statistical comparisons of the correlation between cell enrichment or cell filtration LBC and conventional cytology. </w:t>
      </w:r>
    </w:p>
    <w:p w:rsidR="008D6F3F" w:rsidRDefault="00325CCE" w:rsidP="008C1658">
      <w:r>
        <w:t>Test sensitivity is the ability of a test to correctly id</w:t>
      </w:r>
      <w:r w:rsidR="002B73DC">
        <w:t>entify those with the disease (t</w:t>
      </w:r>
      <w:r>
        <w:t>rue positive rate), whereas test specificity is the ability of the test to correctly identify those without the disease (true negative). Both are prevalence independent as their values are intrinsic to the test and do not depend on the disease prevalence of the population.</w:t>
      </w:r>
      <w:r w:rsidR="002B73DC">
        <w:t xml:space="preserve"> T</w:t>
      </w:r>
      <w:r>
        <w:t>o calculate the sensitivity and specificity</w:t>
      </w:r>
      <w:r w:rsidR="002B73DC">
        <w:t>,</w:t>
      </w:r>
      <w:r>
        <w:t xml:space="preserve"> the number of patients who have the conditi</w:t>
      </w:r>
      <w:r w:rsidR="002B73DC">
        <w:t>on or do not have the condition</w:t>
      </w:r>
      <w:r>
        <w:t xml:space="preserve"> ascertained via histopathology</w:t>
      </w:r>
      <w:r w:rsidR="002B73DC">
        <w:t>, needs to be obtained. T</w:t>
      </w:r>
      <w:r>
        <w:t>here needs to be verification of negative results and fully verified positive results.</w:t>
      </w:r>
      <w:r w:rsidR="008D6F3F">
        <w:t xml:space="preserve"> </w:t>
      </w:r>
      <w:r w:rsidR="00310777">
        <w:t>However</w:t>
      </w:r>
      <w:r w:rsidR="002B73DC">
        <w:t>,</w:t>
      </w:r>
      <w:r w:rsidR="008C1658" w:rsidRPr="008C1658">
        <w:t xml:space="preserve"> </w:t>
      </w:r>
      <w:r w:rsidR="008C1658">
        <w:t>often  in a research context (because of cost and/or ethical concerns), only women with positive screen tests and none or only a few with negative screen tests are verified and this situation results in verification bias yielding inflated sensitivity and underestimated specificity (Arbyn 2009). Furthermore</w:t>
      </w:r>
      <w:r w:rsidR="008D6F3F">
        <w:t xml:space="preserve"> outcome terms such as sensitivity are not interchangeable across trials. There is sensitivity calculated for trials with </w:t>
      </w:r>
      <w:r w:rsidR="003954A4">
        <w:t>follow-up</w:t>
      </w:r>
      <w:r w:rsidR="008D6F3F">
        <w:t xml:space="preserve"> of all patients including test negatives and there is the calculation of relative detection </w:t>
      </w:r>
      <w:r w:rsidR="00310777">
        <w:t xml:space="preserve">and sensitivity </w:t>
      </w:r>
      <w:r w:rsidR="008D6F3F">
        <w:t>rates which are quoted as being equivalent to the ratio of the abso</w:t>
      </w:r>
      <w:r w:rsidR="002B73DC">
        <w:t xml:space="preserve">lute sensitivities (Ronco 2006a; Ronco </w:t>
      </w:r>
      <w:r w:rsidR="008D6F3F">
        <w:t>2006b).</w:t>
      </w:r>
    </w:p>
    <w:p w:rsidR="00325CCE" w:rsidRDefault="008C1658" w:rsidP="00325CCE">
      <w:r>
        <w:t xml:space="preserve">It is therefore proposed that increased, similar or hardly reduced positive predictive value for CIN 3+ is the proposed outcome of trials, in lieu of mortality, morbidity and incidence of cancer, for evaluating cervical cancer screening technologies (Arbyn 2009). </w:t>
      </w:r>
      <w:r w:rsidR="002B73DC">
        <w:t>Positive predictive value (</w:t>
      </w:r>
      <w:r w:rsidR="00325CCE">
        <w:t>PPV</w:t>
      </w:r>
      <w:r w:rsidR="002B73DC">
        <w:t>)</w:t>
      </w:r>
      <w:r w:rsidR="00325CCE">
        <w:t xml:space="preserve"> and </w:t>
      </w:r>
      <w:r w:rsidR="002B73DC">
        <w:t>negative predictive value (</w:t>
      </w:r>
      <w:r w:rsidR="00325CCE">
        <w:t>NPV</w:t>
      </w:r>
      <w:r w:rsidR="002B73DC">
        <w:t>)</w:t>
      </w:r>
      <w:r w:rsidR="00325CCE">
        <w:t xml:space="preserve"> are not intrinsic to the test—they depend on disease prevalence (Alt</w:t>
      </w:r>
      <w:r w:rsidR="002B73DC">
        <w:t>men &amp;</w:t>
      </w:r>
      <w:r w:rsidR="001A60BA">
        <w:t xml:space="preserve"> Bland 1994). However</w:t>
      </w:r>
      <w:r w:rsidR="00325CCE">
        <w:t xml:space="preserve"> </w:t>
      </w:r>
      <w:r w:rsidR="001A60BA">
        <w:t>outcomes are re</w:t>
      </w:r>
      <w:r w:rsidR="00325CCE">
        <w:t>p</w:t>
      </w:r>
      <w:r w:rsidR="001A60BA">
        <w:t xml:space="preserve">orted </w:t>
      </w:r>
      <w:r w:rsidR="00325CCE">
        <w:t>in a comparative sense based on a population randomised to each arm within a trial. The disease prevalence is the same in each arm of the trial</w:t>
      </w:r>
      <w:r w:rsidR="002B73DC">
        <w:t>;</w:t>
      </w:r>
      <w:r w:rsidR="00325CCE">
        <w:t xml:space="preserve"> therefore</w:t>
      </w:r>
      <w:r w:rsidR="002B73DC">
        <w:t>,</w:t>
      </w:r>
      <w:r w:rsidR="00325CCE">
        <w:t xml:space="preserve"> within trial comparisons </w:t>
      </w:r>
      <w:r w:rsidR="001A60BA">
        <w:t xml:space="preserve">of PPV and NPV </w:t>
      </w:r>
      <w:r w:rsidR="00325CCE">
        <w:t xml:space="preserve">are valid. </w:t>
      </w:r>
      <w:r w:rsidR="001A60BA">
        <w:t xml:space="preserve">Disease prevalence </w:t>
      </w:r>
      <w:r w:rsidR="00325CCE">
        <w:t xml:space="preserve">between trials </w:t>
      </w:r>
      <w:r w:rsidR="00041974">
        <w:t>is</w:t>
      </w:r>
      <w:r w:rsidR="002B73DC">
        <w:t xml:space="preserve"> not </w:t>
      </w:r>
      <w:r w:rsidR="0091180B">
        <w:t>known and unlikely to be constant across the trials therefore the results will not be pooled. Nonetheless</w:t>
      </w:r>
      <w:r w:rsidR="00655E8D">
        <w:t xml:space="preserve"> if consistent conclusions are drawn irrespective of the </w:t>
      </w:r>
      <w:r w:rsidR="003954A4">
        <w:t>prevalence</w:t>
      </w:r>
      <w:r w:rsidR="00655E8D">
        <w:t xml:space="preserve"> then </w:t>
      </w:r>
      <w:r w:rsidR="00655E8D">
        <w:lastRenderedPageBreak/>
        <w:t xml:space="preserve">it is reasonable to </w:t>
      </w:r>
      <w:r w:rsidR="0091180B">
        <w:t xml:space="preserve">assume </w:t>
      </w:r>
      <w:r w:rsidR="00655E8D">
        <w:t xml:space="preserve">that the </w:t>
      </w:r>
      <w:r w:rsidR="0091180B">
        <w:t xml:space="preserve">conclusions from the comparative PPV </w:t>
      </w:r>
      <w:r w:rsidR="00655E8D">
        <w:t xml:space="preserve">results are applicable to various geographic settings. </w:t>
      </w:r>
      <w:r w:rsidR="006D31D3">
        <w:t>T</w:t>
      </w:r>
      <w:r w:rsidR="00655E8D">
        <w:t xml:space="preserve">he DAP </w:t>
      </w:r>
      <w:r w:rsidR="006D31D3">
        <w:t xml:space="preserve">also </w:t>
      </w:r>
      <w:r w:rsidR="00655E8D">
        <w:t>requires that PPV and NPV are reported.</w:t>
      </w:r>
    </w:p>
    <w:p w:rsidR="00F32F59" w:rsidRDefault="002B73DC" w:rsidP="00F32F59">
      <w:r>
        <w:t>S</w:t>
      </w:r>
      <w:r w:rsidR="00F32F59">
        <w:t xml:space="preserve">ensitivity and specificity </w:t>
      </w:r>
      <w:r w:rsidR="00655E8D">
        <w:t xml:space="preserve">and </w:t>
      </w:r>
      <w:r w:rsidR="00F32F59">
        <w:t xml:space="preserve">positive and negative predictive values will </w:t>
      </w:r>
      <w:r>
        <w:t xml:space="preserve">therefore </w:t>
      </w:r>
      <w:r w:rsidR="00F32F59">
        <w:t xml:space="preserve">be relied on for a comprehensive comparison of the accuracy of the different sampling modalities. </w:t>
      </w:r>
    </w:p>
    <w:p w:rsidR="00325CCE" w:rsidRDefault="00416B1C" w:rsidP="004347D3">
      <w:r>
        <w:t xml:space="preserve">The DAP requires that the ratio of true positive to false positive tests be reported as well as the incremental rate of true positive results. However the application of the ratio of TP:FP and the incremental rate of TP is relevant to a paired-sample trial design rather than a RCT (Davey et al. 2006 web appendix, Chock et al. 1997). </w:t>
      </w:r>
      <w:r w:rsidR="000829E5">
        <w:t>Nonetheless</w:t>
      </w:r>
      <w:r w:rsidR="005232D2">
        <w:t>,</w:t>
      </w:r>
      <w:r w:rsidR="000829E5">
        <w:t xml:space="preserve"> t</w:t>
      </w:r>
      <w:r w:rsidR="008D6F3F">
        <w:t>he ratio of true positive to false positive tests will be reported as will the incrementa</w:t>
      </w:r>
      <w:r w:rsidR="000829E5">
        <w:t>l rate of true positive results as required by the DAP.</w:t>
      </w:r>
      <w:r w:rsidR="006D31D3">
        <w:t xml:space="preserve"> The results are</w:t>
      </w:r>
      <w:r w:rsidR="003F791C">
        <w:t xml:space="preserve"> presented in Appendix B.</w:t>
      </w:r>
    </w:p>
    <w:p w:rsidR="0025176C" w:rsidRPr="00041974" w:rsidRDefault="003F1BA4" w:rsidP="00041974">
      <w:pPr>
        <w:pStyle w:val="Heading30"/>
      </w:pPr>
      <w:bookmarkStart w:id="236" w:name="_Toc337546892"/>
      <w:r>
        <w:t>B.5.5</w:t>
      </w:r>
      <w:r w:rsidR="00CF76B3">
        <w:tab/>
      </w:r>
      <w:r w:rsidR="002B73DC" w:rsidRPr="00041974">
        <w:t>Change in management and p</w:t>
      </w:r>
      <w:r w:rsidR="0025176C" w:rsidRPr="00041974">
        <w:t>atient outcomes</w:t>
      </w:r>
      <w:bookmarkEnd w:id="236"/>
    </w:p>
    <w:p w:rsidR="008D6F3F" w:rsidRDefault="008D6F3F" w:rsidP="004347D3">
      <w:r>
        <w:t>Any change in clinical management</w:t>
      </w:r>
      <w:r w:rsidR="005232D2">
        <w:t>,</w:t>
      </w:r>
      <w:r>
        <w:t xml:space="preserve"> such as change in further investigations or treatments avoided as reported in RCT publications</w:t>
      </w:r>
      <w:r w:rsidR="005232D2">
        <w:t>,</w:t>
      </w:r>
      <w:r>
        <w:t xml:space="preserve"> will also be documented, as will any patient reported outcomes.</w:t>
      </w:r>
    </w:p>
    <w:p w:rsidR="004347D3" w:rsidRDefault="00CF76B3" w:rsidP="00136D50">
      <w:pPr>
        <w:pStyle w:val="Heading30"/>
      </w:pPr>
      <w:bookmarkStart w:id="237" w:name="_Toc191822162"/>
      <w:bookmarkStart w:id="238" w:name="_Toc191822212"/>
      <w:bookmarkStart w:id="239" w:name="_Toc191822262"/>
      <w:bookmarkStart w:id="240" w:name="_Toc258501783"/>
      <w:bookmarkStart w:id="241" w:name="_Toc312340162"/>
      <w:bookmarkStart w:id="242" w:name="_Toc337546893"/>
      <w:r>
        <w:t>B.5.</w:t>
      </w:r>
      <w:r w:rsidR="003F1BA4">
        <w:t>6</w:t>
      </w:r>
      <w:r w:rsidR="004347D3" w:rsidRPr="00274021">
        <w:tab/>
        <w:t>Definition of composite outcome and quality of life measures presented in the submission</w:t>
      </w:r>
      <w:bookmarkEnd w:id="237"/>
      <w:bookmarkEnd w:id="238"/>
      <w:bookmarkEnd w:id="239"/>
      <w:bookmarkEnd w:id="240"/>
      <w:bookmarkEnd w:id="241"/>
      <w:bookmarkEnd w:id="242"/>
    </w:p>
    <w:p w:rsidR="002B73DC" w:rsidRPr="002B73DC" w:rsidRDefault="007476F2" w:rsidP="002B73DC">
      <w:r>
        <w:t>There are no composite outcomes or quality of life measures presented in the RCTs.</w:t>
      </w:r>
    </w:p>
    <w:p w:rsidR="004347D3" w:rsidRPr="00274021" w:rsidRDefault="00CF76B3" w:rsidP="00136D50">
      <w:pPr>
        <w:pStyle w:val="Heading30"/>
      </w:pPr>
      <w:bookmarkStart w:id="243" w:name="_Ref191440169"/>
      <w:bookmarkStart w:id="244" w:name="_Toc191822163"/>
      <w:bookmarkStart w:id="245" w:name="_Toc191822213"/>
      <w:bookmarkStart w:id="246" w:name="_Toc191822263"/>
      <w:bookmarkStart w:id="247" w:name="_Toc258501784"/>
      <w:bookmarkStart w:id="248" w:name="_Toc312340163"/>
      <w:bookmarkStart w:id="249" w:name="_Toc337546894"/>
      <w:r>
        <w:t>B.5.</w:t>
      </w:r>
      <w:r w:rsidR="003F1BA4">
        <w:t>7</w:t>
      </w:r>
      <w:r w:rsidR="004347D3" w:rsidRPr="00274021">
        <w:tab/>
        <w:t>Statistical analyses</w:t>
      </w:r>
      <w:bookmarkEnd w:id="243"/>
      <w:bookmarkEnd w:id="244"/>
      <w:bookmarkEnd w:id="245"/>
      <w:bookmarkEnd w:id="246"/>
      <w:bookmarkEnd w:id="247"/>
      <w:bookmarkEnd w:id="248"/>
      <w:bookmarkEnd w:id="249"/>
    </w:p>
    <w:p w:rsidR="004347D3" w:rsidRDefault="004347D3" w:rsidP="00136D50">
      <w:pPr>
        <w:pStyle w:val="Heading40"/>
      </w:pPr>
      <w:r w:rsidRPr="00274021">
        <w:t>Data extraction</w:t>
      </w:r>
    </w:p>
    <w:p w:rsidR="00CD5EC2" w:rsidRDefault="00CD5EC2" w:rsidP="00CD5EC2">
      <w:r>
        <w:t>The outcomes reported in each study are presented as per the publication. Where the publications reported percentages only, raw numbers were determined from the number of patients on which each test was performed. Where only raw numbers were reported, percentages or rates were calculated from the number of patients reported to have had the test.</w:t>
      </w:r>
    </w:p>
    <w:p w:rsidR="00B36143" w:rsidRDefault="00B36143" w:rsidP="00B36143">
      <w:r>
        <w:t>Given the randomised design of all the studies, the same number</w:t>
      </w:r>
      <w:r w:rsidR="005232D2">
        <w:t>s</w:t>
      </w:r>
      <w:r>
        <w:t xml:space="preserve"> of lesions are expected in each of the arms except for random variation and differences in the actual detection attributed to differences in sensitivity. Therefore</w:t>
      </w:r>
      <w:r w:rsidR="006D31D3">
        <w:t>,</w:t>
      </w:r>
      <w:r>
        <w:t xml:space="preserve"> we compared </w:t>
      </w:r>
      <w:r w:rsidR="005232D2">
        <w:t>c</w:t>
      </w:r>
      <w:r w:rsidR="00CD5EC2">
        <w:t xml:space="preserve">ell enrichment </w:t>
      </w:r>
      <w:r w:rsidR="005232D2">
        <w:t>liquid-based cytology (</w:t>
      </w:r>
      <w:r w:rsidR="00CD5EC2">
        <w:t>LBC</w:t>
      </w:r>
      <w:r w:rsidR="005232D2">
        <w:t>) and c</w:t>
      </w:r>
      <w:r w:rsidR="00CD5EC2">
        <w:t>ell filtration LBC</w:t>
      </w:r>
      <w:r>
        <w:t xml:space="preserve"> with conventional cytology </w:t>
      </w:r>
      <w:r w:rsidR="005232D2">
        <w:t>(CC) on a relative,</w:t>
      </w:r>
      <w:r>
        <w:t xml:space="preserve"> rather than an absolute</w:t>
      </w:r>
      <w:r w:rsidR="005232D2">
        <w:t>, scale</w:t>
      </w:r>
      <w:r>
        <w:t>. Where available relative comparisons provi</w:t>
      </w:r>
      <w:r w:rsidR="005232D2">
        <w:t>ded within a publication were</w:t>
      </w:r>
      <w:r>
        <w:t xml:space="preserve"> reported. If not reported</w:t>
      </w:r>
      <w:r w:rsidR="005232D2">
        <w:t xml:space="preserve">, the odds ratio (OR) </w:t>
      </w:r>
      <w:r w:rsidR="0017440D">
        <w:t>or relative risk (RR</w:t>
      </w:r>
      <w:proofErr w:type="gramStart"/>
      <w:r w:rsidR="0017440D">
        <w:t>)</w:t>
      </w:r>
      <w:r w:rsidR="005232D2">
        <w:t>were</w:t>
      </w:r>
      <w:proofErr w:type="gramEnd"/>
      <w:r w:rsidR="005232D2">
        <w:t xml:space="preserve"> </w:t>
      </w:r>
      <w:r w:rsidR="001A3CFB">
        <w:t>calculated using</w:t>
      </w:r>
      <w:r w:rsidR="005232D2">
        <w:t xml:space="preserve"> the Intervention Review function</w:t>
      </w:r>
      <w:r>
        <w:t xml:space="preserve"> in </w:t>
      </w:r>
      <w:r w:rsidR="00CD5EC2">
        <w:t>Review Manager (RevMan) Version 5</w:t>
      </w:r>
      <w:r w:rsidR="0017440D">
        <w:t>(Attachment 4)</w:t>
      </w:r>
      <w:r w:rsidR="00CD5EC2">
        <w:t>.</w:t>
      </w:r>
    </w:p>
    <w:p w:rsidR="00CD5EC2" w:rsidRDefault="005232D2" w:rsidP="0060264A">
      <w:r>
        <w:lastRenderedPageBreak/>
        <w:t>True p</w:t>
      </w:r>
      <w:r w:rsidR="00325CCE">
        <w:t xml:space="preserve">ositive </w:t>
      </w:r>
      <w:r>
        <w:t>and f</w:t>
      </w:r>
      <w:r w:rsidR="00D1592C">
        <w:t xml:space="preserve">alse </w:t>
      </w:r>
      <w:r>
        <w:t>p</w:t>
      </w:r>
      <w:r w:rsidR="003954A4">
        <w:t>ositive</w:t>
      </w:r>
      <w:r w:rsidR="00D1592C">
        <w:t xml:space="preserve"> </w:t>
      </w:r>
      <w:r w:rsidR="00325CCE">
        <w:t>values are extracted from c</w:t>
      </w:r>
      <w:r w:rsidR="00325CCE" w:rsidRPr="00CD5EC2">
        <w:t>orrelation between cytological and histological data</w:t>
      </w:r>
      <w:r>
        <w:t xml:space="preserve"> presented in the ‘</w:t>
      </w:r>
      <w:r w:rsidR="00325CCE" w:rsidRPr="00CD5EC2">
        <w:t>Proportion of CIN lesions detected in each cytological category</w:t>
      </w:r>
      <w:r>
        <w:t>’</w:t>
      </w:r>
      <w:r w:rsidR="00325CCE">
        <w:t xml:space="preserve"> outcome. T</w:t>
      </w:r>
      <w:r w:rsidR="00CD5EC2">
        <w:t xml:space="preserve">he </w:t>
      </w:r>
      <w:r w:rsidR="00D27B2F">
        <w:t>PPV</w:t>
      </w:r>
      <w:r>
        <w:t xml:space="preserve"> wa</w:t>
      </w:r>
      <w:r w:rsidR="00CD5EC2">
        <w:t xml:space="preserve">s </w:t>
      </w:r>
      <w:r w:rsidR="00325CCE">
        <w:t xml:space="preserve">then </w:t>
      </w:r>
      <w:r w:rsidR="00CD5EC2">
        <w:t>calculated us</w:t>
      </w:r>
      <w:r w:rsidR="006D31D3">
        <w:t xml:space="preserve">ing the equation described in </w:t>
      </w:r>
      <w:r w:rsidR="00086C77">
        <w:fldChar w:fldCharType="begin"/>
      </w:r>
      <w:r w:rsidR="00CD5EC2">
        <w:instrText xml:space="preserve"> REF _Ref332887093 \h </w:instrText>
      </w:r>
      <w:r w:rsidR="00086C77">
        <w:fldChar w:fldCharType="separate"/>
      </w:r>
      <w:r w:rsidR="003361A8">
        <w:t xml:space="preserve">Table </w:t>
      </w:r>
      <w:r w:rsidR="003361A8">
        <w:rPr>
          <w:noProof/>
        </w:rPr>
        <w:t>22</w:t>
      </w:r>
      <w:r w:rsidR="00086C77">
        <w:fldChar w:fldCharType="end"/>
      </w:r>
      <w:r w:rsidR="002A07D2">
        <w:t xml:space="preserve">. </w:t>
      </w:r>
    </w:p>
    <w:p w:rsidR="0060264A" w:rsidRDefault="00CD5EC2" w:rsidP="0060264A">
      <w:r>
        <w:t>T</w:t>
      </w:r>
      <w:r w:rsidR="0060264A" w:rsidRPr="0060264A">
        <w:t xml:space="preserve">he </w:t>
      </w:r>
      <w:r>
        <w:t xml:space="preserve">ratio of </w:t>
      </w:r>
      <w:r w:rsidR="00F23810">
        <w:t>true positive to false positive</w:t>
      </w:r>
      <w:r>
        <w:t xml:space="preserve"> rates are presented where both results are divided by the </w:t>
      </w:r>
      <w:r w:rsidR="00F23810">
        <w:t>false positive</w:t>
      </w:r>
      <w:r>
        <w:t xml:space="preserve"> rate </w:t>
      </w:r>
      <w:r w:rsidR="00F23810">
        <w:t>(i.e. true positive relative to false positive</w:t>
      </w:r>
      <w:r w:rsidR="00D1592C">
        <w:t xml:space="preserve"> rate of 1) </w:t>
      </w:r>
      <w:r>
        <w:t xml:space="preserve">so that that the incremental or </w:t>
      </w:r>
      <w:r w:rsidR="0060264A" w:rsidRPr="0060264A">
        <w:t>additional true positive findings detected by each screening method</w:t>
      </w:r>
      <w:r w:rsidR="0060264A">
        <w:t xml:space="preserve"> </w:t>
      </w:r>
      <w:r>
        <w:t>can be report</w:t>
      </w:r>
      <w:r w:rsidR="0060264A">
        <w:t>ed</w:t>
      </w:r>
      <w:r w:rsidR="0060264A" w:rsidRPr="0060264A">
        <w:t>.</w:t>
      </w:r>
      <w:r w:rsidR="0060264A">
        <w:t xml:space="preserve"> </w:t>
      </w:r>
    </w:p>
    <w:p w:rsidR="002139B8" w:rsidRDefault="002139B8" w:rsidP="002139B8">
      <w:pPr>
        <w:pStyle w:val="Caption"/>
      </w:pPr>
      <w:bookmarkStart w:id="250" w:name="_Ref332887093"/>
      <w:bookmarkStart w:id="251" w:name="_Toc335665988"/>
      <w:bookmarkStart w:id="252" w:name="_Toc337546959"/>
      <w:r>
        <w:t xml:space="preserve">Table </w:t>
      </w:r>
      <w:fldSimple w:instr=" SEQ Table \* ARABIC ">
        <w:r w:rsidR="003361A8">
          <w:rPr>
            <w:noProof/>
          </w:rPr>
          <w:t>22</w:t>
        </w:r>
      </w:fldSimple>
      <w:bookmarkEnd w:id="250"/>
      <w:r>
        <w:tab/>
        <w:t xml:space="preserve">Sensitivity, </w:t>
      </w:r>
      <w:r w:rsidR="005232D2">
        <w:t>specificity, positive and negative predictive value equations</w:t>
      </w:r>
      <w:bookmarkEnd w:id="251"/>
      <w:bookmarkEnd w:id="25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7"/>
        <w:gridCol w:w="2552"/>
        <w:gridCol w:w="2534"/>
        <w:gridCol w:w="2251"/>
      </w:tblGrid>
      <w:tr w:rsidR="00D00494" w:rsidRPr="005232D2" w:rsidTr="005232D2">
        <w:tc>
          <w:tcPr>
            <w:tcW w:w="926" w:type="pct"/>
          </w:tcPr>
          <w:p w:rsidR="00D00494" w:rsidRPr="005232D2" w:rsidRDefault="00D00494" w:rsidP="005232D2">
            <w:pPr>
              <w:pStyle w:val="Tabletext"/>
              <w:rPr>
                <w:b/>
              </w:rPr>
            </w:pPr>
          </w:p>
        </w:tc>
        <w:tc>
          <w:tcPr>
            <w:tcW w:w="1417" w:type="pct"/>
          </w:tcPr>
          <w:p w:rsidR="00D00494" w:rsidRPr="005232D2" w:rsidRDefault="003954A4" w:rsidP="005232D2">
            <w:pPr>
              <w:pStyle w:val="Tabletext"/>
              <w:rPr>
                <w:b/>
              </w:rPr>
            </w:pPr>
            <w:r w:rsidRPr="005232D2">
              <w:rPr>
                <w:b/>
              </w:rPr>
              <w:t>Condition: Positive</w:t>
            </w:r>
          </w:p>
        </w:tc>
        <w:tc>
          <w:tcPr>
            <w:tcW w:w="1407" w:type="pct"/>
          </w:tcPr>
          <w:p w:rsidR="00D00494" w:rsidRPr="005232D2" w:rsidRDefault="003954A4" w:rsidP="005232D2">
            <w:pPr>
              <w:pStyle w:val="Tabletext"/>
              <w:rPr>
                <w:b/>
              </w:rPr>
            </w:pPr>
            <w:r w:rsidRPr="005232D2">
              <w:rPr>
                <w:b/>
              </w:rPr>
              <w:t>Condition: Negative</w:t>
            </w:r>
          </w:p>
        </w:tc>
        <w:tc>
          <w:tcPr>
            <w:tcW w:w="1250" w:type="pct"/>
          </w:tcPr>
          <w:p w:rsidR="00D00494" w:rsidRPr="005232D2" w:rsidRDefault="00D00494" w:rsidP="005232D2">
            <w:pPr>
              <w:pStyle w:val="Tabletext"/>
              <w:rPr>
                <w:b/>
              </w:rPr>
            </w:pPr>
          </w:p>
        </w:tc>
      </w:tr>
      <w:tr w:rsidR="00D00494" w:rsidTr="005232D2">
        <w:tc>
          <w:tcPr>
            <w:tcW w:w="926" w:type="pct"/>
          </w:tcPr>
          <w:p w:rsidR="00D00494" w:rsidRDefault="003954A4" w:rsidP="002139B8">
            <w:pPr>
              <w:pStyle w:val="Tabletext"/>
            </w:pPr>
            <w:r>
              <w:t>Test: Positive</w:t>
            </w:r>
          </w:p>
        </w:tc>
        <w:tc>
          <w:tcPr>
            <w:tcW w:w="1417" w:type="pct"/>
          </w:tcPr>
          <w:p w:rsidR="00D00494" w:rsidRDefault="005232D2" w:rsidP="002139B8">
            <w:pPr>
              <w:pStyle w:val="Tabletext"/>
            </w:pPr>
            <w:r>
              <w:t>True p</w:t>
            </w:r>
            <w:r w:rsidR="00D00494">
              <w:t>ositive</w:t>
            </w:r>
            <w:r w:rsidR="002139B8">
              <w:t xml:space="preserve"> (TP)</w:t>
            </w:r>
          </w:p>
        </w:tc>
        <w:tc>
          <w:tcPr>
            <w:tcW w:w="1407" w:type="pct"/>
          </w:tcPr>
          <w:p w:rsidR="00D00494" w:rsidRDefault="005232D2" w:rsidP="002139B8">
            <w:pPr>
              <w:pStyle w:val="Tabletext"/>
            </w:pPr>
            <w:r>
              <w:t>False p</w:t>
            </w:r>
            <w:r w:rsidR="00D00494">
              <w:t>ositive</w:t>
            </w:r>
            <w:r w:rsidR="002139B8">
              <w:t xml:space="preserve"> (FP)</w:t>
            </w:r>
          </w:p>
        </w:tc>
        <w:tc>
          <w:tcPr>
            <w:tcW w:w="1250" w:type="pct"/>
          </w:tcPr>
          <w:p w:rsidR="00D00494" w:rsidRDefault="00D00494" w:rsidP="002139B8">
            <w:pPr>
              <w:pStyle w:val="Tabletext"/>
            </w:pPr>
            <w:r>
              <w:t>PPV</w:t>
            </w:r>
            <w:r w:rsidR="005E0D57">
              <w:t>=</w:t>
            </w:r>
            <w:r w:rsidRPr="00D00494">
              <w:t>TP / (TP + FP</w:t>
            </w:r>
            <w:r>
              <w:t>)</w:t>
            </w:r>
          </w:p>
        </w:tc>
      </w:tr>
      <w:tr w:rsidR="00D00494" w:rsidTr="005232D2">
        <w:tc>
          <w:tcPr>
            <w:tcW w:w="926" w:type="pct"/>
          </w:tcPr>
          <w:p w:rsidR="00D00494" w:rsidRDefault="00D00494" w:rsidP="002139B8">
            <w:pPr>
              <w:pStyle w:val="Tabletext"/>
            </w:pPr>
            <w:r>
              <w:t>Test: Negative</w:t>
            </w:r>
          </w:p>
        </w:tc>
        <w:tc>
          <w:tcPr>
            <w:tcW w:w="1417" w:type="pct"/>
          </w:tcPr>
          <w:p w:rsidR="00D00494" w:rsidRDefault="005232D2" w:rsidP="002139B8">
            <w:pPr>
              <w:pStyle w:val="Tabletext"/>
            </w:pPr>
            <w:r>
              <w:t>False n</w:t>
            </w:r>
            <w:r w:rsidR="00D00494">
              <w:t>egative</w:t>
            </w:r>
            <w:r w:rsidR="002139B8">
              <w:t xml:space="preserve"> (FN)</w:t>
            </w:r>
          </w:p>
        </w:tc>
        <w:tc>
          <w:tcPr>
            <w:tcW w:w="1407" w:type="pct"/>
          </w:tcPr>
          <w:p w:rsidR="00D00494" w:rsidRDefault="00D00494" w:rsidP="002139B8">
            <w:pPr>
              <w:pStyle w:val="Tabletext"/>
            </w:pPr>
            <w:r>
              <w:t>T</w:t>
            </w:r>
            <w:r w:rsidR="005232D2">
              <w:t xml:space="preserve">rue </w:t>
            </w:r>
            <w:r w:rsidR="002E2A50">
              <w:t>negative</w:t>
            </w:r>
            <w:r w:rsidR="002E2A50" w:rsidDel="002E2A50">
              <w:t xml:space="preserve"> </w:t>
            </w:r>
            <w:r w:rsidR="002139B8">
              <w:t>(T</w:t>
            </w:r>
            <w:r w:rsidR="002E2A50">
              <w:t>N</w:t>
            </w:r>
            <w:r w:rsidR="002139B8">
              <w:t>)</w:t>
            </w:r>
          </w:p>
        </w:tc>
        <w:tc>
          <w:tcPr>
            <w:tcW w:w="1250" w:type="pct"/>
          </w:tcPr>
          <w:p w:rsidR="00D00494" w:rsidRDefault="00D00494" w:rsidP="002139B8">
            <w:pPr>
              <w:pStyle w:val="Tabletext"/>
            </w:pPr>
            <w:r>
              <w:t>NPV=</w:t>
            </w:r>
            <w:r w:rsidRPr="00D00494">
              <w:t>TN / (FN + TN)</w:t>
            </w:r>
          </w:p>
        </w:tc>
      </w:tr>
      <w:tr w:rsidR="00D00494" w:rsidTr="005232D2">
        <w:tc>
          <w:tcPr>
            <w:tcW w:w="926" w:type="pct"/>
          </w:tcPr>
          <w:p w:rsidR="00D00494" w:rsidRDefault="00D00494" w:rsidP="002139B8">
            <w:pPr>
              <w:pStyle w:val="Tabletext"/>
            </w:pPr>
          </w:p>
        </w:tc>
        <w:tc>
          <w:tcPr>
            <w:tcW w:w="1417" w:type="pct"/>
          </w:tcPr>
          <w:p w:rsidR="00D00494" w:rsidRDefault="00D00494" w:rsidP="002139B8">
            <w:pPr>
              <w:pStyle w:val="Tabletext"/>
            </w:pPr>
            <w:r>
              <w:t>Sensitivity=</w:t>
            </w:r>
            <w:r w:rsidR="002139B8" w:rsidRPr="002139B8">
              <w:t>TP / (TP + FN)</w:t>
            </w:r>
          </w:p>
        </w:tc>
        <w:tc>
          <w:tcPr>
            <w:tcW w:w="1407" w:type="pct"/>
          </w:tcPr>
          <w:p w:rsidR="00D00494" w:rsidRDefault="00D00494" w:rsidP="002139B8">
            <w:pPr>
              <w:pStyle w:val="Tabletext"/>
            </w:pPr>
            <w:r>
              <w:t>Specificity=</w:t>
            </w:r>
            <w:r w:rsidR="002139B8" w:rsidRPr="002139B8">
              <w:t>TN / (FP + TN)</w:t>
            </w:r>
          </w:p>
        </w:tc>
        <w:tc>
          <w:tcPr>
            <w:tcW w:w="1250" w:type="pct"/>
          </w:tcPr>
          <w:p w:rsidR="00D00494" w:rsidRDefault="00D00494" w:rsidP="002139B8">
            <w:pPr>
              <w:pStyle w:val="Tabletext"/>
            </w:pPr>
          </w:p>
        </w:tc>
      </w:tr>
    </w:tbl>
    <w:p w:rsidR="002139B8" w:rsidRDefault="002139B8" w:rsidP="0044255A">
      <w:pPr>
        <w:pStyle w:val="Tablenotes"/>
        <w:spacing w:before="0" w:after="0"/>
      </w:pPr>
      <w:r>
        <w:t>Abbreviations:</w:t>
      </w:r>
      <w:r w:rsidR="0044255A">
        <w:t xml:space="preserve"> FN, false negative; FP, false positive; </w:t>
      </w:r>
      <w:r>
        <w:t xml:space="preserve"> NPV, negative </w:t>
      </w:r>
      <w:r w:rsidR="003954A4">
        <w:t>predictive</w:t>
      </w:r>
      <w:r>
        <w:t xml:space="preserve"> value; PPV, positive predictive value</w:t>
      </w:r>
      <w:r w:rsidR="0044255A">
        <w:t>; TP, true positive; TN, true negative</w:t>
      </w:r>
    </w:p>
    <w:p w:rsidR="0044255A" w:rsidRPr="00C439C8" w:rsidRDefault="0044255A" w:rsidP="0044255A"/>
    <w:p w:rsidR="00C439C8" w:rsidRPr="005232D2" w:rsidRDefault="00C439C8" w:rsidP="005232D2">
      <w:r w:rsidRPr="005232D2">
        <w:t>Where</w:t>
      </w:r>
      <w:r w:rsidR="0060264A" w:rsidRPr="005232D2">
        <w:t xml:space="preserve"> ve</w:t>
      </w:r>
      <w:r w:rsidR="005232D2">
        <w:t>rification of negative results wa</w:t>
      </w:r>
      <w:r w:rsidR="0060264A" w:rsidRPr="005232D2">
        <w:t xml:space="preserve">s reported the </w:t>
      </w:r>
      <w:r w:rsidR="00A826EF" w:rsidRPr="005232D2">
        <w:t xml:space="preserve">sensitivity, specificity </w:t>
      </w:r>
      <w:r w:rsidR="005232D2">
        <w:t>we</w:t>
      </w:r>
      <w:r w:rsidRPr="005232D2">
        <w:t>r</w:t>
      </w:r>
      <w:r w:rsidR="005232D2">
        <w:t xml:space="preserve">e calculated using the </w:t>
      </w:r>
      <w:r w:rsidR="00622FF8">
        <w:t>equation presented above (</w:t>
      </w:r>
      <w:r w:rsidR="00086C77">
        <w:fldChar w:fldCharType="begin"/>
      </w:r>
      <w:r w:rsidR="00622FF8">
        <w:instrText xml:space="preserve"> REF _Ref332887093 \h </w:instrText>
      </w:r>
      <w:r w:rsidR="00086C77">
        <w:fldChar w:fldCharType="separate"/>
      </w:r>
      <w:r w:rsidR="003361A8">
        <w:t xml:space="preserve">Table </w:t>
      </w:r>
      <w:r w:rsidR="003361A8">
        <w:rPr>
          <w:noProof/>
        </w:rPr>
        <w:t>22</w:t>
      </w:r>
      <w:r w:rsidR="00086C77">
        <w:fldChar w:fldCharType="end"/>
      </w:r>
      <w:r w:rsidR="00622FF8">
        <w:t>)</w:t>
      </w:r>
      <w:r w:rsidR="00A826EF" w:rsidRPr="005232D2">
        <w:t xml:space="preserve">. The PPV, ratio of </w:t>
      </w:r>
      <w:r w:rsidR="0044255A">
        <w:t>true positive to false positive</w:t>
      </w:r>
      <w:r w:rsidR="00D27B2F" w:rsidRPr="005232D2">
        <w:t xml:space="preserve"> </w:t>
      </w:r>
      <w:r w:rsidR="00A826EF" w:rsidRPr="005232D2">
        <w:t>and incremental rate of true positive results</w:t>
      </w:r>
      <w:r w:rsidR="005F7065" w:rsidRPr="005232D2">
        <w:t xml:space="preserve"> and comparisons </w:t>
      </w:r>
      <w:r w:rsidR="005232D2">
        <w:t>we</w:t>
      </w:r>
      <w:r w:rsidR="00A826EF" w:rsidRPr="005232D2">
        <w:t xml:space="preserve">re </w:t>
      </w:r>
      <w:r w:rsidR="005232D2">
        <w:t>performed manually and are presented in A</w:t>
      </w:r>
      <w:r w:rsidR="005F7065" w:rsidRPr="005232D2">
        <w:t xml:space="preserve">ttachment </w:t>
      </w:r>
      <w:r w:rsidR="00963888" w:rsidRPr="005232D2">
        <w:t>4</w:t>
      </w:r>
      <w:r w:rsidR="00A826EF" w:rsidRPr="005232D2">
        <w:t>.</w:t>
      </w:r>
    </w:p>
    <w:p w:rsidR="004347D3" w:rsidRPr="00274021" w:rsidRDefault="004347D3" w:rsidP="00136D50">
      <w:pPr>
        <w:pStyle w:val="Heading40"/>
      </w:pPr>
      <w:r w:rsidRPr="00274021">
        <w:t>Direct meta-analyses</w:t>
      </w:r>
    </w:p>
    <w:p w:rsidR="00192B9C" w:rsidRDefault="00192B9C" w:rsidP="00CD5EC2">
      <w:r>
        <w:t>At least two</w:t>
      </w:r>
      <w:r w:rsidR="005232D2">
        <w:t xml:space="preserve"> studies using one technology are necessary for</w:t>
      </w:r>
      <w:r>
        <w:t xml:space="preserve"> meta-analysis. Pooling between cell enrichme</w:t>
      </w:r>
      <w:r w:rsidR="005232D2">
        <w:t>nt LBC and cell filtration LBC wa</w:t>
      </w:r>
      <w:r>
        <w:t>s not performed based on the research questions (</w:t>
      </w:r>
      <w:r w:rsidR="00086C77">
        <w:fldChar w:fldCharType="begin"/>
      </w:r>
      <w:r>
        <w:instrText xml:space="preserve"> REF _Ref332790182 \h </w:instrText>
      </w:r>
      <w:r w:rsidR="00086C77">
        <w:fldChar w:fldCharType="separate"/>
      </w:r>
      <w:r w:rsidR="003361A8">
        <w:t xml:space="preserve">Table </w:t>
      </w:r>
      <w:r w:rsidR="003361A8">
        <w:rPr>
          <w:noProof/>
        </w:rPr>
        <w:t>6</w:t>
      </w:r>
      <w:r w:rsidR="00086C77">
        <w:fldChar w:fldCharType="end"/>
      </w:r>
      <w:r>
        <w:t>) that requ</w:t>
      </w:r>
      <w:r w:rsidR="005232D2">
        <w:t xml:space="preserve">ire comparisons between the </w:t>
      </w:r>
      <w:r>
        <w:t>technologies or with conventional cytology</w:t>
      </w:r>
      <w:r w:rsidR="00041974">
        <w:t xml:space="preserve"> (CC</w:t>
      </w:r>
      <w:r w:rsidR="005232D2">
        <w:t>)</w:t>
      </w:r>
      <w:r>
        <w:t>.</w:t>
      </w:r>
    </w:p>
    <w:p w:rsidR="00CD5EC2" w:rsidRDefault="00CD5EC2" w:rsidP="00CD5EC2">
      <w:r>
        <w:t xml:space="preserve">For each study the percentage of slides classified as unsatisfactory, normal, ASCUS, LSIL, and HSIL+ by </w:t>
      </w:r>
      <w:r w:rsidR="00616D44">
        <w:t xml:space="preserve">cell enrichment or cell filtration LBC and </w:t>
      </w:r>
      <w:r w:rsidR="00A524CC">
        <w:t>cc</w:t>
      </w:r>
      <w:r>
        <w:t xml:space="preserve"> are pooled as was performed in the sy</w:t>
      </w:r>
      <w:r w:rsidR="00A524CC">
        <w:t xml:space="preserve">stematic review by Davey </w:t>
      </w:r>
      <w:r>
        <w:t>2006. HSIL+ was chosen a</w:t>
      </w:r>
      <w:r w:rsidR="00A524CC">
        <w:t xml:space="preserve">s a category rather than HSIL because some studies </w:t>
      </w:r>
      <w:r>
        <w:t xml:space="preserve">presented </w:t>
      </w:r>
      <w:r w:rsidR="00A524CC">
        <w:t xml:space="preserve">only </w:t>
      </w:r>
      <w:r>
        <w:t>HSIL and cancer combined (HSIL+) and others as HSIL and cancer sep</w:t>
      </w:r>
      <w:r w:rsidR="00A524CC">
        <w:t>arately. Where statistics we</w:t>
      </w:r>
      <w:r>
        <w:t xml:space="preserve">re presented separately (for example HSIL and </w:t>
      </w:r>
      <w:r w:rsidR="00A524CC">
        <w:t>squamous cell carcinoma, SCC) they we</w:t>
      </w:r>
      <w:r>
        <w:t xml:space="preserve">re combined to give a HSIL+ classification. </w:t>
      </w:r>
      <w:r w:rsidR="00A524CC">
        <w:t>Most</w:t>
      </w:r>
      <w:r w:rsidR="00616D44">
        <w:t xml:space="preserve"> publications report the O</w:t>
      </w:r>
      <w:r w:rsidR="00D27B2F">
        <w:t>R</w:t>
      </w:r>
      <w:r w:rsidR="00616D44" w:rsidRPr="00073E40">
        <w:t xml:space="preserve"> </w:t>
      </w:r>
      <w:r w:rsidR="00A524CC">
        <w:t xml:space="preserve">and/or P </w:t>
      </w:r>
      <w:r w:rsidR="00616D44">
        <w:t>value for differences betwe</w:t>
      </w:r>
      <w:r w:rsidR="00A524CC">
        <w:t>en LBC and CC</w:t>
      </w:r>
      <w:r w:rsidR="00616D44">
        <w:t xml:space="preserve"> for each classi</w:t>
      </w:r>
      <w:r w:rsidR="00A524CC">
        <w:t>fication. Where it wa</w:t>
      </w:r>
      <w:r w:rsidR="00616D44">
        <w:t>s not reported</w:t>
      </w:r>
      <w:r w:rsidR="00A524CC">
        <w:t>,</w:t>
      </w:r>
      <w:r w:rsidR="00616D44">
        <w:t xml:space="preserve"> the OR was calculate</w:t>
      </w:r>
      <w:r w:rsidR="00D27B2F">
        <w:t>d</w:t>
      </w:r>
      <w:r w:rsidR="00616D44">
        <w:t>. In addition</w:t>
      </w:r>
      <w:r w:rsidR="00A524CC">
        <w:t>,</w:t>
      </w:r>
      <w:r w:rsidR="00616D44">
        <w:t xml:space="preserve"> as</w:t>
      </w:r>
      <w:r w:rsidR="00A524CC">
        <w:t xml:space="preserve"> was performed by Davey 2006</w:t>
      </w:r>
      <w:r w:rsidR="00616D44">
        <w:t>, th</w:t>
      </w:r>
      <w:r>
        <w:t>e percentage of slides in each c</w:t>
      </w:r>
      <w:r w:rsidR="00A524CC">
        <w:t>ategory by CC</w:t>
      </w:r>
      <w:r>
        <w:t xml:space="preserve"> was subtracted from the percentage classified in each category by </w:t>
      </w:r>
      <w:r w:rsidR="00616D44">
        <w:t>LBC</w:t>
      </w:r>
      <w:r>
        <w:t>, to give</w:t>
      </w:r>
      <w:r w:rsidR="00A524CC">
        <w:t xml:space="preserve"> a difference in percentage (risk d</w:t>
      </w:r>
      <w:r>
        <w:t>ifference, RD) for each cytological class</w:t>
      </w:r>
      <w:r w:rsidR="00A524CC">
        <w:t>ification. The RD was calculated using the Intervention Review function</w:t>
      </w:r>
      <w:r>
        <w:t xml:space="preserve"> in Review Manager (RevMan) Version 5.</w:t>
      </w:r>
    </w:p>
    <w:p w:rsidR="00073E40" w:rsidRDefault="00073E40" w:rsidP="00E601A4">
      <w:r w:rsidRPr="00073E40">
        <w:lastRenderedPageBreak/>
        <w:t>Meta-analyse</w:t>
      </w:r>
      <w:r w:rsidR="00A524CC">
        <w:t>s we</w:t>
      </w:r>
      <w:r w:rsidR="00DE75A2">
        <w:t>re carried out o</w:t>
      </w:r>
      <w:r w:rsidR="00616D44">
        <w:t>n summary information ob</w:t>
      </w:r>
      <w:r w:rsidR="00DE75A2">
        <w:t>tained from published papers</w:t>
      </w:r>
      <w:r w:rsidR="00A524CC">
        <w:t xml:space="preserve"> for c</w:t>
      </w:r>
      <w:r w:rsidR="00616D44">
        <w:t>ell enr</w:t>
      </w:r>
      <w:r w:rsidR="00A524CC">
        <w:t>ichment (SurePath) studies and c</w:t>
      </w:r>
      <w:r w:rsidR="00616D44">
        <w:t>ell filtration (ThinPrep) studies</w:t>
      </w:r>
      <w:r w:rsidR="00DE75A2">
        <w:t>. Re</w:t>
      </w:r>
      <w:r w:rsidRPr="00073E40">
        <w:t xml:space="preserve">sults </w:t>
      </w:r>
      <w:r>
        <w:t xml:space="preserve">are </w:t>
      </w:r>
      <w:r w:rsidRPr="00073E40">
        <w:t xml:space="preserve">dichotomous </w:t>
      </w:r>
      <w:r w:rsidR="00CD5EC2">
        <w:t xml:space="preserve">and as such are presented </w:t>
      </w:r>
      <w:r w:rsidR="00A524CC">
        <w:t xml:space="preserve">as </w:t>
      </w:r>
      <w:r>
        <w:t>RD and</w:t>
      </w:r>
      <w:r w:rsidR="00D27B2F">
        <w:t xml:space="preserve"> </w:t>
      </w:r>
      <w:r>
        <w:t>O</w:t>
      </w:r>
      <w:r w:rsidR="00A524CC">
        <w:t xml:space="preserve">R </w:t>
      </w:r>
      <w:r w:rsidRPr="00073E40">
        <w:t xml:space="preserve">with 95% confidence intervals (CI). </w:t>
      </w:r>
      <w:r w:rsidR="00DE75A2">
        <w:t>Zero cells cause problems with computation of standard err</w:t>
      </w:r>
      <w:r w:rsidR="00616D44">
        <w:t>ors</w:t>
      </w:r>
      <w:r w:rsidR="00A524CC">
        <w:t>,</w:t>
      </w:r>
      <w:r w:rsidR="00616D44">
        <w:t xml:space="preserve"> so any category with zero results were substituted with 0.5</w:t>
      </w:r>
      <w:r w:rsidR="00D27B2F">
        <w:t>, or by subtracting 0.5</w:t>
      </w:r>
      <w:r w:rsidR="00616D44">
        <w:t xml:space="preserve"> </w:t>
      </w:r>
      <w:r w:rsidR="00DE75A2">
        <w:t>(Egger, Smith and Altman</w:t>
      </w:r>
      <w:r w:rsidR="0044255A">
        <w:t>:</w:t>
      </w:r>
      <w:r w:rsidR="00DE75A2">
        <w:t xml:space="preserve"> </w:t>
      </w:r>
      <w:r w:rsidR="00F628FE">
        <w:t xml:space="preserve">Chapter 15 Statistical methods for examining heterogeneity and combining the results from several studies in meta-analysis, </w:t>
      </w:r>
      <w:r w:rsidR="00DE75A2">
        <w:t xml:space="preserve">Systematic reviews in Healthcare 2003). </w:t>
      </w:r>
      <w:r w:rsidRPr="00073E40">
        <w:t xml:space="preserve">Analyses were conducted using the random-effects method as required by the PBAC guidelines (version 4.3 2008). </w:t>
      </w:r>
      <w:r>
        <w:t>Thes</w:t>
      </w:r>
      <w:r w:rsidR="0044255A">
        <w:t>e differences are depicted in</w:t>
      </w:r>
      <w:r>
        <w:t xml:space="preserve"> forest plot</w:t>
      </w:r>
      <w:r w:rsidR="00A524CC">
        <w:t>s</w:t>
      </w:r>
      <w:r>
        <w:t xml:space="preserve">. </w:t>
      </w:r>
      <w:r w:rsidRPr="00073E40">
        <w:t xml:space="preserve">Results were considered to be </w:t>
      </w:r>
      <w:r w:rsidR="00A524CC">
        <w:t xml:space="preserve">of statistical significance if P &lt; </w:t>
      </w:r>
      <w:r w:rsidRPr="00073E40">
        <w:t>0.05, or to show a statistical trend if 0.1</w:t>
      </w:r>
      <w:r w:rsidR="00A524CC">
        <w:t xml:space="preserve"> &gt; P </w:t>
      </w:r>
      <w:r w:rsidRPr="00073E40">
        <w:t>≥</w:t>
      </w:r>
      <w:r w:rsidR="00A524CC">
        <w:t xml:space="preserve"> </w:t>
      </w:r>
      <w:r w:rsidRPr="00073E40">
        <w:t>0.05. Hete</w:t>
      </w:r>
      <w:r w:rsidR="00A524CC">
        <w:t>rogeneity was measured using a Chi²</w:t>
      </w:r>
      <w:r w:rsidRPr="00073E40">
        <w:t xml:space="preserve"> test for heterogeneity and the I</w:t>
      </w:r>
      <w:r w:rsidRPr="00616D44">
        <w:rPr>
          <w:vertAlign w:val="superscript"/>
        </w:rPr>
        <w:t>2</w:t>
      </w:r>
      <w:r w:rsidRPr="00073E40">
        <w:t xml:space="preserve"> statistic. A significance</w:t>
      </w:r>
      <w:r w:rsidR="00A524CC">
        <w:t xml:space="preserve"> level of 0.1 rather than 0.05 was used because the Chi²</w:t>
      </w:r>
      <w:r w:rsidRPr="00073E40">
        <w:t xml:space="preserve"> test has </w:t>
      </w:r>
      <w:r w:rsidR="00A524CC">
        <w:t>low power to detect whether heterogeneity wa</w:t>
      </w:r>
      <w:r w:rsidRPr="00073E40">
        <w:t>s due to chance alone. To investigate heterogeneity</w:t>
      </w:r>
      <w:r w:rsidR="00A524CC">
        <w:t>,</w:t>
      </w:r>
      <w:r w:rsidRPr="00073E40">
        <w:t xml:space="preserve"> the I² statistic, given by the formula [(Q -</w:t>
      </w:r>
      <w:r w:rsidR="00A524CC">
        <w:t xml:space="preserve"> </w:t>
      </w:r>
      <w:proofErr w:type="gramStart"/>
      <w:r w:rsidR="00A524CC">
        <w:t>df</w:t>
      </w:r>
      <w:proofErr w:type="gramEnd"/>
      <w:r w:rsidR="00A524CC">
        <w:t>)/Q] x 100%, where Q is the Chi²</w:t>
      </w:r>
      <w:r w:rsidRPr="00073E40">
        <w:t xml:space="preserve"> statistic and</w:t>
      </w:r>
      <w:r w:rsidR="00A524CC">
        <w:t xml:space="preserve"> df is its degrees of freedom, was used (Higgins</w:t>
      </w:r>
      <w:r w:rsidRPr="00073E40">
        <w:t xml:space="preserve"> 20</w:t>
      </w:r>
      <w:r w:rsidR="00041974">
        <w:t>11</w:t>
      </w:r>
      <w:r w:rsidRPr="00073E40">
        <w:t>). This measure describes the percentage of the variability in effect estimates that is due to heterogeneity rather than sampling error (chance). The I² statistic quantifies the inconsistency across trials and enables an assessment of the impact o</w:t>
      </w:r>
      <w:r w:rsidR="00A524CC">
        <w:t>f the heterogeneity on the meta-</w:t>
      </w:r>
      <w:r w:rsidRPr="00073E40">
        <w:t xml:space="preserve">analysis. A value greater than 50% may be considered to indicate </w:t>
      </w:r>
      <w:r w:rsidR="00A524CC">
        <w:t>substantial heterogeneity (Higgins</w:t>
      </w:r>
      <w:r w:rsidR="00CF76B3">
        <w:t xml:space="preserve"> 2011</w:t>
      </w:r>
      <w:r w:rsidRPr="00073E40">
        <w:t>). However</w:t>
      </w:r>
      <w:r w:rsidR="00A524CC">
        <w:t>,</w:t>
      </w:r>
      <w:r w:rsidRPr="00073E40">
        <w:t xml:space="preserve"> thresholds can be misleading since the importance of the inconsistency depends on several factors; these will be discussed where relevant.</w:t>
      </w:r>
    </w:p>
    <w:p w:rsidR="00EE4435" w:rsidRPr="00041974" w:rsidRDefault="00A524CC" w:rsidP="00041974">
      <w:pPr>
        <w:pStyle w:val="Heading40"/>
      </w:pPr>
      <w:r w:rsidRPr="00041974">
        <w:t>Indirect a</w:t>
      </w:r>
      <w:r w:rsidR="00EE4435" w:rsidRPr="00041974">
        <w:t xml:space="preserve">nalyses </w:t>
      </w:r>
    </w:p>
    <w:p w:rsidR="00EE4435" w:rsidRDefault="00EE4435" w:rsidP="00EE4435">
      <w:r>
        <w:t>The indirect analysis of cel</w:t>
      </w:r>
      <w:r w:rsidR="00A524CC">
        <w:t>l enrichment LBC compared with c</w:t>
      </w:r>
      <w:r w:rsidR="00041974">
        <w:t>ell f</w:t>
      </w:r>
      <w:r>
        <w:t>iltratio</w:t>
      </w:r>
      <w:r w:rsidR="00A524CC">
        <w:t>n LBC (via CC) wa</w:t>
      </w:r>
      <w:r>
        <w:t xml:space="preserve">s completed for the following </w:t>
      </w:r>
      <w:r w:rsidR="00D27B2F">
        <w:t xml:space="preserve">test yield and accuracy </w:t>
      </w:r>
      <w:r>
        <w:t>outcomes:</w:t>
      </w:r>
    </w:p>
    <w:p w:rsidR="00EE4435" w:rsidRDefault="00A524CC" w:rsidP="00A524CC">
      <w:pPr>
        <w:pStyle w:val="Bulletedbodytext"/>
      </w:pPr>
      <w:r>
        <w:t>p</w:t>
      </w:r>
      <w:r w:rsidR="001A0BB9">
        <w:t xml:space="preserve">roportion </w:t>
      </w:r>
      <w:r>
        <w:t>of u</w:t>
      </w:r>
      <w:r w:rsidR="00EE4435">
        <w:t>nsatisfactory slides</w:t>
      </w:r>
    </w:p>
    <w:p w:rsidR="00EE4435" w:rsidRDefault="00A524CC" w:rsidP="00A524CC">
      <w:pPr>
        <w:pStyle w:val="Bulletedbodytext"/>
      </w:pPr>
      <w:r>
        <w:t>s</w:t>
      </w:r>
      <w:r w:rsidR="00EE4435">
        <w:t>ensitivity</w:t>
      </w:r>
    </w:p>
    <w:p w:rsidR="00EE4435" w:rsidRDefault="00A524CC" w:rsidP="00A524CC">
      <w:pPr>
        <w:pStyle w:val="Bulletedbodytext"/>
      </w:pPr>
      <w:proofErr w:type="gramStart"/>
      <w:r>
        <w:t>s</w:t>
      </w:r>
      <w:r w:rsidR="00EE4435">
        <w:t>pecificity</w:t>
      </w:r>
      <w:proofErr w:type="gramEnd"/>
      <w:r>
        <w:t>.</w:t>
      </w:r>
    </w:p>
    <w:p w:rsidR="00EE4435" w:rsidRDefault="00EE4435" w:rsidP="00EE4435">
      <w:r>
        <w:t>The outco</w:t>
      </w:r>
      <w:r w:rsidR="00A524CC">
        <w:t>mes of interest are dichotomous; they were analysed using OR</w:t>
      </w:r>
      <w:r>
        <w:t xml:space="preserve"> and asso</w:t>
      </w:r>
      <w:r w:rsidR="00A524CC">
        <w:t>ciated 95% CI.</w:t>
      </w:r>
    </w:p>
    <w:p w:rsidR="00EE4435" w:rsidRDefault="00EE4435" w:rsidP="00EE4435">
      <w:pPr>
        <w:pStyle w:val="Heading40"/>
      </w:pPr>
      <w:r>
        <w:t>Methods of indirect analysis</w:t>
      </w:r>
    </w:p>
    <w:p w:rsidR="00EE4435" w:rsidRDefault="00EE4435" w:rsidP="00EE4435">
      <w:r>
        <w:t>The unsatisfactory rates and accuracy of cell enrichment (E) L</w:t>
      </w:r>
      <w:r w:rsidR="008D30CB">
        <w:t>BC and cell filtration (F) LBC we</w:t>
      </w:r>
      <w:r>
        <w:t xml:space="preserve">re indirectly compared using conventional (C) cytology as common comparator, using the following the </w:t>
      </w:r>
      <w:r w:rsidR="008D30CB">
        <w:t>method developed by Bucher</w:t>
      </w:r>
      <w:r w:rsidR="0032677D">
        <w:t xml:space="preserve"> 1997</w:t>
      </w:r>
      <w:r>
        <w:t>. The steps are as follows:</w:t>
      </w:r>
    </w:p>
    <w:p w:rsidR="00EE4435" w:rsidRDefault="00EE4435" w:rsidP="00AB012A">
      <w:pPr>
        <w:pStyle w:val="ListParagraph"/>
        <w:numPr>
          <w:ilvl w:val="0"/>
          <w:numId w:val="21"/>
        </w:numPr>
      </w:pPr>
      <w:r>
        <w:t xml:space="preserve">The summary measures (OR) and their precision are calculated for each study. </w:t>
      </w:r>
    </w:p>
    <w:p w:rsidR="00EE4435" w:rsidRDefault="00EE4435" w:rsidP="00AB012A">
      <w:pPr>
        <w:pStyle w:val="ListParagraph"/>
        <w:numPr>
          <w:ilvl w:val="0"/>
          <w:numId w:val="21"/>
        </w:numPr>
      </w:pPr>
      <w:r>
        <w:lastRenderedPageBreak/>
        <w:t xml:space="preserve">The indirect effect of the two treatments of interest and the associated 95% bilateral confidence interval are then calculated using the formulas below (presented for OR). </w:t>
      </w:r>
    </w:p>
    <w:p w:rsidR="00EE4435" w:rsidRDefault="00EE4435" w:rsidP="008D30CB">
      <w:pPr>
        <w:ind w:left="720"/>
      </w:pPr>
      <w:proofErr w:type="gramStart"/>
      <w:r>
        <w:t>ln(</w:t>
      </w:r>
      <w:proofErr w:type="gramEnd"/>
      <w:r>
        <w:t xml:space="preserve">OR)F </w:t>
      </w:r>
      <w:r w:rsidR="003954A4">
        <w:t>vs.</w:t>
      </w:r>
      <w:r>
        <w:t xml:space="preserve"> E</w:t>
      </w:r>
      <w:r w:rsidR="005E0D57">
        <w:t>=</w:t>
      </w:r>
      <w:r>
        <w:t xml:space="preserve">ln(OR)F </w:t>
      </w:r>
      <w:r w:rsidR="003954A4">
        <w:t>vs.</w:t>
      </w:r>
      <w:r>
        <w:t xml:space="preserve"> C</w:t>
      </w:r>
      <w:r w:rsidR="005E0D57">
        <w:t>–</w:t>
      </w:r>
      <w:r>
        <w:t xml:space="preserve">ln(OR)E </w:t>
      </w:r>
      <w:r w:rsidR="003954A4">
        <w:t>vs.</w:t>
      </w:r>
      <w:r>
        <w:t xml:space="preserve"> C</w:t>
      </w:r>
    </w:p>
    <w:p w:rsidR="00EE4435" w:rsidRDefault="00EE4435" w:rsidP="008D30CB">
      <w:pPr>
        <w:ind w:left="720"/>
      </w:pPr>
      <w:r>
        <w:t xml:space="preserve">SE(ln(OR)F </w:t>
      </w:r>
      <w:r w:rsidR="003954A4">
        <w:t>vs.</w:t>
      </w:r>
      <w:r>
        <w:t xml:space="preserve"> E)</w:t>
      </w:r>
      <w:r w:rsidR="005E0D57">
        <w:t>=</w:t>
      </w:r>
      <w:r>
        <w:t xml:space="preserve">[Var(ln(OR)F </w:t>
      </w:r>
      <w:r w:rsidR="003954A4">
        <w:t>vs.</w:t>
      </w:r>
      <w:r>
        <w:t xml:space="preserve"> C)+ Var(ln(OR)E </w:t>
      </w:r>
      <w:r w:rsidR="003954A4">
        <w:t>vs.</w:t>
      </w:r>
      <w:r>
        <w:t xml:space="preserve"> C)]1/2</w:t>
      </w:r>
    </w:p>
    <w:p w:rsidR="00EE4435" w:rsidRDefault="00EE4435" w:rsidP="00EE4435">
      <w:r>
        <w:t>The 95% CI around the logar</w:t>
      </w:r>
      <w:r w:rsidR="008D30CB">
        <w:t>ithm of the indirect effect wa</w:t>
      </w:r>
      <w:r>
        <w:t>s calculated as:</w:t>
      </w:r>
    </w:p>
    <w:p w:rsidR="00EE4435" w:rsidRDefault="00EE4435" w:rsidP="008D30CB">
      <w:pPr>
        <w:ind w:left="720"/>
      </w:pPr>
      <w:proofErr w:type="gramStart"/>
      <w:r>
        <w:t>ln(</w:t>
      </w:r>
      <w:proofErr w:type="gramEnd"/>
      <w:r>
        <w:t xml:space="preserve">OR)F </w:t>
      </w:r>
      <w:r w:rsidR="003954A4">
        <w:t>vs.</w:t>
      </w:r>
      <w:r>
        <w:t xml:space="preserve"> E ± 1.96*(ln(OR)F </w:t>
      </w:r>
      <w:r w:rsidR="003954A4">
        <w:t>vs.</w:t>
      </w:r>
      <w:r>
        <w:t xml:space="preserve"> E)</w:t>
      </w:r>
    </w:p>
    <w:p w:rsidR="00EE4435" w:rsidRDefault="00EE4435" w:rsidP="00EE4435">
      <w:r>
        <w:t>Due to their ma</w:t>
      </w:r>
      <w:r w:rsidR="008D30CB">
        <w:t>thematical characteristics, it wa</w:t>
      </w:r>
      <w:r>
        <w:t>s necessary to perform the analysis of the ORs on the logarithmic scale and then back-transform (exponentiate) the results at the end.</w:t>
      </w:r>
      <w:r w:rsidR="00CD5EC2">
        <w:t xml:space="preserve"> </w:t>
      </w:r>
      <w:r>
        <w:t>This methodology follows the PBAC guidelines on indirect comparisons.</w:t>
      </w:r>
      <w:r w:rsidR="005F7065">
        <w:t xml:space="preserve"> Indirect comparis</w:t>
      </w:r>
      <w:r w:rsidR="008D30CB">
        <w:t>on calculations are located in A</w:t>
      </w:r>
      <w:r w:rsidR="005F7065">
        <w:t xml:space="preserve">ttachment </w:t>
      </w:r>
      <w:proofErr w:type="gramStart"/>
      <w:r w:rsidR="00963888">
        <w:t>4</w:t>
      </w:r>
      <w:r w:rsidR="00A826EF">
        <w:t xml:space="preserve"> </w:t>
      </w:r>
      <w:r w:rsidR="00FA5639">
        <w:t>.</w:t>
      </w:r>
      <w:proofErr w:type="gramEnd"/>
    </w:p>
    <w:p w:rsidR="008D30CB" w:rsidRDefault="008D30CB" w:rsidP="0044255A">
      <w:bookmarkStart w:id="253" w:name="_Ref191439983"/>
      <w:bookmarkStart w:id="254" w:name="_Toc191822164"/>
      <w:bookmarkStart w:id="255" w:name="_Toc191822214"/>
      <w:bookmarkStart w:id="256" w:name="_Toc191822264"/>
      <w:bookmarkStart w:id="257" w:name="_Toc258501785"/>
      <w:bookmarkStart w:id="258" w:name="_Toc312340164"/>
      <w:r>
        <w:br w:type="page"/>
      </w:r>
    </w:p>
    <w:p w:rsidR="004347D3" w:rsidRDefault="004347D3" w:rsidP="00136D50">
      <w:pPr>
        <w:pStyle w:val="Heading20"/>
      </w:pPr>
      <w:bookmarkStart w:id="259" w:name="_Toc337546895"/>
      <w:r w:rsidRPr="00274021">
        <w:lastRenderedPageBreak/>
        <w:t>B.6</w:t>
      </w:r>
      <w:r w:rsidRPr="00274021">
        <w:tab/>
        <w:t>Systematic overvi</w:t>
      </w:r>
      <w:r w:rsidR="00867CC2">
        <w:t>ew of the results of the direct</w:t>
      </w:r>
      <w:r w:rsidR="008C42CB">
        <w:t xml:space="preserve"> </w:t>
      </w:r>
      <w:r w:rsidRPr="00274021">
        <w:t>randomised trials</w:t>
      </w:r>
      <w:bookmarkEnd w:id="253"/>
      <w:bookmarkEnd w:id="254"/>
      <w:bookmarkEnd w:id="255"/>
      <w:bookmarkEnd w:id="256"/>
      <w:bookmarkEnd w:id="257"/>
      <w:bookmarkEnd w:id="258"/>
      <w:bookmarkEnd w:id="25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4"/>
      </w:tblGrid>
      <w:tr w:rsidR="00EF3DEB" w:rsidTr="00791EC7">
        <w:tc>
          <w:tcPr>
            <w:tcW w:w="9004" w:type="dxa"/>
          </w:tcPr>
          <w:p w:rsidR="00213D8A" w:rsidRDefault="009E545F" w:rsidP="00213D8A">
            <w:r>
              <w:br/>
            </w:r>
            <w:r w:rsidR="00CC2095">
              <w:t>N</w:t>
            </w:r>
            <w:r w:rsidR="00213D8A">
              <w:t xml:space="preserve">o </w:t>
            </w:r>
            <w:r w:rsidR="008D30CB">
              <w:t xml:space="preserve">mortality data </w:t>
            </w:r>
            <w:r w:rsidR="00CC2095">
              <w:t xml:space="preserve">were </w:t>
            </w:r>
            <w:r w:rsidR="008D30CB">
              <w:t xml:space="preserve">reported </w:t>
            </w:r>
            <w:r w:rsidR="00CC2095">
              <w:t>in</w:t>
            </w:r>
            <w:r w:rsidR="00213D8A">
              <w:t xml:space="preserve"> the </w:t>
            </w:r>
            <w:r w:rsidR="008D30CB">
              <w:t xml:space="preserve">included </w:t>
            </w:r>
            <w:r w:rsidR="00213D8A">
              <w:t xml:space="preserve">RCTs. </w:t>
            </w:r>
            <w:r w:rsidR="000E425A">
              <w:t>Although s</w:t>
            </w:r>
            <w:r w:rsidR="00213D8A">
              <w:t>ome trials reported CIN</w:t>
            </w:r>
            <w:r w:rsidR="008D30CB">
              <w:t xml:space="preserve"> </w:t>
            </w:r>
            <w:r w:rsidR="00213D8A">
              <w:t>3+</w:t>
            </w:r>
            <w:r w:rsidR="00CC2095">
              <w:t xml:space="preserve"> incidence</w:t>
            </w:r>
            <w:r w:rsidR="000E425A">
              <w:t>,</w:t>
            </w:r>
            <w:r w:rsidR="006D31D3">
              <w:t xml:space="preserve"> t</w:t>
            </w:r>
            <w:r w:rsidR="00213D8A" w:rsidRPr="00213D8A">
              <w:t>he number</w:t>
            </w:r>
            <w:r w:rsidR="008D30CB">
              <w:t>s</w:t>
            </w:r>
            <w:r w:rsidR="00213D8A" w:rsidRPr="00213D8A">
              <w:t xml:space="preserve"> of cervical cancer</w:t>
            </w:r>
            <w:r w:rsidR="008D30CB">
              <w:t>s</w:t>
            </w:r>
            <w:r w:rsidR="00213D8A" w:rsidRPr="00213D8A">
              <w:t xml:space="preserve"> or CIN</w:t>
            </w:r>
            <w:r w:rsidR="008D30CB">
              <w:t xml:space="preserve"> 3+ detected were too few t</w:t>
            </w:r>
            <w:r w:rsidR="006D31D3">
              <w:t>o enable statistical comparison. T</w:t>
            </w:r>
            <w:r w:rsidR="008D30CB">
              <w:t>herefore</w:t>
            </w:r>
            <w:r w:rsidR="00CC2095">
              <w:t>,</w:t>
            </w:r>
            <w:r w:rsidR="00213D8A">
              <w:t xml:space="preserve"> results from each trial we</w:t>
            </w:r>
            <w:r w:rsidR="008D30CB">
              <w:t xml:space="preserve">re </w:t>
            </w:r>
            <w:r w:rsidR="00213D8A" w:rsidRPr="00213D8A">
              <w:t>pooled</w:t>
            </w:r>
            <w:r w:rsidR="008D30CB">
              <w:t xml:space="preserve">. </w:t>
            </w:r>
            <w:r w:rsidR="00616644" w:rsidRPr="00616644">
              <w:t xml:space="preserve">The pooled OR (OR 0.69, 95% CI 0.50 to -0.95) indicates that the odds of detecting CIN3+ with conventional cytology is 31% lower than with </w:t>
            </w:r>
            <w:r w:rsidR="001A3CFB" w:rsidRPr="00616644">
              <w:t>LBC</w:t>
            </w:r>
            <w:r w:rsidR="001A3CFB">
              <w:t xml:space="preserve"> The</w:t>
            </w:r>
            <w:r w:rsidR="000E425A">
              <w:t xml:space="preserve"> comparison of </w:t>
            </w:r>
            <w:r w:rsidR="00213D8A">
              <w:t>rates of uns</w:t>
            </w:r>
            <w:r w:rsidR="006D31D3">
              <w:t>atisfactory slides i</w:t>
            </w:r>
            <w:r w:rsidR="000E425A">
              <w:t>ndicate</w:t>
            </w:r>
            <w:r w:rsidR="00213D8A">
              <w:t>:</w:t>
            </w:r>
          </w:p>
          <w:p w:rsidR="00213D8A" w:rsidRDefault="00213D8A" w:rsidP="008D30CB">
            <w:pPr>
              <w:pStyle w:val="Bulletedbodytext"/>
            </w:pPr>
            <w:r>
              <w:t xml:space="preserve">Cell enrichment LBC is associated with </w:t>
            </w:r>
            <w:r w:rsidR="00743CFF">
              <w:t>a</w:t>
            </w:r>
            <w:r>
              <w:t xml:space="preserve"> significant reduction in the proportion of unsatisfactory slides com</w:t>
            </w:r>
            <w:r w:rsidR="008D30CB">
              <w:t>pared with CC</w:t>
            </w:r>
            <w:r>
              <w:t xml:space="preserve"> (OR 0.15, 95%</w:t>
            </w:r>
            <w:r w:rsidR="008D30CB">
              <w:t xml:space="preserve"> </w:t>
            </w:r>
            <w:r>
              <w:t xml:space="preserve">CI 0.11 to -0.21). </w:t>
            </w:r>
          </w:p>
          <w:p w:rsidR="00213D8A" w:rsidRDefault="006D31D3" w:rsidP="008D30CB">
            <w:pPr>
              <w:pStyle w:val="Bulletedbodytext"/>
            </w:pPr>
            <w:r>
              <w:t>P</w:t>
            </w:r>
            <w:r w:rsidR="00213D8A">
              <w:t>ooled results for cell filtration LBC showed a significant reduction in the proportion of unsatisfactory slid</w:t>
            </w:r>
            <w:r w:rsidR="008D30CB">
              <w:t>es compared with CC</w:t>
            </w:r>
            <w:r w:rsidR="00213D8A">
              <w:t xml:space="preserve"> (OR 0.44, 95%</w:t>
            </w:r>
            <w:r w:rsidR="008D30CB">
              <w:t xml:space="preserve"> </w:t>
            </w:r>
            <w:r w:rsidR="00213D8A">
              <w:t>CI 0.27 to -0.73).</w:t>
            </w:r>
          </w:p>
          <w:p w:rsidR="00213D8A" w:rsidRDefault="00213D8A" w:rsidP="008D30CB">
            <w:pPr>
              <w:pStyle w:val="Bulletedbodytext"/>
            </w:pPr>
            <w:r>
              <w:t>T</w:t>
            </w:r>
            <w:r w:rsidR="008D30CB">
              <w:t>here were</w:t>
            </w:r>
            <w:r w:rsidRPr="00213D8A">
              <w:t xml:space="preserve"> significant</w:t>
            </w:r>
            <w:r w:rsidR="008D30CB">
              <w:t>ly fewer</w:t>
            </w:r>
            <w:r>
              <w:t xml:space="preserve"> unsatisfactory slides</w:t>
            </w:r>
            <w:r w:rsidR="008D30CB">
              <w:t xml:space="preserve"> associated</w:t>
            </w:r>
            <w:r>
              <w:t xml:space="preserve"> with </w:t>
            </w:r>
            <w:r w:rsidRPr="00213D8A">
              <w:t xml:space="preserve">cell enrichment LBC </w:t>
            </w:r>
            <w:r>
              <w:t xml:space="preserve">compared with </w:t>
            </w:r>
            <w:r w:rsidRPr="00213D8A">
              <w:t>cell filtration LBC (indirect OR</w:t>
            </w:r>
            <w:r w:rsidR="008D30CB">
              <w:t xml:space="preserve"> [95% CI] 0.3586 (0.19, 0.69), P</w:t>
            </w:r>
            <w:r w:rsidRPr="00213D8A">
              <w:t>=0.0022).</w:t>
            </w:r>
          </w:p>
          <w:p w:rsidR="00FB34E1" w:rsidRDefault="00FB34E1" w:rsidP="00EF3DEB">
            <w:r>
              <w:t>There was significant heterogeneity between the cell enrichment trials as well as the cell filtration trials therefore results were not pooled. Generally,</w:t>
            </w:r>
          </w:p>
          <w:p w:rsidR="00BF722B" w:rsidRPr="00453545" w:rsidRDefault="00FB34E1">
            <w:pPr>
              <w:pStyle w:val="ListParagraph"/>
              <w:numPr>
                <w:ilvl w:val="0"/>
                <w:numId w:val="18"/>
              </w:numPr>
              <w:rPr>
                <w:szCs w:val="18"/>
                <w:lang w:val="en-AU"/>
              </w:rPr>
            </w:pPr>
            <w:r w:rsidRPr="00453545">
              <w:rPr>
                <w:lang w:val="en-AU"/>
              </w:rPr>
              <w:t>The results for the two cell enrichment LBC trials consistently indicate significantly lower rates of normal and significantly higher rates of ASCUS outcomes.</w:t>
            </w:r>
          </w:p>
          <w:p w:rsidR="00BF722B" w:rsidRPr="00453545" w:rsidRDefault="00FB34E1">
            <w:pPr>
              <w:pStyle w:val="ListParagraph"/>
              <w:numPr>
                <w:ilvl w:val="0"/>
                <w:numId w:val="18"/>
              </w:numPr>
              <w:rPr>
                <w:szCs w:val="18"/>
                <w:lang w:val="en-AU"/>
              </w:rPr>
            </w:pPr>
            <w:r w:rsidRPr="00453545">
              <w:rPr>
                <w:lang w:val="en-AU"/>
              </w:rPr>
              <w:t xml:space="preserve">The direction of the point estimates for each cytological outcome is more variable with the six cell filtration LBC trials limiting the ability to make any conclusions other than the test yield </w:t>
            </w:r>
            <w:r w:rsidR="001A3CFB" w:rsidRPr="00453545">
              <w:rPr>
                <w:lang w:val="en-AU"/>
              </w:rPr>
              <w:t>results</w:t>
            </w:r>
            <w:r w:rsidRPr="00453545">
              <w:rPr>
                <w:lang w:val="en-AU"/>
              </w:rPr>
              <w:t xml:space="preserve"> are variable with cell filtration LBC.</w:t>
            </w:r>
            <w:r w:rsidR="001A3CFB">
              <w:rPr>
                <w:lang w:val="en-AU"/>
              </w:rPr>
              <w:t xml:space="preserve"> </w:t>
            </w:r>
            <w:r w:rsidRPr="00453545">
              <w:rPr>
                <w:lang w:val="en-AU"/>
              </w:rPr>
              <w:t>Although there is significantly more LSIL detected with cell filtration LBC in</w:t>
            </w:r>
            <w:r w:rsidR="00743CFF" w:rsidRPr="00453545">
              <w:rPr>
                <w:lang w:val="en-AU"/>
              </w:rPr>
              <w:t xml:space="preserve"> </w:t>
            </w:r>
            <w:r w:rsidRPr="00453545">
              <w:rPr>
                <w:lang w:val="en-AU"/>
              </w:rPr>
              <w:t>half the trials</w:t>
            </w:r>
          </w:p>
          <w:p w:rsidR="00A90FC1" w:rsidRDefault="008D30CB" w:rsidP="00EF3DEB">
            <w:r>
              <w:t>Both</w:t>
            </w:r>
            <w:r w:rsidR="00A90FC1" w:rsidRPr="00A90FC1">
              <w:t xml:space="preserve"> trials that reported sensitivity and specificity for CIN</w:t>
            </w:r>
            <w:r>
              <w:t xml:space="preserve"> </w:t>
            </w:r>
            <w:r w:rsidR="00A90FC1" w:rsidRPr="00A90FC1">
              <w:t>1+ outcome</w:t>
            </w:r>
            <w:r>
              <w:t>s</w:t>
            </w:r>
            <w:r w:rsidR="00A90FC1" w:rsidRPr="00A90FC1">
              <w:t xml:space="preserve"> based on an ASCUS+ index test resulted in consistent conclusions. Both showed that LBC (cell enrichment or cell filtration) was associated with significantly increased sensitivity for CIN</w:t>
            </w:r>
            <w:r w:rsidR="00CC2095">
              <w:t xml:space="preserve"> </w:t>
            </w:r>
            <w:r w:rsidR="00A90FC1" w:rsidRPr="00A90FC1">
              <w:t>1+</w:t>
            </w:r>
            <w:r w:rsidR="005A730E">
              <w:t xml:space="preserve"> (an </w:t>
            </w:r>
            <w:r w:rsidR="001A3CFB">
              <w:t>increase</w:t>
            </w:r>
            <w:r w:rsidR="005A730E">
              <w:t xml:space="preserve"> of 4%</w:t>
            </w:r>
            <w:proofErr w:type="gramStart"/>
            <w:r w:rsidR="005A730E">
              <w:t xml:space="preserve">) </w:t>
            </w:r>
            <w:r w:rsidR="00A90FC1" w:rsidRPr="00A90FC1">
              <w:t xml:space="preserve"> and</w:t>
            </w:r>
            <w:proofErr w:type="gramEnd"/>
            <w:r w:rsidR="00A90FC1" w:rsidRPr="00A90FC1">
              <w:t xml:space="preserve"> significantly reduced specificity</w:t>
            </w:r>
            <w:r w:rsidR="005A730E">
              <w:t xml:space="preserve"> (less than 1% reduction with cell enrichment LBC and a 3.5% reduction with cell filtration LBC)</w:t>
            </w:r>
            <w:r w:rsidR="00A90FC1" w:rsidRPr="00A90FC1">
              <w:t>.</w:t>
            </w:r>
            <w:r w:rsidR="00A90FC1">
              <w:t xml:space="preserve"> An indirect comparison </w:t>
            </w:r>
            <w:r w:rsidR="00A90FC1" w:rsidRPr="00A90FC1">
              <w:t xml:space="preserve">showed that there was no statistically significant difference between cell enrichment LBC and cell filtration LBC in sensitivity or specificity </w:t>
            </w:r>
            <w:r w:rsidR="00CC2095">
              <w:t>(P</w:t>
            </w:r>
            <w:r w:rsidR="00A90FC1" w:rsidRPr="00A90FC1">
              <w:t xml:space="preserve">=0.4712 and </w:t>
            </w:r>
            <w:r w:rsidR="00CC2095">
              <w:t>P=</w:t>
            </w:r>
            <w:r w:rsidR="00A90FC1" w:rsidRPr="00A90FC1">
              <w:t>0.1033, respectively).</w:t>
            </w:r>
          </w:p>
          <w:p w:rsidR="00A90FC1" w:rsidRDefault="00A90FC1" w:rsidP="00EF3DEB">
            <w:r w:rsidRPr="00A90FC1">
              <w:t>All trials</w:t>
            </w:r>
            <w:r w:rsidR="00CC2095">
              <w:t>,</w:t>
            </w:r>
            <w:r w:rsidR="000E425A">
              <w:t xml:space="preserve"> except</w:t>
            </w:r>
            <w:r w:rsidR="005174B9">
              <w:t xml:space="preserve"> </w:t>
            </w:r>
            <w:r w:rsidRPr="00A90FC1">
              <w:t>the NTCC trial</w:t>
            </w:r>
            <w:r w:rsidR="00CC2095">
              <w:t>,</w:t>
            </w:r>
            <w:r w:rsidRPr="00A90FC1">
              <w:t xml:space="preserve"> showed </w:t>
            </w:r>
            <w:r w:rsidR="00CC2095">
              <w:t>no significant difference in positive predictive value (PPV)</w:t>
            </w:r>
            <w:r w:rsidRPr="00A90FC1">
              <w:t xml:space="preserve"> between LBC (cell enrichment or cell filtr</w:t>
            </w:r>
            <w:r w:rsidR="00CC2095">
              <w:t>ation) and CC</w:t>
            </w:r>
            <w:r w:rsidRPr="00A90FC1">
              <w:t xml:space="preserve">. As the test positivity threshold </w:t>
            </w:r>
            <w:r w:rsidRPr="00A90FC1">
              <w:lastRenderedPageBreak/>
              <w:t>improved from ASCUS+ to HSIL+</w:t>
            </w:r>
            <w:r w:rsidR="00CC2095">
              <w:t>,</w:t>
            </w:r>
            <w:r w:rsidRPr="00A90FC1">
              <w:t xml:space="preserve"> the PPV for the detection of CIN</w:t>
            </w:r>
            <w:r w:rsidR="00CC2095">
              <w:t xml:space="preserve"> </w:t>
            </w:r>
            <w:r w:rsidRPr="00A90FC1">
              <w:t>1+, CIN 2+ and CIN</w:t>
            </w:r>
            <w:r w:rsidR="00CC2095">
              <w:t xml:space="preserve"> </w:t>
            </w:r>
            <w:r w:rsidRPr="00A90FC1">
              <w:t>3+ increased for both test preparation methods.</w:t>
            </w:r>
          </w:p>
          <w:p w:rsidR="00A90FC1" w:rsidRDefault="00FA5639" w:rsidP="00EF3DEB">
            <w:r>
              <w:t>Where reported,</w:t>
            </w:r>
            <w:r w:rsidR="00A90FC1">
              <w:t xml:space="preserve"> most trials report</w:t>
            </w:r>
            <w:r w:rsidR="00CC2095">
              <w:t>ed</w:t>
            </w:r>
            <w:r w:rsidR="00A90FC1">
              <w:t xml:space="preserve"> no significant impact on clinical management associated with LBC comp</w:t>
            </w:r>
            <w:r w:rsidR="00CC2095">
              <w:t>ared with CC.</w:t>
            </w:r>
          </w:p>
          <w:p w:rsidR="00A90FC1" w:rsidRDefault="00CC2095" w:rsidP="00EF3DEB">
            <w:r>
              <w:t>There we</w:t>
            </w:r>
            <w:r w:rsidR="00A90FC1">
              <w:t>re no patient reported outcomes</w:t>
            </w:r>
            <w:r>
              <w:t>.</w:t>
            </w:r>
          </w:p>
          <w:p w:rsidR="00EF3DEB" w:rsidRDefault="00213D8A" w:rsidP="00213D8A">
            <w:r>
              <w:t>In regard to the comparison of m</w:t>
            </w:r>
            <w:r w:rsidR="00EF3DEB">
              <w:t>anual versus automated review</w:t>
            </w:r>
            <w:r>
              <w:t>, the</w:t>
            </w:r>
            <w:r w:rsidR="00EF3DEB">
              <w:t xml:space="preserve"> results of the MAVARIC trial are confounded due to triage </w:t>
            </w:r>
            <w:r w:rsidR="00CC2095">
              <w:t xml:space="preserve">HPV </w:t>
            </w:r>
            <w:r w:rsidR="00EF3DEB">
              <w:t>testing. The resu</w:t>
            </w:r>
            <w:r>
              <w:t>lt</w:t>
            </w:r>
            <w:r w:rsidR="00EF3DEB">
              <w:t xml:space="preserve">s </w:t>
            </w:r>
            <w:r w:rsidR="00CC2095">
              <w:t>from the study by Palmer 2012</w:t>
            </w:r>
            <w:r w:rsidR="00EF3DEB">
              <w:t xml:space="preserve"> show</w:t>
            </w:r>
            <w:r w:rsidR="00CC2095">
              <w:t>ed</w:t>
            </w:r>
            <w:r w:rsidR="00A90FC1">
              <w:t xml:space="preserve"> </w:t>
            </w:r>
            <w:r w:rsidR="00EF3DEB" w:rsidRPr="00EF3DEB">
              <w:t xml:space="preserve">that image-assisted screening is </w:t>
            </w:r>
            <w:r w:rsidR="00CC2095">
              <w:t xml:space="preserve">at least as good as </w:t>
            </w:r>
            <w:r w:rsidR="00EF3DEB" w:rsidRPr="00EF3DEB">
              <w:t xml:space="preserve">screening </w:t>
            </w:r>
            <w:r w:rsidR="00947991">
              <w:t xml:space="preserve">with conventional cytology </w:t>
            </w:r>
            <w:r w:rsidR="00A90FC1">
              <w:t xml:space="preserve">and </w:t>
            </w:r>
            <w:r w:rsidR="00EF3DEB" w:rsidRPr="00EF3DEB">
              <w:t>is significantly more specific than manual screening.</w:t>
            </w:r>
          </w:p>
          <w:p w:rsidR="00416FF7" w:rsidRDefault="006D31D3" w:rsidP="00416FF7">
            <w:r>
              <w:t>I</w:t>
            </w:r>
            <w:r w:rsidR="00416FF7">
              <w:t>n terms of accuracy</w:t>
            </w:r>
            <w:r w:rsidR="00376F99">
              <w:t xml:space="preserve"> (sensitivity, specificity and PPV)</w:t>
            </w:r>
            <w:r w:rsidR="00416FF7">
              <w:t xml:space="preserve"> cell enrichment LBC is deemed to be com</w:t>
            </w:r>
            <w:r w:rsidR="00CC2095">
              <w:t xml:space="preserve">parable to </w:t>
            </w:r>
            <w:r w:rsidR="00947991">
              <w:t>conventional cytology</w:t>
            </w:r>
            <w:r w:rsidR="00416FF7">
              <w:t>. The differences between cell enrichme</w:t>
            </w:r>
            <w:r w:rsidR="00CC2095">
              <w:t xml:space="preserve">nt LBC and </w:t>
            </w:r>
            <w:r w:rsidR="00947991">
              <w:t>conventional cytology</w:t>
            </w:r>
            <w:r w:rsidR="00416FF7">
              <w:t xml:space="preserve"> are confined to differences in detection of pLSIL (more with cell enrichment LBC) and differences in rates of unsatisfactory smears </w:t>
            </w:r>
            <w:r w:rsidR="00CC2095">
              <w:t xml:space="preserve">(more with </w:t>
            </w:r>
            <w:r w:rsidR="00947991">
              <w:t>conventional cytology</w:t>
            </w:r>
            <w:r w:rsidR="00416FF7">
              <w:t>).</w:t>
            </w:r>
          </w:p>
          <w:p w:rsidR="00416FF7" w:rsidRDefault="006D31D3" w:rsidP="00416FF7">
            <w:r>
              <w:t>C</w:t>
            </w:r>
            <w:r w:rsidR="00CD48EA">
              <w:t>ell enrichment LBC</w:t>
            </w:r>
            <w:r w:rsidR="00CC2095">
              <w:t xml:space="preserve"> is comparable with</w:t>
            </w:r>
            <w:r w:rsidR="00416FF7">
              <w:t xml:space="preserve"> cell filtration LBC in t</w:t>
            </w:r>
            <w:r w:rsidR="00CC2095">
              <w:t>erms of accuracy and superior i</w:t>
            </w:r>
            <w:r w:rsidR="00416FF7">
              <w:t xml:space="preserve">n terms of reduction in unsatisfactory slides. </w:t>
            </w:r>
          </w:p>
        </w:tc>
      </w:tr>
    </w:tbl>
    <w:p w:rsidR="00EF3DEB" w:rsidRPr="00EF3DEB" w:rsidRDefault="00EF3DEB" w:rsidP="00EF3DEB"/>
    <w:p w:rsidR="000E425A" w:rsidRDefault="000E425A">
      <w:pPr>
        <w:spacing w:after="0" w:line="240" w:lineRule="auto"/>
        <w:rPr>
          <w:rFonts w:ascii="Gill Sans MT" w:hAnsi="Gill Sans MT"/>
          <w:b/>
          <w:bCs/>
          <w:sz w:val="28"/>
          <w:szCs w:val="32"/>
        </w:rPr>
      </w:pPr>
      <w:bookmarkStart w:id="260" w:name="_Toc169275377"/>
      <w:bookmarkStart w:id="261" w:name="_Toc170017617"/>
      <w:bookmarkStart w:id="262" w:name="_Ref190851471"/>
      <w:bookmarkStart w:id="263" w:name="_Ref191442838"/>
      <w:bookmarkStart w:id="264" w:name="_Toc191822165"/>
      <w:bookmarkStart w:id="265" w:name="_Toc191822215"/>
      <w:bookmarkStart w:id="266" w:name="_Toc191822265"/>
      <w:bookmarkStart w:id="267" w:name="_Toc258501786"/>
      <w:bookmarkStart w:id="268" w:name="_Toc312340165"/>
      <w:r>
        <w:br w:type="page"/>
      </w:r>
    </w:p>
    <w:p w:rsidR="004347D3" w:rsidRPr="001F2367" w:rsidRDefault="004347D3" w:rsidP="00136D50">
      <w:pPr>
        <w:pStyle w:val="Heading30"/>
      </w:pPr>
      <w:bookmarkStart w:id="269" w:name="_Toc337546896"/>
      <w:r w:rsidRPr="00274021">
        <w:lastRenderedPageBreak/>
        <w:t>B.6.1</w:t>
      </w:r>
      <w:r w:rsidRPr="00274021">
        <w:tab/>
        <w:t>Efficacy data</w:t>
      </w:r>
      <w:bookmarkEnd w:id="269"/>
      <w:r w:rsidRPr="00274021">
        <w:t xml:space="preserve"> </w:t>
      </w:r>
      <w:bookmarkEnd w:id="260"/>
      <w:bookmarkEnd w:id="261"/>
      <w:bookmarkEnd w:id="262"/>
      <w:bookmarkEnd w:id="263"/>
      <w:bookmarkEnd w:id="264"/>
      <w:bookmarkEnd w:id="265"/>
      <w:bookmarkEnd w:id="266"/>
      <w:bookmarkEnd w:id="267"/>
      <w:bookmarkEnd w:id="268"/>
    </w:p>
    <w:p w:rsidR="004347D3" w:rsidRPr="00274021" w:rsidRDefault="004347D3" w:rsidP="00136D50">
      <w:pPr>
        <w:pStyle w:val="Heading40"/>
      </w:pPr>
      <w:r w:rsidRPr="00274021">
        <w:t>Outcomes</w:t>
      </w:r>
    </w:p>
    <w:p w:rsidR="000C1751" w:rsidRDefault="000C1751" w:rsidP="000C1751">
      <w:r>
        <w:t>The results of the direct comparison of LBC (cell enrichment and cell filt</w:t>
      </w:r>
      <w:r w:rsidR="00CC2095">
        <w:t>ration) to CC</w:t>
      </w:r>
      <w:r>
        <w:t>, and automated and manual review of cytology from the randomised trials are presented in this section. Pooled results are presented where possible.</w:t>
      </w:r>
    </w:p>
    <w:p w:rsidR="000C1751" w:rsidRPr="00274021" w:rsidRDefault="000C1751" w:rsidP="000C1751">
      <w:r>
        <w:t xml:space="preserve">The </w:t>
      </w:r>
      <w:r w:rsidR="00CC2095">
        <w:t>correlation between the DAP-</w:t>
      </w:r>
      <w:r w:rsidR="00963888">
        <w:t xml:space="preserve">required outcomes and the outcomes </w:t>
      </w:r>
      <w:r>
        <w:t xml:space="preserve">available for analysis reported by </w:t>
      </w:r>
      <w:r w:rsidR="00D27B2F">
        <w:t>the RCTs</w:t>
      </w:r>
      <w:r>
        <w:t xml:space="preserve"> are summarised </w:t>
      </w:r>
      <w:r w:rsidR="00CC2095">
        <w:t>(</w:t>
      </w:r>
      <w:r w:rsidR="00086C77">
        <w:fldChar w:fldCharType="begin"/>
      </w:r>
      <w:r>
        <w:instrText xml:space="preserve"> REF _Ref331756829 \h </w:instrText>
      </w:r>
      <w:r w:rsidR="00086C77">
        <w:fldChar w:fldCharType="separate"/>
      </w:r>
      <w:r w:rsidR="003361A8">
        <w:t xml:space="preserve">Table </w:t>
      </w:r>
      <w:r w:rsidR="003361A8">
        <w:rPr>
          <w:noProof/>
        </w:rPr>
        <w:t>23</w:t>
      </w:r>
      <w:r w:rsidR="00086C77">
        <w:fldChar w:fldCharType="end"/>
      </w:r>
      <w:r w:rsidR="00CC2095">
        <w:t>)</w:t>
      </w:r>
      <w:r>
        <w:t>.</w:t>
      </w:r>
      <w:r w:rsidR="00963888">
        <w:t xml:space="preserve"> </w:t>
      </w:r>
      <w:r w:rsidR="00CC2095">
        <w:t>N</w:t>
      </w:r>
      <w:r w:rsidR="00963888">
        <w:t xml:space="preserve">o patient outcomes </w:t>
      </w:r>
      <w:r w:rsidR="00CC2095">
        <w:t>were available from</w:t>
      </w:r>
      <w:r w:rsidR="00963888">
        <w:t xml:space="preserve"> the RCT evidence used for the submission.</w:t>
      </w:r>
    </w:p>
    <w:p w:rsidR="000C1751" w:rsidRPr="000C1751" w:rsidRDefault="000E425A" w:rsidP="000C1751">
      <w:pPr>
        <w:sectPr w:rsidR="000C1751" w:rsidRPr="000C1751" w:rsidSect="008846BA">
          <w:pgSz w:w="11907" w:h="16839" w:code="9"/>
          <w:pgMar w:top="1701" w:right="1418" w:bottom="1418" w:left="1701" w:header="720" w:footer="720" w:gutter="0"/>
          <w:paperSrc w:first="4035" w:other="4035"/>
          <w:cols w:space="720"/>
          <w:noEndnote/>
        </w:sectPr>
      </w:pPr>
      <w:r>
        <w:t>This section presents</w:t>
      </w:r>
      <w:r w:rsidR="000C1751">
        <w:t xml:space="preserve"> the comparative evidence for cell enrichment </w:t>
      </w:r>
      <w:r w:rsidR="00CC2095">
        <w:t>LBC versus CC</w:t>
      </w:r>
      <w:r w:rsidR="000C1751">
        <w:t xml:space="preserve"> followed by cell filtrat</w:t>
      </w:r>
      <w:r w:rsidR="00CC2095">
        <w:t>ion LBC versus CC for each outcome. C</w:t>
      </w:r>
      <w:r w:rsidR="00054963">
        <w:t>omparisons between automated and manual review of cyt</w:t>
      </w:r>
      <w:r w:rsidR="00CC2095">
        <w:t xml:space="preserve">ology from the RCTs is </w:t>
      </w:r>
      <w:r w:rsidR="00054963">
        <w:t>presented</w:t>
      </w:r>
      <w:r w:rsidR="00200EDC">
        <w:t xml:space="preserve"> after review of the trial outcomes</w:t>
      </w:r>
      <w:r w:rsidR="00054963">
        <w:t>.</w:t>
      </w:r>
    </w:p>
    <w:p w:rsidR="00146B66" w:rsidRDefault="00146B66" w:rsidP="00146B66">
      <w:pPr>
        <w:pStyle w:val="Caption"/>
      </w:pPr>
      <w:bookmarkStart w:id="270" w:name="_Ref331756829"/>
      <w:bookmarkStart w:id="271" w:name="_Toc331766460"/>
      <w:bookmarkStart w:id="272" w:name="_Toc335665989"/>
      <w:bookmarkStart w:id="273" w:name="_Toc337546960"/>
      <w:r>
        <w:lastRenderedPageBreak/>
        <w:t xml:space="preserve">Table </w:t>
      </w:r>
      <w:fldSimple w:instr=" SEQ Table \* ARABIC ">
        <w:r w:rsidR="003361A8">
          <w:rPr>
            <w:noProof/>
          </w:rPr>
          <w:t>23</w:t>
        </w:r>
      </w:fldSimple>
      <w:bookmarkEnd w:id="270"/>
      <w:r>
        <w:tab/>
      </w:r>
      <w:r w:rsidRPr="00274021">
        <w:t>Summary of outcomes presented from the direct comparison</w:t>
      </w:r>
      <w:r>
        <w:t xml:space="preserve"> of LBC and </w:t>
      </w:r>
      <w:bookmarkEnd w:id="271"/>
      <w:r w:rsidR="005174B9">
        <w:t>CC</w:t>
      </w:r>
      <w:bookmarkEnd w:id="272"/>
      <w:bookmarkEnd w:id="2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3"/>
        <w:gridCol w:w="1278"/>
        <w:gridCol w:w="1278"/>
        <w:gridCol w:w="1269"/>
        <w:gridCol w:w="1308"/>
        <w:gridCol w:w="1269"/>
        <w:gridCol w:w="1269"/>
        <w:gridCol w:w="1353"/>
        <w:gridCol w:w="1269"/>
      </w:tblGrid>
      <w:tr w:rsidR="005174B9" w:rsidRPr="005174B9" w:rsidTr="005174B9">
        <w:tc>
          <w:tcPr>
            <w:tcW w:w="0" w:type="auto"/>
          </w:tcPr>
          <w:p w:rsidR="00A8186F" w:rsidRPr="005174B9" w:rsidRDefault="00A8186F" w:rsidP="00BB2254">
            <w:pPr>
              <w:pStyle w:val="Tabletext"/>
              <w:rPr>
                <w:b/>
              </w:rPr>
            </w:pPr>
          </w:p>
        </w:tc>
        <w:tc>
          <w:tcPr>
            <w:tcW w:w="0" w:type="auto"/>
          </w:tcPr>
          <w:p w:rsidR="00A8186F" w:rsidRPr="005174B9" w:rsidRDefault="00A8186F" w:rsidP="00BB2254">
            <w:pPr>
              <w:pStyle w:val="Tabletext"/>
              <w:rPr>
                <w:b/>
              </w:rPr>
            </w:pPr>
            <w:r w:rsidRPr="005174B9">
              <w:rPr>
                <w:b/>
              </w:rPr>
              <w:t>Beerman 2009</w:t>
            </w:r>
          </w:p>
        </w:tc>
        <w:tc>
          <w:tcPr>
            <w:tcW w:w="0" w:type="auto"/>
          </w:tcPr>
          <w:p w:rsidR="00A8186F" w:rsidRPr="005174B9" w:rsidRDefault="00A8186F" w:rsidP="00BB2254">
            <w:pPr>
              <w:pStyle w:val="Tabletext"/>
              <w:rPr>
                <w:b/>
              </w:rPr>
            </w:pPr>
            <w:r w:rsidRPr="005174B9">
              <w:rPr>
                <w:b/>
              </w:rPr>
              <w:t>RODEO study</w:t>
            </w:r>
          </w:p>
        </w:tc>
        <w:tc>
          <w:tcPr>
            <w:tcW w:w="0" w:type="auto"/>
          </w:tcPr>
          <w:p w:rsidR="00A8186F" w:rsidRPr="005174B9" w:rsidRDefault="00A8186F" w:rsidP="00BB2254">
            <w:pPr>
              <w:pStyle w:val="Tabletext"/>
              <w:rPr>
                <w:b/>
              </w:rPr>
            </w:pPr>
            <w:r w:rsidRPr="005174B9">
              <w:rPr>
                <w:b/>
              </w:rPr>
              <w:t>NTCC trial</w:t>
            </w:r>
          </w:p>
        </w:tc>
        <w:tc>
          <w:tcPr>
            <w:tcW w:w="0" w:type="auto"/>
          </w:tcPr>
          <w:p w:rsidR="00A8186F" w:rsidRPr="005174B9" w:rsidRDefault="00A8186F" w:rsidP="00BB2254">
            <w:pPr>
              <w:pStyle w:val="Tabletext"/>
              <w:rPr>
                <w:b/>
              </w:rPr>
            </w:pPr>
            <w:r w:rsidRPr="005174B9">
              <w:rPr>
                <w:b/>
              </w:rPr>
              <w:t>NETHCON trial</w:t>
            </w:r>
          </w:p>
        </w:tc>
        <w:tc>
          <w:tcPr>
            <w:tcW w:w="0" w:type="auto"/>
          </w:tcPr>
          <w:p w:rsidR="00A8186F" w:rsidRPr="005174B9" w:rsidRDefault="00A8186F" w:rsidP="00BB2254">
            <w:pPr>
              <w:pStyle w:val="Tabletext"/>
              <w:rPr>
                <w:b/>
              </w:rPr>
            </w:pPr>
            <w:r w:rsidRPr="005174B9">
              <w:rPr>
                <w:b/>
              </w:rPr>
              <w:t>Strander 2007</w:t>
            </w:r>
          </w:p>
        </w:tc>
        <w:tc>
          <w:tcPr>
            <w:tcW w:w="0" w:type="auto"/>
          </w:tcPr>
          <w:p w:rsidR="00A8186F" w:rsidRPr="005174B9" w:rsidRDefault="00A8186F" w:rsidP="00BB2254">
            <w:pPr>
              <w:pStyle w:val="Tabletext"/>
              <w:rPr>
                <w:b/>
              </w:rPr>
            </w:pPr>
            <w:r w:rsidRPr="005174B9">
              <w:rPr>
                <w:b/>
              </w:rPr>
              <w:t>Macallini 2008</w:t>
            </w:r>
          </w:p>
        </w:tc>
        <w:tc>
          <w:tcPr>
            <w:tcW w:w="0" w:type="auto"/>
          </w:tcPr>
          <w:p w:rsidR="00A8186F" w:rsidRPr="005174B9" w:rsidRDefault="00A8186F" w:rsidP="00A8186F">
            <w:pPr>
              <w:pStyle w:val="Tabletext"/>
              <w:rPr>
                <w:b/>
              </w:rPr>
            </w:pPr>
            <w:r w:rsidRPr="005174B9">
              <w:rPr>
                <w:b/>
              </w:rPr>
              <w:t>Obwegeser 2001</w:t>
            </w:r>
          </w:p>
        </w:tc>
        <w:tc>
          <w:tcPr>
            <w:tcW w:w="0" w:type="auto"/>
          </w:tcPr>
          <w:p w:rsidR="00A8186F" w:rsidRPr="005174B9" w:rsidRDefault="00A8186F" w:rsidP="00BB2254">
            <w:pPr>
              <w:pStyle w:val="Tabletext"/>
              <w:rPr>
                <w:b/>
              </w:rPr>
            </w:pPr>
            <w:r w:rsidRPr="005174B9">
              <w:rPr>
                <w:b/>
              </w:rPr>
              <w:t>Ikenberg 2011</w:t>
            </w:r>
          </w:p>
        </w:tc>
      </w:tr>
      <w:tr w:rsidR="005174B9" w:rsidRPr="005174B9" w:rsidTr="005174B9">
        <w:tc>
          <w:tcPr>
            <w:tcW w:w="0" w:type="auto"/>
          </w:tcPr>
          <w:p w:rsidR="00A8186F" w:rsidRPr="005174B9" w:rsidRDefault="00A8186F" w:rsidP="00BB2254">
            <w:pPr>
              <w:pStyle w:val="Tabletext"/>
              <w:rPr>
                <w:b/>
              </w:rPr>
            </w:pPr>
            <w:r w:rsidRPr="005174B9">
              <w:rPr>
                <w:b/>
              </w:rPr>
              <w:t>Comparison</w:t>
            </w:r>
          </w:p>
        </w:tc>
        <w:tc>
          <w:tcPr>
            <w:tcW w:w="0" w:type="auto"/>
          </w:tcPr>
          <w:p w:rsidR="00A8186F" w:rsidRPr="005174B9" w:rsidRDefault="005174B9" w:rsidP="00BB2254">
            <w:pPr>
              <w:pStyle w:val="Tabletext"/>
              <w:rPr>
                <w:b/>
              </w:rPr>
            </w:pPr>
            <w:r>
              <w:rPr>
                <w:b/>
              </w:rPr>
              <w:t xml:space="preserve">SurePath </w:t>
            </w:r>
            <w:r w:rsidR="00A8186F" w:rsidRPr="005174B9">
              <w:rPr>
                <w:b/>
              </w:rPr>
              <w:t>v</w:t>
            </w:r>
            <w:r>
              <w:rPr>
                <w:b/>
              </w:rPr>
              <w:t xml:space="preserve">s. </w:t>
            </w:r>
            <w:r w:rsidR="00A8186F" w:rsidRPr="005174B9">
              <w:rPr>
                <w:b/>
              </w:rPr>
              <w:t>CC</w:t>
            </w:r>
          </w:p>
        </w:tc>
        <w:tc>
          <w:tcPr>
            <w:tcW w:w="0" w:type="auto"/>
          </w:tcPr>
          <w:p w:rsidR="00A8186F" w:rsidRPr="005174B9" w:rsidRDefault="005174B9" w:rsidP="00BB2254">
            <w:pPr>
              <w:pStyle w:val="Tabletext"/>
              <w:rPr>
                <w:b/>
              </w:rPr>
            </w:pPr>
            <w:r>
              <w:rPr>
                <w:b/>
              </w:rPr>
              <w:t xml:space="preserve">SurePath </w:t>
            </w:r>
            <w:r w:rsidRPr="005174B9">
              <w:rPr>
                <w:b/>
              </w:rPr>
              <w:t>v</w:t>
            </w:r>
            <w:r>
              <w:rPr>
                <w:b/>
              </w:rPr>
              <w:t xml:space="preserve">s. </w:t>
            </w:r>
            <w:r w:rsidRPr="005174B9">
              <w:rPr>
                <w:b/>
              </w:rPr>
              <w:t>CC</w:t>
            </w:r>
          </w:p>
        </w:tc>
        <w:tc>
          <w:tcPr>
            <w:tcW w:w="0" w:type="auto"/>
          </w:tcPr>
          <w:p w:rsidR="00A8186F" w:rsidRPr="005174B9" w:rsidRDefault="00A8186F" w:rsidP="00BB2254">
            <w:pPr>
              <w:pStyle w:val="Tabletext"/>
              <w:rPr>
                <w:b/>
              </w:rPr>
            </w:pPr>
            <w:r w:rsidRPr="005174B9">
              <w:rPr>
                <w:b/>
              </w:rPr>
              <w:t>T</w:t>
            </w:r>
            <w:r w:rsidR="005174B9">
              <w:rPr>
                <w:b/>
              </w:rPr>
              <w:t>hin</w:t>
            </w:r>
            <w:r w:rsidRPr="005174B9">
              <w:rPr>
                <w:b/>
              </w:rPr>
              <w:t>P</w:t>
            </w:r>
            <w:r w:rsidR="005174B9">
              <w:rPr>
                <w:b/>
              </w:rPr>
              <w:t xml:space="preserve">rep </w:t>
            </w:r>
            <w:r w:rsidRPr="005174B9">
              <w:rPr>
                <w:b/>
              </w:rPr>
              <w:t>v</w:t>
            </w:r>
            <w:r w:rsidR="005174B9">
              <w:rPr>
                <w:b/>
              </w:rPr>
              <w:t xml:space="preserve">s. </w:t>
            </w:r>
            <w:r w:rsidRPr="005174B9">
              <w:rPr>
                <w:b/>
              </w:rPr>
              <w:t>CC</w:t>
            </w:r>
          </w:p>
        </w:tc>
        <w:tc>
          <w:tcPr>
            <w:tcW w:w="0" w:type="auto"/>
          </w:tcPr>
          <w:p w:rsidR="00A8186F" w:rsidRPr="005174B9" w:rsidRDefault="005174B9" w:rsidP="00BB2254">
            <w:pPr>
              <w:pStyle w:val="Tabletext"/>
              <w:rPr>
                <w:b/>
              </w:rPr>
            </w:pPr>
            <w:r w:rsidRPr="005174B9">
              <w:rPr>
                <w:b/>
              </w:rPr>
              <w:t>T</w:t>
            </w:r>
            <w:r>
              <w:rPr>
                <w:b/>
              </w:rPr>
              <w:t>hin</w:t>
            </w:r>
            <w:r w:rsidRPr="005174B9">
              <w:rPr>
                <w:b/>
              </w:rPr>
              <w:t>P</w:t>
            </w:r>
            <w:r>
              <w:rPr>
                <w:b/>
              </w:rPr>
              <w:t xml:space="preserve">rep </w:t>
            </w:r>
            <w:r w:rsidRPr="005174B9">
              <w:rPr>
                <w:b/>
              </w:rPr>
              <w:t>v</w:t>
            </w:r>
            <w:r>
              <w:rPr>
                <w:b/>
              </w:rPr>
              <w:t xml:space="preserve">s. </w:t>
            </w:r>
            <w:r w:rsidRPr="005174B9">
              <w:rPr>
                <w:b/>
              </w:rPr>
              <w:t>CC</w:t>
            </w:r>
          </w:p>
        </w:tc>
        <w:tc>
          <w:tcPr>
            <w:tcW w:w="0" w:type="auto"/>
          </w:tcPr>
          <w:p w:rsidR="00A8186F" w:rsidRPr="005174B9" w:rsidRDefault="005174B9" w:rsidP="00BB2254">
            <w:pPr>
              <w:pStyle w:val="Tabletext"/>
              <w:rPr>
                <w:b/>
              </w:rPr>
            </w:pPr>
            <w:r w:rsidRPr="005174B9">
              <w:rPr>
                <w:b/>
              </w:rPr>
              <w:t>T</w:t>
            </w:r>
            <w:r>
              <w:rPr>
                <w:b/>
              </w:rPr>
              <w:t>hin</w:t>
            </w:r>
            <w:r w:rsidRPr="005174B9">
              <w:rPr>
                <w:b/>
              </w:rPr>
              <w:t>P</w:t>
            </w:r>
            <w:r>
              <w:rPr>
                <w:b/>
              </w:rPr>
              <w:t xml:space="preserve">rep </w:t>
            </w:r>
            <w:r w:rsidRPr="005174B9">
              <w:rPr>
                <w:b/>
              </w:rPr>
              <w:t>v</w:t>
            </w:r>
            <w:r>
              <w:rPr>
                <w:b/>
              </w:rPr>
              <w:t xml:space="preserve">s. </w:t>
            </w:r>
            <w:r w:rsidRPr="005174B9">
              <w:rPr>
                <w:b/>
              </w:rPr>
              <w:t>CC</w:t>
            </w:r>
          </w:p>
        </w:tc>
        <w:tc>
          <w:tcPr>
            <w:tcW w:w="0" w:type="auto"/>
          </w:tcPr>
          <w:p w:rsidR="00A8186F" w:rsidRPr="005174B9" w:rsidRDefault="005174B9" w:rsidP="00BB2254">
            <w:pPr>
              <w:pStyle w:val="Tabletext"/>
              <w:rPr>
                <w:b/>
              </w:rPr>
            </w:pPr>
            <w:r w:rsidRPr="005174B9">
              <w:rPr>
                <w:b/>
              </w:rPr>
              <w:t>T</w:t>
            </w:r>
            <w:r>
              <w:rPr>
                <w:b/>
              </w:rPr>
              <w:t>hin</w:t>
            </w:r>
            <w:r w:rsidRPr="005174B9">
              <w:rPr>
                <w:b/>
              </w:rPr>
              <w:t>P</w:t>
            </w:r>
            <w:r>
              <w:rPr>
                <w:b/>
              </w:rPr>
              <w:t xml:space="preserve">rep </w:t>
            </w:r>
            <w:r w:rsidRPr="005174B9">
              <w:rPr>
                <w:b/>
              </w:rPr>
              <w:t>v</w:t>
            </w:r>
            <w:r>
              <w:rPr>
                <w:b/>
              </w:rPr>
              <w:t xml:space="preserve">s. </w:t>
            </w:r>
            <w:r w:rsidRPr="005174B9">
              <w:rPr>
                <w:b/>
              </w:rPr>
              <w:t>CC</w:t>
            </w:r>
          </w:p>
        </w:tc>
        <w:tc>
          <w:tcPr>
            <w:tcW w:w="0" w:type="auto"/>
          </w:tcPr>
          <w:p w:rsidR="00A8186F" w:rsidRPr="005174B9" w:rsidRDefault="005174B9" w:rsidP="00A8186F">
            <w:pPr>
              <w:pStyle w:val="Tabletext"/>
              <w:rPr>
                <w:b/>
              </w:rPr>
            </w:pPr>
            <w:r w:rsidRPr="005174B9">
              <w:rPr>
                <w:b/>
              </w:rPr>
              <w:t>T</w:t>
            </w:r>
            <w:r>
              <w:rPr>
                <w:b/>
              </w:rPr>
              <w:t>hin</w:t>
            </w:r>
            <w:r w:rsidRPr="005174B9">
              <w:rPr>
                <w:b/>
              </w:rPr>
              <w:t>P</w:t>
            </w:r>
            <w:r>
              <w:rPr>
                <w:b/>
              </w:rPr>
              <w:t xml:space="preserve">rep </w:t>
            </w:r>
            <w:r w:rsidRPr="005174B9">
              <w:rPr>
                <w:b/>
              </w:rPr>
              <w:t>v</w:t>
            </w:r>
            <w:r>
              <w:rPr>
                <w:b/>
              </w:rPr>
              <w:t xml:space="preserve">s. </w:t>
            </w:r>
            <w:r w:rsidRPr="005174B9">
              <w:rPr>
                <w:b/>
              </w:rPr>
              <w:t>CC</w:t>
            </w:r>
          </w:p>
        </w:tc>
        <w:tc>
          <w:tcPr>
            <w:tcW w:w="0" w:type="auto"/>
          </w:tcPr>
          <w:p w:rsidR="00A8186F" w:rsidRPr="005174B9" w:rsidRDefault="005174B9" w:rsidP="00BB2254">
            <w:pPr>
              <w:pStyle w:val="Tabletext"/>
              <w:rPr>
                <w:b/>
              </w:rPr>
            </w:pPr>
            <w:r w:rsidRPr="005174B9">
              <w:rPr>
                <w:b/>
              </w:rPr>
              <w:t>T</w:t>
            </w:r>
            <w:r>
              <w:rPr>
                <w:b/>
              </w:rPr>
              <w:t>hin</w:t>
            </w:r>
            <w:r w:rsidRPr="005174B9">
              <w:rPr>
                <w:b/>
              </w:rPr>
              <w:t>P</w:t>
            </w:r>
            <w:r>
              <w:rPr>
                <w:b/>
              </w:rPr>
              <w:t xml:space="preserve">rep </w:t>
            </w:r>
            <w:r w:rsidRPr="005174B9">
              <w:rPr>
                <w:b/>
              </w:rPr>
              <w:t>v</w:t>
            </w:r>
            <w:r>
              <w:rPr>
                <w:b/>
              </w:rPr>
              <w:t xml:space="preserve">s. </w:t>
            </w:r>
            <w:r w:rsidRPr="005174B9">
              <w:rPr>
                <w:b/>
              </w:rPr>
              <w:t>CC</w:t>
            </w:r>
          </w:p>
        </w:tc>
      </w:tr>
      <w:tr w:rsidR="00A8186F" w:rsidTr="005174B9">
        <w:tc>
          <w:tcPr>
            <w:tcW w:w="0" w:type="auto"/>
            <w:gridSpan w:val="9"/>
          </w:tcPr>
          <w:p w:rsidR="00A8186F" w:rsidRDefault="005174B9" w:rsidP="00BB2254">
            <w:pPr>
              <w:pStyle w:val="Tabletext"/>
            </w:pPr>
            <w:r>
              <w:rPr>
                <w:b/>
              </w:rPr>
              <w:t>Health o</w:t>
            </w:r>
            <w:r w:rsidR="00A8186F" w:rsidRPr="004D0A45">
              <w:rPr>
                <w:b/>
              </w:rPr>
              <w:t>utcomes</w:t>
            </w:r>
          </w:p>
        </w:tc>
      </w:tr>
      <w:tr w:rsidR="005174B9" w:rsidTr="005174B9">
        <w:tc>
          <w:tcPr>
            <w:tcW w:w="0" w:type="auto"/>
          </w:tcPr>
          <w:p w:rsidR="00A8186F" w:rsidRDefault="005174B9" w:rsidP="00BB2254">
            <w:pPr>
              <w:pStyle w:val="Tabletext"/>
            </w:pPr>
            <w:r>
              <w:t>Overall s</w:t>
            </w:r>
            <w:r w:rsidR="00A8186F">
              <w:t>urvival</w:t>
            </w:r>
          </w:p>
        </w:tc>
        <w:tc>
          <w:tcPr>
            <w:tcW w:w="0" w:type="auto"/>
          </w:tcPr>
          <w:p w:rsidR="00A8186F" w:rsidRDefault="00A8186F" w:rsidP="00BB2254">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A8186F">
            <w:pPr>
              <w:pStyle w:val="Tabletext"/>
            </w:pPr>
            <w:r>
              <w:t>-</w:t>
            </w:r>
          </w:p>
        </w:tc>
        <w:tc>
          <w:tcPr>
            <w:tcW w:w="0" w:type="auto"/>
          </w:tcPr>
          <w:p w:rsidR="00A8186F" w:rsidRDefault="00A8186F" w:rsidP="00082522">
            <w:pPr>
              <w:pStyle w:val="Tabletext"/>
            </w:pPr>
            <w:r>
              <w:t>-</w:t>
            </w:r>
          </w:p>
        </w:tc>
      </w:tr>
      <w:tr w:rsidR="005174B9" w:rsidTr="005174B9">
        <w:tc>
          <w:tcPr>
            <w:tcW w:w="0" w:type="auto"/>
          </w:tcPr>
          <w:p w:rsidR="00A8186F" w:rsidRDefault="00A8186F" w:rsidP="00BB2254">
            <w:pPr>
              <w:pStyle w:val="Tabletext"/>
            </w:pPr>
            <w:r>
              <w:t xml:space="preserve">Cervical </w:t>
            </w:r>
            <w:r w:rsidR="005174B9">
              <w:t>cancer incidence</w:t>
            </w:r>
          </w:p>
        </w:tc>
        <w:tc>
          <w:tcPr>
            <w:tcW w:w="0" w:type="auto"/>
          </w:tcPr>
          <w:p w:rsidR="00A8186F" w:rsidRDefault="00BF7528" w:rsidP="00BB2254">
            <w:pPr>
              <w:pStyle w:val="Tabletext"/>
            </w:pPr>
            <w:r>
              <w:sym w:font="Wingdings" w:char="F0FC"/>
            </w:r>
          </w:p>
        </w:tc>
        <w:tc>
          <w:tcPr>
            <w:tcW w:w="0" w:type="auto"/>
          </w:tcPr>
          <w:p w:rsidR="00A8186F" w:rsidRDefault="00A8186F" w:rsidP="00082522">
            <w:pPr>
              <w:pStyle w:val="Tabletext"/>
            </w:pPr>
            <w:r>
              <w:t>-</w:t>
            </w:r>
          </w:p>
        </w:tc>
        <w:tc>
          <w:tcPr>
            <w:tcW w:w="0" w:type="auto"/>
          </w:tcPr>
          <w:p w:rsidR="00A8186F" w:rsidRDefault="00BF7528" w:rsidP="00082522">
            <w:pPr>
              <w:pStyle w:val="Tabletext"/>
            </w:pPr>
            <w:r>
              <w:sym w:font="Wingdings" w:char="F0FC"/>
            </w:r>
          </w:p>
        </w:tc>
        <w:tc>
          <w:tcPr>
            <w:tcW w:w="0" w:type="auto"/>
          </w:tcPr>
          <w:p w:rsidR="00A8186F" w:rsidRDefault="00BF7528" w:rsidP="00082522">
            <w:pPr>
              <w:pStyle w:val="Tabletext"/>
            </w:pPr>
            <w:r>
              <w:sym w:font="Wingdings" w:char="F0FC"/>
            </w:r>
          </w:p>
        </w:tc>
        <w:tc>
          <w:tcPr>
            <w:tcW w:w="0" w:type="auto"/>
          </w:tcPr>
          <w:p w:rsidR="00A8186F" w:rsidRDefault="00BF7528" w:rsidP="00082522">
            <w:pPr>
              <w:pStyle w:val="Tabletext"/>
            </w:pPr>
            <w:r>
              <w:sym w:font="Wingdings" w:char="F0FC"/>
            </w:r>
          </w:p>
        </w:tc>
        <w:tc>
          <w:tcPr>
            <w:tcW w:w="0" w:type="auto"/>
          </w:tcPr>
          <w:p w:rsidR="00A8186F" w:rsidRDefault="00A42051" w:rsidP="00082522">
            <w:pPr>
              <w:pStyle w:val="Tabletext"/>
            </w:pPr>
            <w:r>
              <w:t>-</w:t>
            </w:r>
          </w:p>
        </w:tc>
        <w:tc>
          <w:tcPr>
            <w:tcW w:w="0" w:type="auto"/>
          </w:tcPr>
          <w:p w:rsidR="00A8186F" w:rsidRDefault="00BF7528" w:rsidP="00A8186F">
            <w:pPr>
              <w:pStyle w:val="Tabletext"/>
            </w:pPr>
            <w:r>
              <w:sym w:font="Wingdings" w:char="F0FC"/>
            </w:r>
          </w:p>
        </w:tc>
        <w:tc>
          <w:tcPr>
            <w:tcW w:w="0" w:type="auto"/>
          </w:tcPr>
          <w:p w:rsidR="00A8186F" w:rsidRDefault="00A8186F" w:rsidP="00082522">
            <w:pPr>
              <w:pStyle w:val="Tabletext"/>
            </w:pPr>
            <w:r>
              <w:t>-</w:t>
            </w:r>
          </w:p>
        </w:tc>
      </w:tr>
      <w:tr w:rsidR="005174B9" w:rsidTr="005174B9">
        <w:tc>
          <w:tcPr>
            <w:tcW w:w="0" w:type="auto"/>
          </w:tcPr>
          <w:p w:rsidR="00A8186F" w:rsidRDefault="00A8186F" w:rsidP="00BB2254">
            <w:pPr>
              <w:pStyle w:val="Tabletext"/>
            </w:pPr>
            <w:r>
              <w:t xml:space="preserve">Cervical </w:t>
            </w:r>
            <w:r w:rsidR="005174B9">
              <w:t>cancer incidence</w:t>
            </w:r>
          </w:p>
        </w:tc>
        <w:tc>
          <w:tcPr>
            <w:tcW w:w="0" w:type="auto"/>
          </w:tcPr>
          <w:p w:rsidR="00A8186F" w:rsidRDefault="00A8186F" w:rsidP="00BB2254">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A8186F">
            <w:pPr>
              <w:pStyle w:val="Tabletext"/>
            </w:pPr>
            <w:r>
              <w:t>-</w:t>
            </w:r>
          </w:p>
        </w:tc>
        <w:tc>
          <w:tcPr>
            <w:tcW w:w="0" w:type="auto"/>
          </w:tcPr>
          <w:p w:rsidR="00A8186F" w:rsidRDefault="00A8186F" w:rsidP="00082522">
            <w:pPr>
              <w:pStyle w:val="Tabletext"/>
            </w:pPr>
            <w:r>
              <w:t>-</w:t>
            </w:r>
          </w:p>
        </w:tc>
      </w:tr>
      <w:tr w:rsidR="00A8186F" w:rsidTr="005174B9">
        <w:tc>
          <w:tcPr>
            <w:tcW w:w="0" w:type="auto"/>
            <w:gridSpan w:val="9"/>
          </w:tcPr>
          <w:p w:rsidR="00A8186F" w:rsidRDefault="005174B9" w:rsidP="00BB2254">
            <w:pPr>
              <w:pStyle w:val="Tabletext"/>
            </w:pPr>
            <w:r>
              <w:rPr>
                <w:b/>
              </w:rPr>
              <w:t>Diagnostic o</w:t>
            </w:r>
            <w:r w:rsidR="00A8186F" w:rsidRPr="004D0A45">
              <w:rPr>
                <w:b/>
              </w:rPr>
              <w:t>utcomes</w:t>
            </w:r>
          </w:p>
        </w:tc>
      </w:tr>
      <w:tr w:rsidR="005174B9" w:rsidTr="005174B9">
        <w:tc>
          <w:tcPr>
            <w:tcW w:w="0" w:type="auto"/>
          </w:tcPr>
          <w:p w:rsidR="000E4C95" w:rsidRDefault="000E4C95" w:rsidP="00BB2254">
            <w:pPr>
              <w:pStyle w:val="Tabletext"/>
            </w:pPr>
            <w:r w:rsidRPr="00BB2254">
              <w:t>Unsatisfactory rates</w:t>
            </w:r>
          </w:p>
        </w:tc>
        <w:tc>
          <w:tcPr>
            <w:tcW w:w="0" w:type="auto"/>
          </w:tcPr>
          <w:p w:rsidR="000E4C95" w:rsidRDefault="000E4C95" w:rsidP="00BB2254">
            <w:pPr>
              <w:pStyle w:val="Tabletext"/>
            </w:pPr>
            <w:r>
              <w:sym w:font="Wingdings" w:char="F0FC"/>
            </w:r>
          </w:p>
        </w:tc>
        <w:tc>
          <w:tcPr>
            <w:tcW w:w="0" w:type="auto"/>
          </w:tcPr>
          <w:p w:rsidR="000E4C95" w:rsidRDefault="00FA5639" w:rsidP="00BB2254">
            <w:pPr>
              <w:pStyle w:val="Tabletext"/>
            </w:pPr>
            <w:r>
              <w:t>-</w:t>
            </w:r>
          </w:p>
        </w:tc>
        <w:tc>
          <w:tcPr>
            <w:tcW w:w="0" w:type="auto"/>
          </w:tcPr>
          <w:p w:rsidR="000E4C95" w:rsidRDefault="000E4C95" w:rsidP="00BB2254">
            <w:pPr>
              <w:pStyle w:val="Tabletext"/>
            </w:pPr>
            <w:r>
              <w:sym w:font="Wingdings" w:char="F0FC"/>
            </w:r>
          </w:p>
        </w:tc>
        <w:tc>
          <w:tcPr>
            <w:tcW w:w="0" w:type="auto"/>
          </w:tcPr>
          <w:p w:rsidR="000E4C95" w:rsidRDefault="000E4C95" w:rsidP="00BB2254">
            <w:pPr>
              <w:pStyle w:val="Tabletext"/>
            </w:pPr>
            <w:r>
              <w:sym w:font="Wingdings" w:char="F0FC"/>
            </w:r>
          </w:p>
        </w:tc>
        <w:tc>
          <w:tcPr>
            <w:tcW w:w="0" w:type="auto"/>
          </w:tcPr>
          <w:p w:rsidR="000E4C95" w:rsidRDefault="000E4C95" w:rsidP="00BB2254">
            <w:pPr>
              <w:pStyle w:val="Tabletext"/>
            </w:pPr>
            <w:r>
              <w:sym w:font="Wingdings" w:char="F0FC"/>
            </w:r>
          </w:p>
        </w:tc>
        <w:tc>
          <w:tcPr>
            <w:tcW w:w="0" w:type="auto"/>
          </w:tcPr>
          <w:p w:rsidR="000E4C95" w:rsidRDefault="000E4C95" w:rsidP="00BB2254">
            <w:pPr>
              <w:pStyle w:val="Tabletext"/>
            </w:pPr>
            <w:r>
              <w:sym w:font="Wingdings" w:char="F0FC"/>
            </w:r>
          </w:p>
        </w:tc>
        <w:tc>
          <w:tcPr>
            <w:tcW w:w="0" w:type="auto"/>
          </w:tcPr>
          <w:p w:rsidR="000E4C95" w:rsidRDefault="000E4C95" w:rsidP="00A8186F">
            <w:pPr>
              <w:pStyle w:val="Tabletext"/>
            </w:pPr>
            <w:r>
              <w:sym w:font="Wingdings" w:char="F0FC"/>
            </w:r>
          </w:p>
        </w:tc>
        <w:tc>
          <w:tcPr>
            <w:tcW w:w="0" w:type="auto"/>
          </w:tcPr>
          <w:p w:rsidR="000E4C95" w:rsidRDefault="00FA5639" w:rsidP="00BB2254">
            <w:pPr>
              <w:pStyle w:val="Tabletext"/>
            </w:pPr>
            <w:r>
              <w:t>-</w:t>
            </w:r>
          </w:p>
        </w:tc>
      </w:tr>
      <w:tr w:rsidR="005174B9" w:rsidTr="005174B9">
        <w:tc>
          <w:tcPr>
            <w:tcW w:w="0" w:type="auto"/>
          </w:tcPr>
          <w:p w:rsidR="00A8186F" w:rsidRDefault="005174B9" w:rsidP="000E4C95">
            <w:pPr>
              <w:pStyle w:val="Tabletext"/>
            </w:pPr>
            <w:r>
              <w:t>Test y</w:t>
            </w:r>
            <w:r w:rsidR="00A8186F">
              <w:t>ield</w:t>
            </w:r>
            <w:r w:rsidR="005F1C1E">
              <w:t xml:space="preserve"> </w:t>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A8186F">
            <w:pPr>
              <w:pStyle w:val="Tabletext"/>
            </w:pPr>
            <w:r>
              <w:sym w:font="Wingdings" w:char="F0FC"/>
            </w:r>
          </w:p>
        </w:tc>
        <w:tc>
          <w:tcPr>
            <w:tcW w:w="0" w:type="auto"/>
          </w:tcPr>
          <w:p w:rsidR="00A8186F" w:rsidRDefault="00BF7528" w:rsidP="00BB2254">
            <w:pPr>
              <w:pStyle w:val="Tabletext"/>
            </w:pPr>
            <w:r>
              <w:t>-</w:t>
            </w:r>
          </w:p>
        </w:tc>
      </w:tr>
      <w:tr w:rsidR="005174B9" w:rsidTr="005174B9">
        <w:tc>
          <w:tcPr>
            <w:tcW w:w="0" w:type="auto"/>
          </w:tcPr>
          <w:p w:rsidR="00A8186F" w:rsidRDefault="00A8186F" w:rsidP="00BB2254">
            <w:pPr>
              <w:pStyle w:val="Tabletext"/>
            </w:pPr>
            <w:r w:rsidRPr="00BB2254">
              <w:t xml:space="preserve">Proportion of </w:t>
            </w:r>
            <w:r>
              <w:t>CIN lesions</w:t>
            </w:r>
          </w:p>
        </w:tc>
        <w:tc>
          <w:tcPr>
            <w:tcW w:w="0" w:type="auto"/>
          </w:tcPr>
          <w:p w:rsidR="00A8186F" w:rsidRDefault="00BF7528" w:rsidP="00BB2254">
            <w:pPr>
              <w:pStyle w:val="Tabletext"/>
            </w:pPr>
            <w:r>
              <w:sym w:font="Wingdings" w:char="F0FC"/>
            </w:r>
          </w:p>
        </w:tc>
        <w:tc>
          <w:tcPr>
            <w:tcW w:w="0" w:type="auto"/>
          </w:tcPr>
          <w:p w:rsidR="00A8186F" w:rsidRDefault="00FA5639" w:rsidP="00BB2254">
            <w:pPr>
              <w:pStyle w:val="Tabletext"/>
            </w:pPr>
            <w:r>
              <w:t>-</w:t>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A8186F">
            <w:pPr>
              <w:pStyle w:val="Tabletext"/>
            </w:pPr>
            <w:r>
              <w:sym w:font="Wingdings" w:char="F0FC"/>
            </w:r>
          </w:p>
        </w:tc>
        <w:tc>
          <w:tcPr>
            <w:tcW w:w="0" w:type="auto"/>
          </w:tcPr>
          <w:p w:rsidR="00A8186F" w:rsidRDefault="00BF7528" w:rsidP="00BB2254">
            <w:pPr>
              <w:pStyle w:val="Tabletext"/>
            </w:pPr>
            <w:r>
              <w:t>-</w:t>
            </w:r>
          </w:p>
        </w:tc>
      </w:tr>
      <w:tr w:rsidR="005174B9" w:rsidTr="005174B9">
        <w:tc>
          <w:tcPr>
            <w:tcW w:w="0" w:type="auto"/>
          </w:tcPr>
          <w:p w:rsidR="00A8186F" w:rsidRDefault="005174B9" w:rsidP="00BB2254">
            <w:pPr>
              <w:pStyle w:val="Tabletext"/>
            </w:pPr>
            <w:r>
              <w:t>Sensitivity/s</w:t>
            </w:r>
            <w:r w:rsidR="00A8186F">
              <w:t>pecificity</w:t>
            </w:r>
          </w:p>
        </w:tc>
        <w:tc>
          <w:tcPr>
            <w:tcW w:w="0" w:type="auto"/>
          </w:tcPr>
          <w:p w:rsidR="00A8186F" w:rsidRDefault="00BF7528" w:rsidP="00BB2254">
            <w:pPr>
              <w:pStyle w:val="Tabletext"/>
            </w:pPr>
            <w:r>
              <w:sym w:font="Wingdings" w:char="F0FC"/>
            </w:r>
          </w:p>
        </w:tc>
        <w:tc>
          <w:tcPr>
            <w:tcW w:w="0" w:type="auto"/>
          </w:tcPr>
          <w:p w:rsidR="00A8186F" w:rsidRDefault="00FA5639" w:rsidP="00BB2254">
            <w:pPr>
              <w:pStyle w:val="Tabletext"/>
            </w:pPr>
            <w:r>
              <w:t>-</w:t>
            </w:r>
          </w:p>
        </w:tc>
        <w:tc>
          <w:tcPr>
            <w:tcW w:w="0" w:type="auto"/>
          </w:tcPr>
          <w:p w:rsidR="00A8186F" w:rsidRDefault="00BF7528" w:rsidP="00BB2254">
            <w:pPr>
              <w:pStyle w:val="Tabletext"/>
            </w:pPr>
            <w:r>
              <w:sym w:font="Wingdings" w:char="F0FC"/>
            </w:r>
          </w:p>
        </w:tc>
        <w:tc>
          <w:tcPr>
            <w:tcW w:w="0" w:type="auto"/>
          </w:tcPr>
          <w:p w:rsidR="00A8186F" w:rsidRDefault="00FA5639" w:rsidP="00BB2254">
            <w:pPr>
              <w:pStyle w:val="Tabletext"/>
            </w:pPr>
            <w:r>
              <w:t>-</w:t>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FA5639" w:rsidP="00A8186F">
            <w:pPr>
              <w:pStyle w:val="Tabletext"/>
            </w:pPr>
            <w:r>
              <w:t>-</w:t>
            </w:r>
          </w:p>
        </w:tc>
        <w:tc>
          <w:tcPr>
            <w:tcW w:w="0" w:type="auto"/>
          </w:tcPr>
          <w:p w:rsidR="00A8186F" w:rsidRDefault="00BF7528" w:rsidP="00BB2254">
            <w:pPr>
              <w:pStyle w:val="Tabletext"/>
            </w:pPr>
            <w:r>
              <w:sym w:font="Wingdings" w:char="F0FC"/>
            </w:r>
          </w:p>
        </w:tc>
      </w:tr>
      <w:tr w:rsidR="005174B9" w:rsidTr="005174B9">
        <w:tc>
          <w:tcPr>
            <w:tcW w:w="0" w:type="auto"/>
          </w:tcPr>
          <w:p w:rsidR="00A8186F" w:rsidRDefault="00A8186F" w:rsidP="00BB2254">
            <w:pPr>
              <w:pStyle w:val="Tabletext"/>
            </w:pPr>
            <w:r>
              <w:t xml:space="preserve">Positive and </w:t>
            </w:r>
            <w:r w:rsidR="005174B9">
              <w:t>negative predictive value</w:t>
            </w:r>
          </w:p>
        </w:tc>
        <w:tc>
          <w:tcPr>
            <w:tcW w:w="0" w:type="auto"/>
          </w:tcPr>
          <w:p w:rsidR="00A8186F" w:rsidRDefault="00BF7528" w:rsidP="00BB2254">
            <w:pPr>
              <w:pStyle w:val="Tabletext"/>
            </w:pPr>
            <w:r>
              <w:sym w:font="Wingdings" w:char="F0FC"/>
            </w:r>
          </w:p>
        </w:tc>
        <w:tc>
          <w:tcPr>
            <w:tcW w:w="0" w:type="auto"/>
          </w:tcPr>
          <w:p w:rsidR="00A8186F" w:rsidRDefault="00FA5639" w:rsidP="00BB2254">
            <w:pPr>
              <w:pStyle w:val="Tabletext"/>
            </w:pPr>
            <w:r>
              <w:t>-</w:t>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A8186F" w:rsidP="00BB2254">
            <w:pPr>
              <w:pStyle w:val="Tabletext"/>
            </w:pPr>
          </w:p>
        </w:tc>
        <w:tc>
          <w:tcPr>
            <w:tcW w:w="0" w:type="auto"/>
          </w:tcPr>
          <w:p w:rsidR="00A8186F" w:rsidRDefault="00BF7528" w:rsidP="00BB2254">
            <w:pPr>
              <w:pStyle w:val="Tabletext"/>
            </w:pPr>
            <w:r>
              <w:sym w:font="Wingdings" w:char="F0FC"/>
            </w:r>
          </w:p>
        </w:tc>
        <w:tc>
          <w:tcPr>
            <w:tcW w:w="0" w:type="auto"/>
          </w:tcPr>
          <w:p w:rsidR="00A8186F" w:rsidRDefault="00FA5639" w:rsidP="00A8186F">
            <w:pPr>
              <w:pStyle w:val="Tabletext"/>
            </w:pPr>
            <w:r>
              <w:t>-</w:t>
            </w:r>
          </w:p>
        </w:tc>
        <w:tc>
          <w:tcPr>
            <w:tcW w:w="0" w:type="auto"/>
          </w:tcPr>
          <w:p w:rsidR="00A8186F" w:rsidRDefault="00BF7528" w:rsidP="00BB2254">
            <w:pPr>
              <w:pStyle w:val="Tabletext"/>
            </w:pPr>
            <w:r>
              <w:sym w:font="Wingdings" w:char="F0FC"/>
            </w:r>
          </w:p>
        </w:tc>
      </w:tr>
      <w:tr w:rsidR="005174B9" w:rsidTr="005174B9">
        <w:tc>
          <w:tcPr>
            <w:tcW w:w="0" w:type="auto"/>
          </w:tcPr>
          <w:p w:rsidR="00A8186F" w:rsidRDefault="00A8186F" w:rsidP="00BB2254">
            <w:pPr>
              <w:pStyle w:val="Tabletext"/>
            </w:pPr>
            <w:r w:rsidRPr="00BB2254">
              <w:t>True pos</w:t>
            </w:r>
            <w:r>
              <w:t>i</w:t>
            </w:r>
            <w:r w:rsidRPr="00BB2254">
              <w:t>tive:</w:t>
            </w:r>
            <w:r w:rsidR="000E425A">
              <w:t xml:space="preserve"> </w:t>
            </w:r>
            <w:r w:rsidRPr="00BB2254">
              <w:t>false positive</w:t>
            </w:r>
            <w:r w:rsidR="005174B9">
              <w:t xml:space="preserve"> and incremental rate of t</w:t>
            </w:r>
            <w:r w:rsidR="00BF7528">
              <w:t>rue positive</w:t>
            </w:r>
          </w:p>
        </w:tc>
        <w:tc>
          <w:tcPr>
            <w:tcW w:w="0" w:type="auto"/>
          </w:tcPr>
          <w:p w:rsidR="00A8186F" w:rsidRDefault="00BF7528" w:rsidP="00BB2254">
            <w:pPr>
              <w:pStyle w:val="Tabletext"/>
            </w:pPr>
            <w:r>
              <w:sym w:font="Wingdings" w:char="F0FC"/>
            </w:r>
          </w:p>
        </w:tc>
        <w:tc>
          <w:tcPr>
            <w:tcW w:w="0" w:type="auto"/>
          </w:tcPr>
          <w:p w:rsidR="00A8186F" w:rsidRDefault="00FA5639" w:rsidP="00BB2254">
            <w:pPr>
              <w:pStyle w:val="Tabletext"/>
            </w:pPr>
            <w:r>
              <w:t>-</w:t>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F7528" w:rsidP="00BB2254">
            <w:pPr>
              <w:pStyle w:val="Tabletext"/>
            </w:pPr>
            <w:r>
              <w:sym w:font="Wingdings" w:char="F0FC"/>
            </w:r>
          </w:p>
        </w:tc>
        <w:tc>
          <w:tcPr>
            <w:tcW w:w="0" w:type="auto"/>
          </w:tcPr>
          <w:p w:rsidR="00A8186F" w:rsidRDefault="00B36143" w:rsidP="00A8186F">
            <w:pPr>
              <w:pStyle w:val="Tabletext"/>
            </w:pPr>
            <w:r>
              <w:t>-</w:t>
            </w:r>
          </w:p>
        </w:tc>
        <w:tc>
          <w:tcPr>
            <w:tcW w:w="0" w:type="auto"/>
          </w:tcPr>
          <w:p w:rsidR="00A8186F" w:rsidRDefault="00BF7528" w:rsidP="00BB2254">
            <w:pPr>
              <w:pStyle w:val="Tabletext"/>
            </w:pPr>
            <w:r>
              <w:t>-</w:t>
            </w:r>
          </w:p>
        </w:tc>
      </w:tr>
      <w:tr w:rsidR="00A8186F" w:rsidTr="005174B9">
        <w:tc>
          <w:tcPr>
            <w:tcW w:w="0" w:type="auto"/>
            <w:gridSpan w:val="9"/>
          </w:tcPr>
          <w:p w:rsidR="00A8186F" w:rsidRDefault="00A8186F" w:rsidP="00BB2254">
            <w:pPr>
              <w:pStyle w:val="Tabletext"/>
            </w:pPr>
            <w:r w:rsidRPr="004D0A45">
              <w:rPr>
                <w:b/>
              </w:rPr>
              <w:t>Change in management</w:t>
            </w:r>
          </w:p>
        </w:tc>
      </w:tr>
      <w:tr w:rsidR="005174B9" w:rsidTr="005174B9">
        <w:tc>
          <w:tcPr>
            <w:tcW w:w="0" w:type="auto"/>
          </w:tcPr>
          <w:p w:rsidR="00A8186F" w:rsidRPr="00BB2254" w:rsidRDefault="00A8186F" w:rsidP="00BB2254">
            <w:pPr>
              <w:pStyle w:val="Tabletext"/>
            </w:pPr>
            <w:r>
              <w:t>Impact on change in management</w:t>
            </w:r>
          </w:p>
        </w:tc>
        <w:tc>
          <w:tcPr>
            <w:tcW w:w="0" w:type="auto"/>
          </w:tcPr>
          <w:p w:rsidR="00A8186F" w:rsidRDefault="00BF7528" w:rsidP="00BB2254">
            <w:pPr>
              <w:pStyle w:val="Tabletext"/>
            </w:pPr>
            <w:r>
              <w:t>-</w:t>
            </w:r>
          </w:p>
        </w:tc>
        <w:tc>
          <w:tcPr>
            <w:tcW w:w="0" w:type="auto"/>
          </w:tcPr>
          <w:p w:rsidR="00A8186F" w:rsidRDefault="00BF7528" w:rsidP="00BB2254">
            <w:pPr>
              <w:pStyle w:val="Tabletext"/>
            </w:pPr>
            <w:r>
              <w:t>-</w:t>
            </w:r>
          </w:p>
        </w:tc>
        <w:tc>
          <w:tcPr>
            <w:tcW w:w="0" w:type="auto"/>
          </w:tcPr>
          <w:p w:rsidR="00A8186F" w:rsidRDefault="00BF7528" w:rsidP="00BB2254">
            <w:pPr>
              <w:pStyle w:val="Tabletext"/>
            </w:pPr>
            <w:r>
              <w:sym w:font="Wingdings" w:char="F0FC"/>
            </w:r>
          </w:p>
        </w:tc>
        <w:tc>
          <w:tcPr>
            <w:tcW w:w="0" w:type="auto"/>
          </w:tcPr>
          <w:p w:rsidR="00A8186F" w:rsidRDefault="00054963" w:rsidP="00BB2254">
            <w:pPr>
              <w:pStyle w:val="Tabletext"/>
            </w:pPr>
            <w:r>
              <w:sym w:font="Wingdings" w:char="F0FC"/>
            </w:r>
          </w:p>
        </w:tc>
        <w:tc>
          <w:tcPr>
            <w:tcW w:w="0" w:type="auto"/>
          </w:tcPr>
          <w:p w:rsidR="00A8186F" w:rsidRDefault="00054963" w:rsidP="00BB2254">
            <w:pPr>
              <w:pStyle w:val="Tabletext"/>
            </w:pPr>
            <w:r>
              <w:sym w:font="Wingdings" w:char="F0FC"/>
            </w:r>
          </w:p>
        </w:tc>
        <w:tc>
          <w:tcPr>
            <w:tcW w:w="0" w:type="auto"/>
          </w:tcPr>
          <w:p w:rsidR="00A8186F" w:rsidRDefault="00054963" w:rsidP="00BB2254">
            <w:pPr>
              <w:pStyle w:val="Tabletext"/>
            </w:pPr>
            <w:r>
              <w:sym w:font="Wingdings" w:char="F0FC"/>
            </w:r>
          </w:p>
        </w:tc>
        <w:tc>
          <w:tcPr>
            <w:tcW w:w="0" w:type="auto"/>
          </w:tcPr>
          <w:p w:rsidR="00A8186F" w:rsidRDefault="00BF7528" w:rsidP="00BB2254">
            <w:pPr>
              <w:pStyle w:val="Tabletext"/>
            </w:pPr>
            <w:r>
              <w:t>-</w:t>
            </w:r>
          </w:p>
        </w:tc>
        <w:tc>
          <w:tcPr>
            <w:tcW w:w="0" w:type="auto"/>
          </w:tcPr>
          <w:p w:rsidR="00A8186F" w:rsidRDefault="00BF7528" w:rsidP="00BB2254">
            <w:pPr>
              <w:pStyle w:val="Tabletext"/>
            </w:pPr>
            <w:r>
              <w:t>-</w:t>
            </w:r>
          </w:p>
        </w:tc>
      </w:tr>
      <w:tr w:rsidR="00A8186F" w:rsidTr="005174B9">
        <w:tc>
          <w:tcPr>
            <w:tcW w:w="0" w:type="auto"/>
            <w:gridSpan w:val="9"/>
          </w:tcPr>
          <w:p w:rsidR="00A8186F" w:rsidRDefault="005174B9" w:rsidP="00BB2254">
            <w:pPr>
              <w:pStyle w:val="Tabletext"/>
            </w:pPr>
            <w:r>
              <w:rPr>
                <w:b/>
              </w:rPr>
              <w:t>Patient o</w:t>
            </w:r>
            <w:r w:rsidR="00A8186F" w:rsidRPr="004D0A45">
              <w:rPr>
                <w:b/>
              </w:rPr>
              <w:t>utcomes</w:t>
            </w:r>
          </w:p>
        </w:tc>
      </w:tr>
      <w:tr w:rsidR="005174B9" w:rsidTr="005174B9">
        <w:tc>
          <w:tcPr>
            <w:tcW w:w="0" w:type="auto"/>
          </w:tcPr>
          <w:p w:rsidR="00A8186F" w:rsidRPr="00BB2254" w:rsidRDefault="00A8186F" w:rsidP="00BB2254">
            <w:pPr>
              <w:pStyle w:val="Tabletext"/>
            </w:pPr>
            <w:r>
              <w:t>Quality of life</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A8186F">
            <w:pPr>
              <w:pStyle w:val="Tabletext"/>
            </w:pPr>
            <w:r>
              <w:t>-</w:t>
            </w:r>
          </w:p>
        </w:tc>
        <w:tc>
          <w:tcPr>
            <w:tcW w:w="0" w:type="auto"/>
          </w:tcPr>
          <w:p w:rsidR="00A8186F" w:rsidRDefault="00A8186F" w:rsidP="00082522">
            <w:pPr>
              <w:pStyle w:val="Tabletext"/>
            </w:pPr>
            <w:r>
              <w:t>-</w:t>
            </w:r>
          </w:p>
        </w:tc>
      </w:tr>
      <w:tr w:rsidR="005174B9" w:rsidTr="005174B9">
        <w:tc>
          <w:tcPr>
            <w:tcW w:w="0" w:type="auto"/>
          </w:tcPr>
          <w:p w:rsidR="00A8186F" w:rsidRDefault="005174B9" w:rsidP="00BB2254">
            <w:pPr>
              <w:pStyle w:val="Tabletext"/>
            </w:pPr>
            <w:r>
              <w:t>P</w:t>
            </w:r>
            <w:r w:rsidR="00A8186F">
              <w:t>atient preference</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A8186F">
            <w:pPr>
              <w:pStyle w:val="Tabletext"/>
            </w:pPr>
            <w:r>
              <w:t>-</w:t>
            </w:r>
          </w:p>
        </w:tc>
        <w:tc>
          <w:tcPr>
            <w:tcW w:w="0" w:type="auto"/>
          </w:tcPr>
          <w:p w:rsidR="00A8186F" w:rsidRDefault="00A8186F" w:rsidP="00082522">
            <w:pPr>
              <w:pStyle w:val="Tabletext"/>
            </w:pPr>
            <w:r>
              <w:t>-</w:t>
            </w:r>
          </w:p>
        </w:tc>
      </w:tr>
      <w:tr w:rsidR="005174B9" w:rsidTr="005174B9">
        <w:tc>
          <w:tcPr>
            <w:tcW w:w="0" w:type="auto"/>
          </w:tcPr>
          <w:p w:rsidR="00A8186F" w:rsidRDefault="005174B9" w:rsidP="00BB2254">
            <w:pPr>
              <w:pStyle w:val="Tabletext"/>
            </w:pPr>
            <w:r>
              <w:t>S</w:t>
            </w:r>
            <w:r w:rsidR="00A8186F">
              <w:t>atisfaction, anxiety</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A8186F">
            <w:pPr>
              <w:pStyle w:val="Tabletext"/>
            </w:pPr>
            <w:r>
              <w:t>-</w:t>
            </w:r>
          </w:p>
        </w:tc>
        <w:tc>
          <w:tcPr>
            <w:tcW w:w="0" w:type="auto"/>
          </w:tcPr>
          <w:p w:rsidR="00A8186F" w:rsidRDefault="00A8186F" w:rsidP="00082522">
            <w:pPr>
              <w:pStyle w:val="Tabletext"/>
            </w:pPr>
            <w:r>
              <w:t>-</w:t>
            </w:r>
          </w:p>
        </w:tc>
      </w:tr>
      <w:tr w:rsidR="005174B9" w:rsidTr="005174B9">
        <w:tc>
          <w:tcPr>
            <w:tcW w:w="0" w:type="auto"/>
          </w:tcPr>
          <w:p w:rsidR="00A8186F" w:rsidRDefault="005174B9" w:rsidP="005174B9">
            <w:pPr>
              <w:pStyle w:val="Tabletext"/>
            </w:pPr>
            <w:r>
              <w:t>P</w:t>
            </w:r>
            <w:r w:rsidR="00A8186F">
              <w:t>atien</w:t>
            </w:r>
            <w:r>
              <w:t>t</w:t>
            </w:r>
            <w:r w:rsidR="00A8186F">
              <w:t xml:space="preserve"> compliance</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c>
          <w:tcPr>
            <w:tcW w:w="0" w:type="auto"/>
          </w:tcPr>
          <w:p w:rsidR="00A8186F" w:rsidRDefault="00A8186F" w:rsidP="00082522">
            <w:pPr>
              <w:pStyle w:val="Tabletext"/>
            </w:pPr>
            <w:r>
              <w:t>-</w:t>
            </w:r>
          </w:p>
        </w:tc>
      </w:tr>
      <w:tr w:rsidR="005174B9" w:rsidTr="005174B9">
        <w:tc>
          <w:tcPr>
            <w:tcW w:w="0" w:type="auto"/>
          </w:tcPr>
          <w:p w:rsidR="00A8186F" w:rsidRPr="00BB2254" w:rsidRDefault="005174B9" w:rsidP="00BB2254">
            <w:pPr>
              <w:pStyle w:val="Tabletext"/>
            </w:pPr>
            <w:r>
              <w:t>S</w:t>
            </w:r>
            <w:r w:rsidR="00A8186F">
              <w:t>afety, adverse events</w:t>
            </w:r>
          </w:p>
        </w:tc>
        <w:tc>
          <w:tcPr>
            <w:tcW w:w="0" w:type="auto"/>
          </w:tcPr>
          <w:p w:rsidR="00A8186F" w:rsidRDefault="00A8186F" w:rsidP="00A8186F">
            <w:pPr>
              <w:pStyle w:val="Tabletext"/>
            </w:pPr>
            <w:r>
              <w:t>-</w:t>
            </w:r>
          </w:p>
        </w:tc>
        <w:tc>
          <w:tcPr>
            <w:tcW w:w="0" w:type="auto"/>
          </w:tcPr>
          <w:p w:rsidR="00A8186F" w:rsidRDefault="00A8186F" w:rsidP="00A8186F">
            <w:pPr>
              <w:pStyle w:val="Tabletext"/>
            </w:pPr>
            <w:r>
              <w:t>-</w:t>
            </w:r>
          </w:p>
        </w:tc>
        <w:tc>
          <w:tcPr>
            <w:tcW w:w="0" w:type="auto"/>
          </w:tcPr>
          <w:p w:rsidR="00A8186F" w:rsidRDefault="00A8186F" w:rsidP="00A8186F">
            <w:pPr>
              <w:pStyle w:val="Tabletext"/>
            </w:pPr>
            <w:r>
              <w:t>-</w:t>
            </w:r>
          </w:p>
        </w:tc>
        <w:tc>
          <w:tcPr>
            <w:tcW w:w="0" w:type="auto"/>
          </w:tcPr>
          <w:p w:rsidR="00A8186F" w:rsidRDefault="00A8186F" w:rsidP="00A8186F">
            <w:pPr>
              <w:pStyle w:val="Tabletext"/>
            </w:pPr>
            <w:r>
              <w:t>-</w:t>
            </w:r>
          </w:p>
        </w:tc>
        <w:tc>
          <w:tcPr>
            <w:tcW w:w="0" w:type="auto"/>
          </w:tcPr>
          <w:p w:rsidR="00A8186F" w:rsidRDefault="00A8186F" w:rsidP="00A8186F">
            <w:pPr>
              <w:pStyle w:val="Tabletext"/>
            </w:pPr>
            <w:r>
              <w:t>-</w:t>
            </w:r>
          </w:p>
        </w:tc>
        <w:tc>
          <w:tcPr>
            <w:tcW w:w="0" w:type="auto"/>
          </w:tcPr>
          <w:p w:rsidR="00A8186F" w:rsidRDefault="00A8186F" w:rsidP="00A8186F">
            <w:pPr>
              <w:pStyle w:val="Tabletext"/>
            </w:pPr>
            <w:r>
              <w:t>-</w:t>
            </w:r>
          </w:p>
        </w:tc>
        <w:tc>
          <w:tcPr>
            <w:tcW w:w="0" w:type="auto"/>
          </w:tcPr>
          <w:p w:rsidR="00A8186F" w:rsidRDefault="00A8186F" w:rsidP="00A8186F">
            <w:pPr>
              <w:pStyle w:val="Tabletext"/>
            </w:pPr>
            <w:r>
              <w:t>-</w:t>
            </w:r>
          </w:p>
        </w:tc>
        <w:tc>
          <w:tcPr>
            <w:tcW w:w="0" w:type="auto"/>
          </w:tcPr>
          <w:p w:rsidR="00A8186F" w:rsidRDefault="00A8186F" w:rsidP="00A8186F">
            <w:pPr>
              <w:pStyle w:val="Tabletext"/>
            </w:pPr>
            <w:r>
              <w:t>-</w:t>
            </w:r>
          </w:p>
        </w:tc>
      </w:tr>
    </w:tbl>
    <w:p w:rsidR="00BB2254" w:rsidRDefault="00BB2254" w:rsidP="005174B9">
      <w:pPr>
        <w:pStyle w:val="Tablenotes"/>
      </w:pPr>
      <w:r>
        <w:t xml:space="preserve">Abbreviations: </w:t>
      </w:r>
      <w:r w:rsidR="00146B66">
        <w:t xml:space="preserve">CC, conventional cytology; </w:t>
      </w:r>
      <w:r>
        <w:t xml:space="preserve">CIN, </w:t>
      </w:r>
      <w:r w:rsidRPr="00BB2254">
        <w:t>cerv</w:t>
      </w:r>
      <w:r>
        <w:t>ical intraepithelial neoplasia</w:t>
      </w:r>
      <w:r w:rsidR="005174B9">
        <w:t>; LBC, liquid-based cytology</w:t>
      </w:r>
    </w:p>
    <w:p w:rsidR="00BB2254" w:rsidRPr="00BB2254" w:rsidRDefault="00BB2254" w:rsidP="00BB2254">
      <w:pPr>
        <w:sectPr w:rsidR="00BB2254" w:rsidRPr="00BB2254" w:rsidSect="008846BA">
          <w:pgSz w:w="16839" w:h="11907" w:orient="landscape" w:code="9"/>
          <w:pgMar w:top="1701" w:right="1701" w:bottom="1418" w:left="1418" w:header="720" w:footer="720" w:gutter="0"/>
          <w:paperSrc w:first="4035" w:other="4035"/>
          <w:cols w:space="720"/>
          <w:noEndnote/>
          <w:docGrid w:linePitch="299"/>
        </w:sectPr>
      </w:pPr>
    </w:p>
    <w:p w:rsidR="00EB3738" w:rsidRPr="00041974" w:rsidRDefault="003F1BA4" w:rsidP="00041974">
      <w:pPr>
        <w:pStyle w:val="Heading30"/>
      </w:pPr>
      <w:bookmarkStart w:id="274" w:name="_Toc337546897"/>
      <w:r>
        <w:lastRenderedPageBreak/>
        <w:t>B.6.2</w:t>
      </w:r>
      <w:r>
        <w:tab/>
      </w:r>
      <w:r w:rsidR="005174B9" w:rsidRPr="00041974">
        <w:t>Health o</w:t>
      </w:r>
      <w:r w:rsidR="00EB3738" w:rsidRPr="00041974">
        <w:t>utcomes</w:t>
      </w:r>
      <w:bookmarkEnd w:id="274"/>
    </w:p>
    <w:p w:rsidR="00EB3738" w:rsidRDefault="00EB3738" w:rsidP="00136D50">
      <w:pPr>
        <w:pStyle w:val="Heading40"/>
      </w:pPr>
      <w:r>
        <w:t>Overall survival</w:t>
      </w:r>
    </w:p>
    <w:p w:rsidR="000C1751" w:rsidRPr="000C1751" w:rsidRDefault="000C1751" w:rsidP="000C1751">
      <w:r>
        <w:t>No data available</w:t>
      </w:r>
      <w:r w:rsidR="005174B9">
        <w:t>.</w:t>
      </w:r>
    </w:p>
    <w:p w:rsidR="00EB3738" w:rsidRPr="00041974" w:rsidRDefault="005174B9" w:rsidP="00041974">
      <w:pPr>
        <w:pStyle w:val="Heading40"/>
      </w:pPr>
      <w:r w:rsidRPr="00041974">
        <w:t xml:space="preserve">Incidence of cervical cancer </w:t>
      </w:r>
      <w:r w:rsidR="00EB3738" w:rsidRPr="00041974">
        <w:t>(including glandular abnormalities, CIN 3+ and adenocarcinoma in situ)</w:t>
      </w:r>
    </w:p>
    <w:p w:rsidR="00CC4523" w:rsidRPr="00CC4523" w:rsidRDefault="00CC4523" w:rsidP="00CC4523">
      <w:r>
        <w:t>Where available</w:t>
      </w:r>
      <w:r w:rsidR="005174B9">
        <w:t>,</w:t>
      </w:r>
      <w:r>
        <w:t xml:space="preserve"> the incidence of cervical cancer reported fr</w:t>
      </w:r>
      <w:r w:rsidR="000E425A">
        <w:t>om each trial is presented</w:t>
      </w:r>
      <w:r>
        <w:t xml:space="preserve">. </w:t>
      </w:r>
    </w:p>
    <w:p w:rsidR="005B52BB" w:rsidRPr="00041974" w:rsidRDefault="005B52BB" w:rsidP="00041974">
      <w:pPr>
        <w:pStyle w:val="Heading50"/>
      </w:pPr>
      <w:r w:rsidRPr="00041974">
        <w:t xml:space="preserve">Cell enrichment LBC </w:t>
      </w:r>
      <w:r w:rsidR="003954A4" w:rsidRPr="00041974">
        <w:t>vs.</w:t>
      </w:r>
      <w:r w:rsidRPr="00041974">
        <w:t xml:space="preserve"> </w:t>
      </w:r>
      <w:r w:rsidR="005174B9" w:rsidRPr="00041974">
        <w:t>CC</w:t>
      </w:r>
    </w:p>
    <w:p w:rsidR="00EA0551" w:rsidRDefault="005174B9" w:rsidP="00EA0551">
      <w:pPr>
        <w:rPr>
          <w:rFonts w:ascii="Arial Narrow" w:hAnsi="Arial Narrow"/>
          <w:sz w:val="16"/>
          <w:szCs w:val="22"/>
        </w:rPr>
      </w:pPr>
      <w:r>
        <w:t>Beerman 2009</w:t>
      </w:r>
      <w:r w:rsidR="00EC431A">
        <w:t xml:space="preserve"> reported the proportion</w:t>
      </w:r>
      <w:r>
        <w:t xml:space="preserve"> of patients with cytologically-</w:t>
      </w:r>
      <w:r w:rsidR="00EC431A">
        <w:t xml:space="preserve">detected </w:t>
      </w:r>
      <w:r>
        <w:t>squamous cell carcinoma (</w:t>
      </w:r>
      <w:r w:rsidR="002139B8">
        <w:t>SCC</w:t>
      </w:r>
      <w:r>
        <w:t>)</w:t>
      </w:r>
      <w:r w:rsidR="00EC431A">
        <w:t>. There were f</w:t>
      </w:r>
      <w:r>
        <w:t xml:space="preserve">our patients in the </w:t>
      </w:r>
      <w:r w:rsidR="00C979F8">
        <w:t>conventional cytology (</w:t>
      </w:r>
      <w:r>
        <w:t>CC</w:t>
      </w:r>
      <w:r w:rsidR="00C979F8">
        <w:t>)</w:t>
      </w:r>
      <w:r w:rsidR="00EC431A">
        <w:t xml:space="preserve"> arm </w:t>
      </w:r>
      <w:r w:rsidR="002139B8">
        <w:t>with reported SCC</w:t>
      </w:r>
      <w:r>
        <w:t>;</w:t>
      </w:r>
      <w:r w:rsidR="002139B8">
        <w:t xml:space="preserve"> </w:t>
      </w:r>
      <w:r w:rsidR="00EC431A">
        <w:t>however</w:t>
      </w:r>
      <w:r>
        <w:t>,</w:t>
      </w:r>
      <w:r w:rsidR="00EC431A">
        <w:t xml:space="preserve"> only three resulted in a histological finding of CIN</w:t>
      </w:r>
      <w:r>
        <w:t xml:space="preserve"> </w:t>
      </w:r>
      <w:r w:rsidR="00EC431A">
        <w:t>1+</w:t>
      </w:r>
      <w:r w:rsidR="002139B8">
        <w:t xml:space="preserve">, with </w:t>
      </w:r>
      <w:r w:rsidR="0045028B">
        <w:t>one either determined to be normal or had no histology available</w:t>
      </w:r>
      <w:r w:rsidR="00EC431A">
        <w:t>. There were two patie</w:t>
      </w:r>
      <w:r>
        <w:t xml:space="preserve">nts in the </w:t>
      </w:r>
      <w:r w:rsidR="00C979F8">
        <w:t>liquid-based cytology (</w:t>
      </w:r>
      <w:r>
        <w:t>LBC</w:t>
      </w:r>
      <w:r w:rsidR="00C979F8">
        <w:t>)</w:t>
      </w:r>
      <w:r>
        <w:t xml:space="preserve"> arm both of whom</w:t>
      </w:r>
      <w:r w:rsidR="00EC431A">
        <w:t xml:space="preserve"> resulted in a histological finding of CIN</w:t>
      </w:r>
      <w:r>
        <w:t xml:space="preserve"> </w:t>
      </w:r>
      <w:r w:rsidR="00EC431A">
        <w:t>1+.</w:t>
      </w:r>
      <w:r w:rsidR="00EA0551" w:rsidRPr="00EA0551">
        <w:t xml:space="preserve"> </w:t>
      </w:r>
      <w:r w:rsidR="00EA0551">
        <w:t xml:space="preserve">Although there was a minor difference in the occurrence rate of </w:t>
      </w:r>
      <w:r>
        <w:t>SCC</w:t>
      </w:r>
      <w:r w:rsidR="00EF1D97">
        <w:t>s</w:t>
      </w:r>
      <w:r w:rsidR="00EA0551">
        <w:t xml:space="preserve"> be</w:t>
      </w:r>
      <w:r>
        <w:t xml:space="preserve">tween the </w:t>
      </w:r>
      <w:r w:rsidR="00EA0551">
        <w:t xml:space="preserve">study groups, this was </w:t>
      </w:r>
      <w:r>
        <w:t>not statistically significant (P</w:t>
      </w:r>
      <w:r w:rsidR="00EA0551">
        <w:t>=0.2068).</w:t>
      </w:r>
    </w:p>
    <w:p w:rsidR="005B52BB" w:rsidRPr="002561B1" w:rsidRDefault="005B52BB" w:rsidP="005B52BB">
      <w:pPr>
        <w:pStyle w:val="Heading50"/>
      </w:pPr>
      <w:r>
        <w:t xml:space="preserve">Cell filtration LBC </w:t>
      </w:r>
      <w:r w:rsidR="003954A4">
        <w:t>vs.</w:t>
      </w:r>
      <w:r>
        <w:t xml:space="preserve"> </w:t>
      </w:r>
      <w:r w:rsidR="005174B9">
        <w:t>CC</w:t>
      </w:r>
    </w:p>
    <w:p w:rsidR="008C42CB" w:rsidRDefault="008C42CB" w:rsidP="008C42CB">
      <w:pPr>
        <w:rPr>
          <w:rFonts w:ascii="Arial Narrow" w:hAnsi="Arial Narrow"/>
          <w:sz w:val="16"/>
          <w:szCs w:val="22"/>
        </w:rPr>
      </w:pPr>
      <w:r>
        <w:t>T</w:t>
      </w:r>
      <w:r w:rsidRPr="002A5E3A">
        <w:t xml:space="preserve">he percentages of ASCUS, LSIL, and HSIL cytology samples showing </w:t>
      </w:r>
      <w:r>
        <w:t>CIN</w:t>
      </w:r>
      <w:r w:rsidR="005174B9">
        <w:t xml:space="preserve"> </w:t>
      </w:r>
      <w:r>
        <w:t>3</w:t>
      </w:r>
      <w:r w:rsidR="00EF1D97">
        <w:t>+</w:t>
      </w:r>
      <w:r>
        <w:t xml:space="preserve"> </w:t>
      </w:r>
      <w:r w:rsidRPr="002A5E3A">
        <w:t>histology</w:t>
      </w:r>
      <w:r w:rsidR="005174B9">
        <w:t xml:space="preserve"> wa</w:t>
      </w:r>
      <w:r>
        <w:t>s</w:t>
      </w:r>
      <w:r w:rsidR="004D3462">
        <w:t xml:space="preserve"> very similar between</w:t>
      </w:r>
      <w:r w:rsidR="00EF1D97">
        <w:t xml:space="preserve"> cell filtration LBC </w:t>
      </w:r>
      <w:r>
        <w:t>compa</w:t>
      </w:r>
      <w:r w:rsidR="005174B9">
        <w:t>red with CC</w:t>
      </w:r>
      <w:r w:rsidR="00EF1D97">
        <w:t xml:space="preserve"> in the NTCC trial</w:t>
      </w:r>
      <w:r>
        <w:t xml:space="preserve">. </w:t>
      </w:r>
      <w:r w:rsidR="00EF1D97">
        <w:t>The proportion of patients with CIN</w:t>
      </w:r>
      <w:r w:rsidR="005174B9">
        <w:t xml:space="preserve"> 3+ detected in the 25 to </w:t>
      </w:r>
      <w:r w:rsidR="00EF1D97">
        <w:t>34</w:t>
      </w:r>
      <w:r w:rsidR="005174B9">
        <w:t xml:space="preserve"> years</w:t>
      </w:r>
      <w:r w:rsidR="00EF1D97">
        <w:t xml:space="preserve"> </w:t>
      </w:r>
      <w:r w:rsidR="005174B9">
        <w:t>age cohort wa</w:t>
      </w:r>
      <w:r w:rsidR="00EF1D97">
        <w:t>s 14/6002 (0.23%) and 22/5808 (0.38%) for cell filtrati</w:t>
      </w:r>
      <w:r w:rsidR="007E6583">
        <w:t xml:space="preserve">on LBC and CC, respectively. For the 35 to </w:t>
      </w:r>
      <w:r w:rsidR="00EF1D97">
        <w:t>60</w:t>
      </w:r>
      <w:r w:rsidR="007E6583">
        <w:t xml:space="preserve"> years</w:t>
      </w:r>
      <w:r w:rsidR="00EF1D97">
        <w:t xml:space="preserve"> cohort</w:t>
      </w:r>
      <w:r w:rsidR="007E6583">
        <w:t>,</w:t>
      </w:r>
      <w:r w:rsidR="00EF1D97">
        <w:t xml:space="preserve"> the pr</w:t>
      </w:r>
      <w:r w:rsidR="007E6583">
        <w:t>oportions we</w:t>
      </w:r>
      <w:r w:rsidR="00EF1D97">
        <w:t xml:space="preserve">re 31/16706 (0.19%) and 31/16658 (0.19%), respectively. </w:t>
      </w:r>
    </w:p>
    <w:p w:rsidR="00EC431A" w:rsidRDefault="00EC431A" w:rsidP="00EC431A">
      <w:r>
        <w:t xml:space="preserve">In the NETHCON trial </w:t>
      </w:r>
      <w:r w:rsidR="004D3462">
        <w:t>t</w:t>
      </w:r>
      <w:r w:rsidR="004D3462" w:rsidRPr="002A5E3A">
        <w:t xml:space="preserve">he percentages of ASCUS, LSIL, and HSIL cytology samples showing </w:t>
      </w:r>
      <w:r w:rsidR="004D3462">
        <w:t>CIN</w:t>
      </w:r>
      <w:r w:rsidR="000E425A">
        <w:t> </w:t>
      </w:r>
      <w:r w:rsidR="004D3462">
        <w:t xml:space="preserve">3+ </w:t>
      </w:r>
      <w:r w:rsidR="004D3462" w:rsidRPr="002A5E3A">
        <w:t>histology</w:t>
      </w:r>
      <w:r w:rsidR="007E6583">
        <w:t xml:space="preserve"> wa</w:t>
      </w:r>
      <w:r w:rsidR="004D3462">
        <w:t>s very similar between cell filtration LBC compare</w:t>
      </w:r>
      <w:r w:rsidR="007E6583">
        <w:t>d with CC</w:t>
      </w:r>
      <w:r w:rsidR="004D3462">
        <w:t xml:space="preserve">, 236/39010 (0.6%) and 183/46066 (0.4%), respectively. </w:t>
      </w:r>
      <w:r w:rsidR="008C42CB">
        <w:t>Overall</w:t>
      </w:r>
      <w:r w:rsidR="007E6583">
        <w:t>,</w:t>
      </w:r>
      <w:r w:rsidR="008C42CB">
        <w:t xml:space="preserve"> any difference in the percentage of </w:t>
      </w:r>
      <w:r w:rsidR="008C42CB" w:rsidRPr="00E22701">
        <w:t xml:space="preserve">cytology samples showing </w:t>
      </w:r>
      <w:r w:rsidR="008C42CB">
        <w:t>CIN 3+</w:t>
      </w:r>
      <w:r w:rsidR="008C42CB" w:rsidRPr="00E22701">
        <w:t xml:space="preserve"> histology </w:t>
      </w:r>
      <w:r w:rsidR="008C42CB">
        <w:t>between</w:t>
      </w:r>
      <w:r w:rsidR="008C42CB" w:rsidRPr="00E22701">
        <w:t xml:space="preserve"> the </w:t>
      </w:r>
      <w:r w:rsidR="004D3462">
        <w:t xml:space="preserve">cell filtration LBC </w:t>
      </w:r>
      <w:r w:rsidR="007E6583">
        <w:t>compared with CC</w:t>
      </w:r>
      <w:r w:rsidR="004D3462">
        <w:t xml:space="preserve"> were reportedly </w:t>
      </w:r>
      <w:r w:rsidR="008C42CB">
        <w:t>not statistically significant</w:t>
      </w:r>
      <w:r w:rsidR="004D3462">
        <w:t xml:space="preserve"> (Si</w:t>
      </w:r>
      <w:r w:rsidR="007E6583">
        <w:t xml:space="preserve">ebers </w:t>
      </w:r>
      <w:r w:rsidR="004D3462">
        <w:t>2009</w:t>
      </w:r>
      <w:r w:rsidR="007E6583">
        <w:t>,</w:t>
      </w:r>
      <w:r w:rsidR="004D3462">
        <w:t xml:space="preserve"> Table 3)</w:t>
      </w:r>
      <w:r w:rsidR="008C42CB">
        <w:t>.</w:t>
      </w:r>
    </w:p>
    <w:p w:rsidR="00A63F07" w:rsidRDefault="00A42051" w:rsidP="00A63F07">
      <w:r>
        <w:t xml:space="preserve">As reported by </w:t>
      </w:r>
      <w:r w:rsidR="00A63F07">
        <w:t>Strander</w:t>
      </w:r>
      <w:r w:rsidR="007E6583">
        <w:t xml:space="preserve"> 2007</w:t>
      </w:r>
      <w:r>
        <w:t>, s</w:t>
      </w:r>
      <w:r w:rsidR="00A63F07">
        <w:t>ix women in the study were diagnosed with invasive cancer</w:t>
      </w:r>
      <w:r w:rsidR="007E6583">
        <w:t>s</w:t>
      </w:r>
      <w:r w:rsidR="00A63F07">
        <w:t xml:space="preserve">, all of which were </w:t>
      </w:r>
      <w:r w:rsidR="007E6583">
        <w:t>SCC</w:t>
      </w:r>
      <w:r w:rsidR="004D3462">
        <w:t>s</w:t>
      </w:r>
      <w:r w:rsidR="00041974">
        <w:t>. O</w:t>
      </w:r>
      <w:r w:rsidR="00A63F07">
        <w:t>f</w:t>
      </w:r>
      <w:r w:rsidR="007E6583">
        <w:t xml:space="preserve"> those </w:t>
      </w:r>
      <w:r w:rsidR="00041974">
        <w:t xml:space="preserve">six </w:t>
      </w:r>
      <w:r w:rsidR="007E6583">
        <w:t>women</w:t>
      </w:r>
      <w:r w:rsidR="00A16B52">
        <w:t>,</w:t>
      </w:r>
      <w:r w:rsidR="007E6583">
        <w:t xml:space="preserve"> </w:t>
      </w:r>
      <w:r w:rsidR="00041974">
        <w:t xml:space="preserve">five </w:t>
      </w:r>
      <w:r w:rsidR="00A16B52">
        <w:t>underwent</w:t>
      </w:r>
      <w:r w:rsidR="007E6583">
        <w:t xml:space="preserve"> CC</w:t>
      </w:r>
      <w:r w:rsidR="00A16B52">
        <w:t xml:space="preserve"> sampling</w:t>
      </w:r>
      <w:r w:rsidR="007E6583">
        <w:t>, and one</w:t>
      </w:r>
      <w:r w:rsidR="00A16B52">
        <w:t xml:space="preserve"> </w:t>
      </w:r>
      <w:r w:rsidR="00A63F07">
        <w:t xml:space="preserve">had </w:t>
      </w:r>
      <w:r w:rsidR="004D3462">
        <w:t>cell filtration LBC</w:t>
      </w:r>
      <w:r w:rsidR="00A63F07">
        <w:t>. The</w:t>
      </w:r>
      <w:r w:rsidR="004D3462">
        <w:t xml:space="preserve"> cell filtration</w:t>
      </w:r>
      <w:r w:rsidR="00A63F07">
        <w:t xml:space="preserve"> LBC sample was inadequate, no diagnosis was provided, and the follow-up </w:t>
      </w:r>
      <w:r w:rsidR="004D3462">
        <w:t>cytology</w:t>
      </w:r>
      <w:r w:rsidR="00A63F07">
        <w:t xml:space="preserve"> demonstrated HSIL. Four of the index </w:t>
      </w:r>
      <w:r w:rsidR="004D3462">
        <w:t>conventional Pap smears</w:t>
      </w:r>
      <w:r w:rsidR="00A63F07">
        <w:t xml:space="preserve"> showed HSIL, but the fifth test was diagnosed as within normal limits, and t</w:t>
      </w:r>
      <w:r w:rsidR="007E6583">
        <w:t>here was an interval of nearly three</w:t>
      </w:r>
      <w:r w:rsidR="00A63F07">
        <w:t xml:space="preserve"> years from this smear to the cancer diagnosis. This cancer was identified in the second search for follow-up</w:t>
      </w:r>
      <w:r w:rsidR="004D3462">
        <w:t xml:space="preserve"> histological outcomes </w:t>
      </w:r>
      <w:r w:rsidR="00A63F07">
        <w:t>(mean follow-up, 3 years and 7 month</w:t>
      </w:r>
      <w:r w:rsidR="007E6583">
        <w:t>s), and the other five</w:t>
      </w:r>
      <w:r w:rsidR="00A63F07">
        <w:t xml:space="preserve"> cancers were identified in the first search (mean follow-up, 1.5 years).</w:t>
      </w:r>
    </w:p>
    <w:p w:rsidR="008C42CB" w:rsidRDefault="00A16B52" w:rsidP="00A63F07">
      <w:r>
        <w:lastRenderedPageBreak/>
        <w:t xml:space="preserve">Detection of one </w:t>
      </w:r>
      <w:r w:rsidR="008C42CB">
        <w:t>carcinoma was reported in</w:t>
      </w:r>
      <w:r w:rsidR="007E6583">
        <w:t xml:space="preserve"> the trial by Obwegeser 2001 for the CC</w:t>
      </w:r>
      <w:r w:rsidR="008C42CB">
        <w:t xml:space="preserve"> arm.</w:t>
      </w:r>
    </w:p>
    <w:p w:rsidR="005600AF" w:rsidRDefault="00005680" w:rsidP="0037193C">
      <w:r>
        <w:t>The number</w:t>
      </w:r>
      <w:r w:rsidR="007E6583">
        <w:t>s</w:t>
      </w:r>
      <w:r>
        <w:t xml:space="preserve"> of cervical cancer</w:t>
      </w:r>
      <w:r w:rsidR="007E6583">
        <w:t>s</w:t>
      </w:r>
      <w:r>
        <w:t xml:space="preserve"> or CIN</w:t>
      </w:r>
      <w:r w:rsidR="007E6583">
        <w:t xml:space="preserve"> 3+ detected wa</w:t>
      </w:r>
      <w:r>
        <w:t xml:space="preserve">s </w:t>
      </w:r>
      <w:r w:rsidR="0037193C">
        <w:t xml:space="preserve">too low to be compared statistically. The results </w:t>
      </w:r>
      <w:r w:rsidR="007E6583">
        <w:t>from each trial we</w:t>
      </w:r>
      <w:r w:rsidR="005600AF">
        <w:t>re therefore pooled in an attempt to increase the power to detect any difference betwe</w:t>
      </w:r>
      <w:r w:rsidR="007E6583">
        <w:t>en LBC and CC</w:t>
      </w:r>
      <w:r w:rsidR="005600AF">
        <w:t xml:space="preserve">. </w:t>
      </w:r>
      <w:r w:rsidR="005600AF" w:rsidRPr="007F13EE">
        <w:t>The</w:t>
      </w:r>
      <w:r w:rsidR="005600AF">
        <w:t xml:space="preserve"> results of the m</w:t>
      </w:r>
      <w:r w:rsidR="007E6583">
        <w:t>eta-analysis are provided in a</w:t>
      </w:r>
      <w:r w:rsidR="005600AF">
        <w:t xml:space="preserve"> forest plot (</w:t>
      </w:r>
      <w:r w:rsidR="00086C77">
        <w:fldChar w:fldCharType="begin"/>
      </w:r>
      <w:r w:rsidR="00963888">
        <w:instrText xml:space="preserve"> REF _Ref334817793 \h </w:instrText>
      </w:r>
      <w:r w:rsidR="00086C77">
        <w:fldChar w:fldCharType="separate"/>
      </w:r>
      <w:r w:rsidR="003361A8">
        <w:t xml:space="preserve">Figure </w:t>
      </w:r>
      <w:r w:rsidR="003361A8">
        <w:rPr>
          <w:noProof/>
        </w:rPr>
        <w:t>3</w:t>
      </w:r>
      <w:r w:rsidR="00086C77">
        <w:fldChar w:fldCharType="end"/>
      </w:r>
      <w:r w:rsidR="00963888">
        <w:t xml:space="preserve">). </w:t>
      </w:r>
      <w:r w:rsidR="00945B4B">
        <w:t xml:space="preserve">It </w:t>
      </w:r>
      <w:r w:rsidR="007E6583">
        <w:t xml:space="preserve">is evident that the results varied between </w:t>
      </w:r>
      <w:r w:rsidR="00945B4B">
        <w:t>trials</w:t>
      </w:r>
      <w:r w:rsidR="007F13EE">
        <w:t xml:space="preserve"> and there was a moderate degree of heterogeneity (</w:t>
      </w:r>
      <w:r w:rsidR="007F13EE" w:rsidRPr="007F13EE">
        <w:t>I</w:t>
      </w:r>
      <w:r w:rsidR="007F13EE" w:rsidRPr="007F13EE">
        <w:rPr>
          <w:vertAlign w:val="superscript"/>
        </w:rPr>
        <w:t>2</w:t>
      </w:r>
      <w:r w:rsidR="007F13EE">
        <w:t xml:space="preserve">=61%). </w:t>
      </w:r>
      <w:r w:rsidR="000F1AD1">
        <w:t>The removal of the Ronco 2006a trial had the largest impact on the I</w:t>
      </w:r>
      <w:r w:rsidR="00086C77" w:rsidRPr="00086C77">
        <w:rPr>
          <w:vertAlign w:val="superscript"/>
        </w:rPr>
        <w:t>2</w:t>
      </w:r>
      <w:r w:rsidR="000F1AD1">
        <w:rPr>
          <w:vertAlign w:val="superscript"/>
        </w:rPr>
        <w:t xml:space="preserve"> </w:t>
      </w:r>
      <w:proofErr w:type="gramStart"/>
      <w:r w:rsidR="000F1AD1">
        <w:t>statistic,</w:t>
      </w:r>
      <w:proofErr w:type="gramEnd"/>
      <w:r w:rsidR="000F1AD1">
        <w:t xml:space="preserve"> its removal reduced the heterogeneity to 26%</w:t>
      </w:r>
      <w:r w:rsidR="00616644">
        <w:t xml:space="preserve"> (</w:t>
      </w:r>
      <w:r w:rsidR="00086C77">
        <w:fldChar w:fldCharType="begin"/>
      </w:r>
      <w:r w:rsidR="00616644">
        <w:instrText xml:space="preserve"> REF _Ref337199866 \h </w:instrText>
      </w:r>
      <w:r w:rsidR="00086C77">
        <w:fldChar w:fldCharType="separate"/>
      </w:r>
      <w:r w:rsidR="003361A8">
        <w:t xml:space="preserve">Figure </w:t>
      </w:r>
      <w:r w:rsidR="003361A8">
        <w:rPr>
          <w:noProof/>
        </w:rPr>
        <w:t>4</w:t>
      </w:r>
      <w:r w:rsidR="00086C77">
        <w:fldChar w:fldCharType="end"/>
      </w:r>
      <w:r w:rsidR="00616644">
        <w:t>)</w:t>
      </w:r>
      <w:r w:rsidR="000F1AD1">
        <w:t xml:space="preserve">. The </w:t>
      </w:r>
      <w:r w:rsidR="00616644">
        <w:t>pooled OR (OR 0.69, 95% CI 0.50 to -0.95) indicates that the odds of detecting CIN3+ with conventional cytology is 31% lower than with LBC.</w:t>
      </w:r>
    </w:p>
    <w:p w:rsidR="005600AF" w:rsidRDefault="00CB6A66" w:rsidP="005600AF">
      <w:pPr>
        <w:keepNext/>
      </w:pPr>
      <w:r>
        <w:rPr>
          <w:noProof/>
          <w:lang w:eastAsia="en-AU"/>
        </w:rPr>
        <w:drawing>
          <wp:inline distT="0" distB="0" distL="0" distR="0">
            <wp:extent cx="5581650" cy="1591310"/>
            <wp:effectExtent l="0" t="0" r="0" b="889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1591310"/>
                    </a:xfrm>
                    <a:prstGeom prst="rect">
                      <a:avLst/>
                    </a:prstGeom>
                    <a:noFill/>
                    <a:ln>
                      <a:noFill/>
                    </a:ln>
                  </pic:spPr>
                </pic:pic>
              </a:graphicData>
            </a:graphic>
          </wp:inline>
        </w:drawing>
      </w:r>
    </w:p>
    <w:p w:rsidR="005600AF" w:rsidRDefault="005600AF" w:rsidP="00616644">
      <w:pPr>
        <w:pStyle w:val="Caption"/>
        <w:ind w:left="0" w:firstLine="0"/>
      </w:pPr>
      <w:bookmarkStart w:id="275" w:name="_Ref334817793"/>
      <w:bookmarkStart w:id="276" w:name="_Toc337547053"/>
      <w:r>
        <w:t xml:space="preserve">Figure </w:t>
      </w:r>
      <w:fldSimple w:instr=" SEQ Figure \* ARABIC ">
        <w:r w:rsidR="003361A8">
          <w:rPr>
            <w:noProof/>
          </w:rPr>
          <w:t>3</w:t>
        </w:r>
      </w:fldSimple>
      <w:bookmarkEnd w:id="275"/>
      <w:r w:rsidR="004F3378">
        <w:tab/>
      </w:r>
      <w:r w:rsidR="00041974">
        <w:t xml:space="preserve">Forest plot: </w:t>
      </w:r>
      <w:r w:rsidRPr="005600AF">
        <w:t xml:space="preserve">Proportion of </w:t>
      </w:r>
      <w:r w:rsidR="004F3378">
        <w:t>cervical c</w:t>
      </w:r>
      <w:r>
        <w:t>ancer</w:t>
      </w:r>
      <w:r w:rsidR="00041974">
        <w:t xml:space="preserve"> </w:t>
      </w:r>
      <w:r w:rsidRPr="005600AF">
        <w:t>(OR)</w:t>
      </w:r>
      <w:r w:rsidR="00616644">
        <w:br/>
      </w:r>
      <w:r w:rsidR="00D51F91" w:rsidRPr="00D51F91">
        <w:rPr>
          <w:b w:val="0"/>
        </w:rPr>
        <w:t>OR&lt;1 indicates that LBC is better than CC</w:t>
      </w:r>
      <w:bookmarkEnd w:id="276"/>
    </w:p>
    <w:p w:rsidR="00925117" w:rsidRDefault="00925117"/>
    <w:p w:rsidR="00925117" w:rsidRDefault="00CB6A66">
      <w:pPr>
        <w:keepNext/>
      </w:pPr>
      <w:r>
        <w:rPr>
          <w:noProof/>
          <w:lang w:eastAsia="en-AU"/>
        </w:rPr>
        <w:drawing>
          <wp:inline distT="0" distB="0" distL="0" distR="0">
            <wp:extent cx="5575300" cy="16033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75300" cy="1603375"/>
                    </a:xfrm>
                    <a:prstGeom prst="rect">
                      <a:avLst/>
                    </a:prstGeom>
                    <a:noFill/>
                    <a:ln>
                      <a:noFill/>
                    </a:ln>
                  </pic:spPr>
                </pic:pic>
              </a:graphicData>
            </a:graphic>
          </wp:inline>
        </w:drawing>
      </w:r>
    </w:p>
    <w:p w:rsidR="00925117" w:rsidRDefault="00616644">
      <w:pPr>
        <w:pStyle w:val="Caption"/>
        <w:ind w:left="0" w:firstLine="0"/>
      </w:pPr>
      <w:bookmarkStart w:id="277" w:name="_Ref337199866"/>
      <w:bookmarkStart w:id="278" w:name="_Toc337547054"/>
      <w:r>
        <w:t xml:space="preserve">Figure </w:t>
      </w:r>
      <w:fldSimple w:instr=" SEQ Figure \* ARABIC ">
        <w:r w:rsidR="003361A8">
          <w:rPr>
            <w:noProof/>
          </w:rPr>
          <w:t>4</w:t>
        </w:r>
      </w:fldSimple>
      <w:bookmarkEnd w:id="277"/>
      <w:r>
        <w:t xml:space="preserve"> Forest plot: </w:t>
      </w:r>
      <w:r w:rsidRPr="005600AF">
        <w:t xml:space="preserve">Proportion of </w:t>
      </w:r>
      <w:r>
        <w:t xml:space="preserve">cervical cancer </w:t>
      </w:r>
      <w:r w:rsidRPr="005600AF">
        <w:t>(OR)</w:t>
      </w:r>
      <w:r>
        <w:t xml:space="preserve"> with Ronco 2006a removed</w:t>
      </w:r>
      <w:r>
        <w:br/>
      </w:r>
      <w:r w:rsidRPr="00616644">
        <w:rPr>
          <w:b w:val="0"/>
        </w:rPr>
        <w:t>OR&lt;1 indicates that LBC is better than CC</w:t>
      </w:r>
      <w:bookmarkEnd w:id="278"/>
    </w:p>
    <w:p w:rsidR="00616644" w:rsidRPr="00616644" w:rsidRDefault="00616644" w:rsidP="009E545F"/>
    <w:p w:rsidR="00EB3738" w:rsidRDefault="00EB3738" w:rsidP="00136D50">
      <w:pPr>
        <w:pStyle w:val="Heading40"/>
      </w:pPr>
      <w:r>
        <w:t>Cervical cancer-specific mortality</w:t>
      </w:r>
    </w:p>
    <w:p w:rsidR="000C1751" w:rsidRPr="000C1751" w:rsidRDefault="000C1751" w:rsidP="000C1751">
      <w:r>
        <w:t>No data available</w:t>
      </w:r>
      <w:r w:rsidR="004F3378">
        <w:t>.</w:t>
      </w:r>
    </w:p>
    <w:p w:rsidR="00EB3738" w:rsidRPr="00041974" w:rsidRDefault="003F1BA4" w:rsidP="00041974">
      <w:pPr>
        <w:pStyle w:val="Heading30"/>
      </w:pPr>
      <w:bookmarkStart w:id="279" w:name="_Toc337546898"/>
      <w:r>
        <w:lastRenderedPageBreak/>
        <w:t>B.6.3</w:t>
      </w:r>
      <w:r>
        <w:tab/>
      </w:r>
      <w:r w:rsidR="007E6583" w:rsidRPr="00041974">
        <w:t>Diagnostic o</w:t>
      </w:r>
      <w:r w:rsidR="00EB3738" w:rsidRPr="00041974">
        <w:t>utcomes</w:t>
      </w:r>
      <w:bookmarkEnd w:id="279"/>
    </w:p>
    <w:p w:rsidR="0013401A" w:rsidRPr="00041974" w:rsidRDefault="00041974" w:rsidP="00041974">
      <w:pPr>
        <w:pStyle w:val="Heading40"/>
      </w:pPr>
      <w:r w:rsidRPr="00041974">
        <w:t>Rates of unsatisfactory slides</w:t>
      </w:r>
    </w:p>
    <w:p w:rsidR="0013401A" w:rsidRDefault="00CC4523" w:rsidP="0013401A">
      <w:r>
        <w:t>Overall f</w:t>
      </w:r>
      <w:r w:rsidR="0013401A">
        <w:t xml:space="preserve">ive of six </w:t>
      </w:r>
      <w:r w:rsidR="0013401A" w:rsidRPr="000E4C95">
        <w:t>trial</w:t>
      </w:r>
      <w:r w:rsidR="0013401A">
        <w:t>s</w:t>
      </w:r>
      <w:r w:rsidR="00F57598">
        <w:t xml:space="preserve"> </w:t>
      </w:r>
      <w:r w:rsidR="0013401A" w:rsidRPr="000E4C95">
        <w:t xml:space="preserve">showed </w:t>
      </w:r>
      <w:r w:rsidR="0013401A">
        <w:t xml:space="preserve">a statistically significant reduction in the proportion of unsatisfactory slides reported for </w:t>
      </w:r>
      <w:r w:rsidR="00F57598">
        <w:t xml:space="preserve">cell enrichment and cell filtration </w:t>
      </w:r>
      <w:r w:rsidR="0013401A">
        <w:t>LBC</w:t>
      </w:r>
      <w:r w:rsidR="0013401A" w:rsidRPr="000E4C95">
        <w:t xml:space="preserve"> </w:t>
      </w:r>
      <w:r w:rsidR="0013401A">
        <w:t>com</w:t>
      </w:r>
      <w:r w:rsidR="007E6583">
        <w:t>pared with CC</w:t>
      </w:r>
      <w:r w:rsidR="0013401A">
        <w:t>. The only trial</w:t>
      </w:r>
      <w:r w:rsidR="004F3378">
        <w:t xml:space="preserve"> that did not (Obwegeser </w:t>
      </w:r>
      <w:r w:rsidR="0013401A">
        <w:t>2001) implemented the unusual collection procedure that was not performed in any other study</w:t>
      </w:r>
      <w:r w:rsidR="00F57598">
        <w:t xml:space="preserve"> (refer </w:t>
      </w:r>
      <w:r w:rsidR="00F57598" w:rsidRPr="007476F2">
        <w:t xml:space="preserve">to section </w:t>
      </w:r>
      <w:r w:rsidR="007476F2" w:rsidRPr="007476F2">
        <w:t>B.4</w:t>
      </w:r>
      <w:r w:rsidR="00F57598">
        <w:t>)</w:t>
      </w:r>
      <w:r w:rsidR="0013401A">
        <w:t xml:space="preserve">. </w:t>
      </w:r>
    </w:p>
    <w:p w:rsidR="00F57598" w:rsidRPr="008D0453" w:rsidRDefault="00F57598" w:rsidP="0013401A">
      <w:r>
        <w:t xml:space="preserve">The results of the indirect comparison showed the odds of </w:t>
      </w:r>
      <w:r w:rsidR="00424CC2">
        <w:t>producing an unsatisfactory slide</w:t>
      </w:r>
      <w:r>
        <w:t xml:space="preserve"> with cell enrichment LBC </w:t>
      </w:r>
      <w:r w:rsidR="007E6583">
        <w:t>wa</w:t>
      </w:r>
      <w:r w:rsidR="00424CC2">
        <w:t xml:space="preserve">s 65 % lower </w:t>
      </w:r>
      <w:r>
        <w:t xml:space="preserve">compared with cell filtration LBC (indirect OR [95% CI] </w:t>
      </w:r>
      <w:r w:rsidR="007E6583">
        <w:t>0.3586 (0.19, 0.69), P</w:t>
      </w:r>
      <w:r w:rsidRPr="0092045B">
        <w:t>=0.0022</w:t>
      </w:r>
      <w:r>
        <w:t>). The higher incidence o</w:t>
      </w:r>
      <w:r w:rsidR="004D7F1C">
        <w:t>f</w:t>
      </w:r>
      <w:r>
        <w:t xml:space="preserve"> unsatisfactory slides seen with cell filtration LBC compared with cell enrichment LBC (0.3% versus 0.1%)</w:t>
      </w:r>
      <w:r w:rsidR="004D7F1C">
        <w:t>is</w:t>
      </w:r>
      <w:r>
        <w:t xml:space="preserve"> most likely a function of differences in the proprietary methodology for each platform (</w:t>
      </w:r>
      <w:r w:rsidR="004D7F1C">
        <w:t xml:space="preserve">cell filtration LBC </w:t>
      </w:r>
      <w:r>
        <w:t>filter-ba</w:t>
      </w:r>
      <w:r w:rsidR="007E6583">
        <w:t xml:space="preserve">sed technology versus </w:t>
      </w:r>
      <w:r w:rsidR="004D7F1C">
        <w:t>cell enrichment LBC</w:t>
      </w:r>
      <w:r w:rsidR="007E6583">
        <w:t xml:space="preserve"> density/</w:t>
      </w:r>
      <w:r>
        <w:t>s</w:t>
      </w:r>
      <w:r w:rsidR="00424CC2">
        <w:t>edimentation/enrichment process</w:t>
      </w:r>
      <w:r w:rsidR="004278A7">
        <w:t xml:space="preserve"> </w:t>
      </w:r>
      <w:r w:rsidR="004D7F1C">
        <w:t>with</w:t>
      </w:r>
      <w:r w:rsidR="004278A7">
        <w:t xml:space="preserve"> 100% of the collected sample</w:t>
      </w:r>
      <w:r w:rsidR="00424CC2">
        <w:t>).</w:t>
      </w:r>
    </w:p>
    <w:p w:rsidR="0013401A" w:rsidRPr="007E6583" w:rsidRDefault="0013401A" w:rsidP="007E6583">
      <w:pPr>
        <w:pStyle w:val="Heading50"/>
      </w:pPr>
      <w:r w:rsidRPr="007E6583">
        <w:t xml:space="preserve">Cell enrichment LBC </w:t>
      </w:r>
      <w:r w:rsidR="003954A4" w:rsidRPr="007E6583">
        <w:t>vs.</w:t>
      </w:r>
      <w:r w:rsidR="002252AB" w:rsidRPr="007E6583">
        <w:t xml:space="preserve"> CC</w:t>
      </w:r>
    </w:p>
    <w:p w:rsidR="0013401A" w:rsidRDefault="002252AB" w:rsidP="0013401A">
      <w:r>
        <w:t>As reported by Beerman</w:t>
      </w:r>
      <w:r w:rsidR="007E6583">
        <w:t xml:space="preserve"> 2009</w:t>
      </w:r>
      <w:r w:rsidR="0013401A">
        <w:t>, t</w:t>
      </w:r>
      <w:r w:rsidR="0013401A" w:rsidRPr="00DF3F71">
        <w:t>he</w:t>
      </w:r>
      <w:r w:rsidR="0013401A">
        <w:t xml:space="preserve"> </w:t>
      </w:r>
      <w:r w:rsidR="0013401A" w:rsidRPr="00DF3F71">
        <w:t xml:space="preserve">percentage of unsatisfactory slides based on </w:t>
      </w:r>
      <w:r w:rsidR="00932107">
        <w:t>cell enrichment LBC</w:t>
      </w:r>
      <w:r w:rsidR="0013401A">
        <w:t xml:space="preserve"> </w:t>
      </w:r>
      <w:r w:rsidR="007E6583">
        <w:t xml:space="preserve">was significantly fewer compared with CC </w:t>
      </w:r>
      <w:r w:rsidR="0013401A" w:rsidRPr="00DF3F71">
        <w:t xml:space="preserve">screening </w:t>
      </w:r>
      <w:r w:rsidR="0013401A">
        <w:t xml:space="preserve">(0.13% vs. 0.89%, </w:t>
      </w:r>
      <w:r w:rsidR="00932107">
        <w:t>OR 0.15, 95%</w:t>
      </w:r>
      <w:r>
        <w:t xml:space="preserve"> </w:t>
      </w:r>
      <w:r w:rsidR="00932107">
        <w:t xml:space="preserve">CI 0.11 to 0.21, </w:t>
      </w:r>
      <w:r w:rsidR="007E6583">
        <w:t>P</w:t>
      </w:r>
      <w:r>
        <w:t xml:space="preserve"> </w:t>
      </w:r>
      <w:r w:rsidR="0013401A">
        <w:t>&lt;</w:t>
      </w:r>
      <w:r>
        <w:t xml:space="preserve"> </w:t>
      </w:r>
      <w:r w:rsidR="0013401A" w:rsidRPr="00DF3F71">
        <w:t>0.0001)</w:t>
      </w:r>
      <w:r w:rsidR="00AE2E20">
        <w:t>(</w:t>
      </w:r>
      <w:r w:rsidR="00086C77">
        <w:fldChar w:fldCharType="begin"/>
      </w:r>
      <w:r w:rsidR="00AE2E20">
        <w:instrText xml:space="preserve"> REF _Ref333993174 \h </w:instrText>
      </w:r>
      <w:r w:rsidR="00086C77">
        <w:fldChar w:fldCharType="separate"/>
      </w:r>
      <w:r w:rsidR="003361A8">
        <w:t xml:space="preserve">Table </w:t>
      </w:r>
      <w:r w:rsidR="003361A8">
        <w:rPr>
          <w:noProof/>
        </w:rPr>
        <w:t>24</w:t>
      </w:r>
      <w:r w:rsidR="00086C77">
        <w:fldChar w:fldCharType="end"/>
      </w:r>
      <w:r w:rsidR="00AE2E20">
        <w:t>)</w:t>
      </w:r>
      <w:r w:rsidR="0013401A" w:rsidRPr="00DF3F71">
        <w:t>.</w:t>
      </w:r>
    </w:p>
    <w:p w:rsidR="0013401A" w:rsidRDefault="0013401A" w:rsidP="0013401A">
      <w:pPr>
        <w:pStyle w:val="Caption"/>
      </w:pPr>
      <w:bookmarkStart w:id="280" w:name="_Ref333993174"/>
      <w:bookmarkStart w:id="281" w:name="_Toc331766497"/>
      <w:bookmarkStart w:id="282" w:name="_Toc335665990"/>
      <w:bookmarkStart w:id="283" w:name="_Toc337546961"/>
      <w:r>
        <w:t xml:space="preserve">Table </w:t>
      </w:r>
      <w:fldSimple w:instr=" SEQ Table \* ARABIC ">
        <w:r w:rsidR="003361A8">
          <w:rPr>
            <w:noProof/>
          </w:rPr>
          <w:t>24</w:t>
        </w:r>
      </w:fldSimple>
      <w:bookmarkEnd w:id="280"/>
      <w:r>
        <w:tab/>
        <w:t>Unsatisfact</w:t>
      </w:r>
      <w:r w:rsidR="00A16B52">
        <w:t>ory rates—</w:t>
      </w:r>
      <w:r w:rsidR="004F3378">
        <w:t>CC</w:t>
      </w:r>
      <w:r w:rsidR="002252AB">
        <w:t xml:space="preserve"> versus </w:t>
      </w:r>
      <w:r w:rsidR="00041974">
        <w:t>cell enrichment LBC</w:t>
      </w:r>
      <w:r w:rsidR="00C979F8">
        <w:t>:</w:t>
      </w:r>
      <w:r w:rsidR="002252AB">
        <w:t xml:space="preserve"> </w:t>
      </w:r>
      <w:r w:rsidR="007E6583">
        <w:t xml:space="preserve">Beerman </w:t>
      </w:r>
      <w:r>
        <w:t>2009</w:t>
      </w:r>
      <w:bookmarkEnd w:id="281"/>
      <w:bookmarkEnd w:id="282"/>
      <w:bookmarkEnd w:id="28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6"/>
        <w:gridCol w:w="1513"/>
        <w:gridCol w:w="1745"/>
        <w:gridCol w:w="1720"/>
        <w:gridCol w:w="1880"/>
      </w:tblGrid>
      <w:tr w:rsidR="0013401A" w:rsidRPr="002252AB" w:rsidTr="007E6583">
        <w:tc>
          <w:tcPr>
            <w:tcW w:w="1192" w:type="pct"/>
          </w:tcPr>
          <w:p w:rsidR="0013401A" w:rsidRPr="002252AB" w:rsidRDefault="0013401A" w:rsidP="0013401A">
            <w:pPr>
              <w:pStyle w:val="Tabletext"/>
              <w:rPr>
                <w:b/>
              </w:rPr>
            </w:pPr>
            <w:r w:rsidRPr="002252AB">
              <w:rPr>
                <w:b/>
              </w:rPr>
              <w:t>Trial</w:t>
            </w:r>
          </w:p>
        </w:tc>
        <w:tc>
          <w:tcPr>
            <w:tcW w:w="840" w:type="pct"/>
          </w:tcPr>
          <w:p w:rsidR="002252AB" w:rsidRDefault="002252AB" w:rsidP="0013401A">
            <w:pPr>
              <w:pStyle w:val="Tabletext"/>
              <w:rPr>
                <w:b/>
              </w:rPr>
            </w:pPr>
            <w:r>
              <w:rPr>
                <w:b/>
              </w:rPr>
              <w:t>CC</w:t>
            </w:r>
          </w:p>
          <w:p w:rsidR="0013401A" w:rsidRPr="002252AB" w:rsidRDefault="0013401A" w:rsidP="0013401A">
            <w:pPr>
              <w:pStyle w:val="Tabletext"/>
              <w:rPr>
                <w:b/>
              </w:rPr>
            </w:pPr>
            <w:r w:rsidRPr="002252AB">
              <w:rPr>
                <w:b/>
              </w:rPr>
              <w:t>n/</w:t>
            </w:r>
            <w:proofErr w:type="gramStart"/>
            <w:r w:rsidRPr="002252AB">
              <w:rPr>
                <w:b/>
              </w:rPr>
              <w:t>N(</w:t>
            </w:r>
            <w:proofErr w:type="gramEnd"/>
            <w:r w:rsidRPr="002252AB">
              <w:rPr>
                <w:b/>
              </w:rPr>
              <w:t>%)</w:t>
            </w:r>
          </w:p>
        </w:tc>
        <w:tc>
          <w:tcPr>
            <w:tcW w:w="969" w:type="pct"/>
          </w:tcPr>
          <w:p w:rsidR="00920E83" w:rsidRPr="002252AB" w:rsidRDefault="00920E83" w:rsidP="0013401A">
            <w:pPr>
              <w:pStyle w:val="Tabletext"/>
              <w:rPr>
                <w:b/>
              </w:rPr>
            </w:pPr>
            <w:r w:rsidRPr="002252AB">
              <w:rPr>
                <w:b/>
              </w:rPr>
              <w:t>LBC</w:t>
            </w:r>
            <w:r w:rsidR="0013401A" w:rsidRPr="002252AB">
              <w:rPr>
                <w:b/>
              </w:rPr>
              <w:t xml:space="preserve"> </w:t>
            </w:r>
          </w:p>
          <w:p w:rsidR="0013401A" w:rsidRPr="002252AB" w:rsidRDefault="0013401A" w:rsidP="0013401A">
            <w:pPr>
              <w:pStyle w:val="Tabletext"/>
              <w:rPr>
                <w:b/>
              </w:rPr>
            </w:pPr>
            <w:r w:rsidRPr="002252AB">
              <w:rPr>
                <w:b/>
              </w:rPr>
              <w:t>n/</w:t>
            </w:r>
            <w:proofErr w:type="gramStart"/>
            <w:r w:rsidRPr="002252AB">
              <w:rPr>
                <w:b/>
              </w:rPr>
              <w:t>N(</w:t>
            </w:r>
            <w:proofErr w:type="gramEnd"/>
            <w:r w:rsidRPr="002252AB">
              <w:rPr>
                <w:b/>
              </w:rPr>
              <w:t>%)</w:t>
            </w:r>
          </w:p>
        </w:tc>
        <w:tc>
          <w:tcPr>
            <w:tcW w:w="955" w:type="pct"/>
          </w:tcPr>
          <w:p w:rsidR="0013401A" w:rsidRPr="002252AB" w:rsidRDefault="002252AB" w:rsidP="0013401A">
            <w:pPr>
              <w:pStyle w:val="Tabletext"/>
              <w:rPr>
                <w:b/>
              </w:rPr>
            </w:pPr>
            <w:r>
              <w:rPr>
                <w:b/>
              </w:rPr>
              <w:t>Risk d</w:t>
            </w:r>
            <w:r w:rsidR="0013401A" w:rsidRPr="002252AB">
              <w:rPr>
                <w:b/>
              </w:rPr>
              <w:t>ifference (95%</w:t>
            </w:r>
            <w:r>
              <w:rPr>
                <w:b/>
              </w:rPr>
              <w:t xml:space="preserve"> </w:t>
            </w:r>
            <w:r w:rsidR="0013401A" w:rsidRPr="002252AB">
              <w:rPr>
                <w:b/>
              </w:rPr>
              <w:t>CI)</w:t>
            </w:r>
          </w:p>
        </w:tc>
        <w:tc>
          <w:tcPr>
            <w:tcW w:w="1045" w:type="pct"/>
          </w:tcPr>
          <w:p w:rsidR="0013401A" w:rsidRPr="002252AB" w:rsidRDefault="002252AB" w:rsidP="0013401A">
            <w:pPr>
              <w:pStyle w:val="Tabletext"/>
              <w:rPr>
                <w:b/>
              </w:rPr>
            </w:pPr>
            <w:r>
              <w:rPr>
                <w:b/>
              </w:rPr>
              <w:t>Odds r</w:t>
            </w:r>
            <w:r w:rsidR="0013401A" w:rsidRPr="002252AB">
              <w:rPr>
                <w:b/>
              </w:rPr>
              <w:t>atio (</w:t>
            </w:r>
            <w:r w:rsidR="005E0D57">
              <w:rPr>
                <w:b/>
              </w:rPr>
              <w:t>95% CI</w:t>
            </w:r>
            <w:r w:rsidR="0013401A" w:rsidRPr="002252AB">
              <w:rPr>
                <w:b/>
              </w:rPr>
              <w:t>)</w:t>
            </w:r>
            <w:r w:rsidR="007E6583">
              <w:rPr>
                <w:b/>
              </w:rPr>
              <w:t xml:space="preserve">, P </w:t>
            </w:r>
            <w:r w:rsidR="002427B4" w:rsidRPr="002252AB">
              <w:rPr>
                <w:b/>
              </w:rPr>
              <w:t>value</w:t>
            </w:r>
          </w:p>
        </w:tc>
      </w:tr>
      <w:tr w:rsidR="0013401A" w:rsidTr="007E6583">
        <w:tc>
          <w:tcPr>
            <w:tcW w:w="1192" w:type="pct"/>
          </w:tcPr>
          <w:p w:rsidR="0013401A" w:rsidRDefault="007E6583" w:rsidP="007E6583">
            <w:pPr>
              <w:pStyle w:val="Tabletext"/>
            </w:pPr>
            <w:r>
              <w:t xml:space="preserve">Beerman </w:t>
            </w:r>
            <w:r w:rsidR="0013401A">
              <w:t>2009</w:t>
            </w:r>
          </w:p>
        </w:tc>
        <w:tc>
          <w:tcPr>
            <w:tcW w:w="840" w:type="pct"/>
          </w:tcPr>
          <w:p w:rsidR="0013401A" w:rsidRDefault="0013401A" w:rsidP="0013401A">
            <w:pPr>
              <w:pStyle w:val="Tabletext"/>
            </w:pPr>
            <w:r>
              <w:t>435/51,132 (0.89)</w:t>
            </w:r>
          </w:p>
        </w:tc>
        <w:tc>
          <w:tcPr>
            <w:tcW w:w="969" w:type="pct"/>
          </w:tcPr>
          <w:p w:rsidR="0013401A" w:rsidRDefault="0013401A" w:rsidP="0013401A">
            <w:pPr>
              <w:pStyle w:val="Tabletext"/>
            </w:pPr>
            <w:r>
              <w:t>46/35,315 (0.13)</w:t>
            </w:r>
          </w:p>
        </w:tc>
        <w:tc>
          <w:tcPr>
            <w:tcW w:w="955" w:type="pct"/>
          </w:tcPr>
          <w:p w:rsidR="0013401A" w:rsidRDefault="0013401A" w:rsidP="0013401A">
            <w:pPr>
              <w:pStyle w:val="Tabletext"/>
            </w:pPr>
            <w:r>
              <w:t>-0.01(-0.01,-0.01</w:t>
            </w:r>
            <w:r w:rsidR="00AE2E20">
              <w:t>)</w:t>
            </w:r>
          </w:p>
        </w:tc>
        <w:tc>
          <w:tcPr>
            <w:tcW w:w="1045" w:type="pct"/>
          </w:tcPr>
          <w:p w:rsidR="0013401A" w:rsidRDefault="0013401A" w:rsidP="0013401A">
            <w:pPr>
              <w:pStyle w:val="Tabletext"/>
            </w:pPr>
            <w:r>
              <w:t>0.15</w:t>
            </w:r>
            <w:r w:rsidR="002252AB">
              <w:t xml:space="preserve"> </w:t>
            </w:r>
            <w:r>
              <w:t>(0.11, 0.21)</w:t>
            </w:r>
            <w:r w:rsidR="002427B4">
              <w:t xml:space="preserve">, </w:t>
            </w:r>
            <w:r w:rsidR="002252AB">
              <w:br/>
            </w:r>
            <w:r w:rsidR="002427B4">
              <w:t>p</w:t>
            </w:r>
            <w:r w:rsidR="002252AB">
              <w:t xml:space="preserve"> </w:t>
            </w:r>
            <w:r w:rsidR="002427B4" w:rsidRPr="002427B4">
              <w:t>&lt;</w:t>
            </w:r>
            <w:r w:rsidR="002252AB">
              <w:t xml:space="preserve"> </w:t>
            </w:r>
            <w:r w:rsidR="002427B4" w:rsidRPr="002427B4">
              <w:t>0.0001</w:t>
            </w:r>
          </w:p>
        </w:tc>
      </w:tr>
      <w:tr w:rsidR="0013401A" w:rsidTr="007E6583">
        <w:tc>
          <w:tcPr>
            <w:tcW w:w="5000" w:type="pct"/>
            <w:gridSpan w:val="5"/>
          </w:tcPr>
          <w:p w:rsidR="0013401A" w:rsidRDefault="002252AB" w:rsidP="0013401A">
            <w:pPr>
              <w:pStyle w:val="Tabletext"/>
            </w:pPr>
            <w:r>
              <w:t xml:space="preserve">Source: Beerman </w:t>
            </w:r>
            <w:r w:rsidR="0013401A">
              <w:t>2009</w:t>
            </w:r>
            <w:r>
              <w:t xml:space="preserve"> </w:t>
            </w:r>
            <w:r w:rsidR="0013401A">
              <w:t>p. 574</w:t>
            </w:r>
          </w:p>
        </w:tc>
      </w:tr>
    </w:tbl>
    <w:p w:rsidR="0013401A" w:rsidRDefault="0013401A" w:rsidP="00041974">
      <w:pPr>
        <w:pStyle w:val="Tabletext"/>
      </w:pPr>
      <w:r>
        <w:t xml:space="preserve">Abbreviations: </w:t>
      </w:r>
      <w:r w:rsidR="002252AB">
        <w:t xml:space="preserve">CC, conventional cytology; </w:t>
      </w:r>
      <w:r>
        <w:t>CI, confidence interval</w:t>
      </w:r>
      <w:r w:rsidR="002252AB">
        <w:t xml:space="preserve">; LBC, </w:t>
      </w:r>
      <w:r w:rsidR="00C979F8">
        <w:t>liquid-based cytology</w:t>
      </w:r>
      <w:r w:rsidR="002252AB">
        <w:br/>
        <w:t>Risk d</w:t>
      </w:r>
      <w:r>
        <w:t>ifference and Odds Ratio manually calculated for the purposes of submission</w:t>
      </w:r>
      <w:r w:rsidR="0061117D">
        <w:t xml:space="preserve"> (Attachment 4)</w:t>
      </w:r>
      <w:r w:rsidR="0011397F">
        <w:t>;a</w:t>
      </w:r>
      <w:r w:rsidR="0011397F" w:rsidRPr="0011397F">
        <w:t>n OR &lt;1 indicates performance of LBC is better than CC</w:t>
      </w:r>
    </w:p>
    <w:p w:rsidR="0013401A" w:rsidRPr="007E6583" w:rsidRDefault="0013401A" w:rsidP="007E6583">
      <w:pPr>
        <w:pStyle w:val="Heading50"/>
      </w:pPr>
      <w:r w:rsidRPr="007E6583">
        <w:t xml:space="preserve">Cell filtration LBC </w:t>
      </w:r>
      <w:r w:rsidR="003954A4" w:rsidRPr="007E6583">
        <w:t>vs.</w:t>
      </w:r>
      <w:r w:rsidR="002252AB" w:rsidRPr="007E6583">
        <w:t xml:space="preserve"> CC</w:t>
      </w:r>
    </w:p>
    <w:p w:rsidR="0013401A" w:rsidRDefault="00AE2E20" w:rsidP="0013401A">
      <w:r>
        <w:t>Across</w:t>
      </w:r>
      <w:r w:rsidR="0013401A">
        <w:t xml:space="preserve"> the entire NTCC </w:t>
      </w:r>
      <w:r w:rsidR="002252AB">
        <w:t xml:space="preserve">trial, reported by Ronco </w:t>
      </w:r>
      <w:r w:rsidR="007E6583">
        <w:t>2007</w:t>
      </w:r>
      <w:r w:rsidR="0013401A">
        <w:t>, t</w:t>
      </w:r>
      <w:r w:rsidR="0013401A" w:rsidRPr="000941E8">
        <w:t xml:space="preserve">he overall proportion of women with at least one unsatisfactory cytology result was significantly reduced with </w:t>
      </w:r>
      <w:r w:rsidR="00932107">
        <w:t>cell filtration LBC (2.57% vs</w:t>
      </w:r>
      <w:r w:rsidR="002252AB">
        <w:t xml:space="preserve">. </w:t>
      </w:r>
      <w:r w:rsidR="00932107">
        <w:t>4.11%</w:t>
      </w:r>
      <w:r w:rsidR="002252AB">
        <w:t>, OR 0.62, 95% CI 0.55 to 0.68)</w:t>
      </w:r>
      <w:r w:rsidR="0013401A" w:rsidRPr="000941E8">
        <w:t xml:space="preserve"> (</w:t>
      </w:r>
      <w:r w:rsidR="00086C77">
        <w:fldChar w:fldCharType="begin"/>
      </w:r>
      <w:r w:rsidR="0013401A">
        <w:instrText xml:space="preserve"> REF _Ref332834254 \h </w:instrText>
      </w:r>
      <w:r w:rsidR="00086C77">
        <w:fldChar w:fldCharType="separate"/>
      </w:r>
      <w:r w:rsidR="003361A8">
        <w:t xml:space="preserve">Table </w:t>
      </w:r>
      <w:r w:rsidR="003361A8">
        <w:rPr>
          <w:noProof/>
        </w:rPr>
        <w:t>25</w:t>
      </w:r>
      <w:r w:rsidR="00086C77">
        <w:fldChar w:fldCharType="end"/>
      </w:r>
      <w:r w:rsidR="0013401A" w:rsidRPr="000941E8">
        <w:t>). The reduction was</w:t>
      </w:r>
      <w:r w:rsidR="00932107">
        <w:t xml:space="preserve"> significantly </w:t>
      </w:r>
      <w:r w:rsidR="0013401A" w:rsidRPr="000941E8">
        <w:t>large</w:t>
      </w:r>
      <w:r w:rsidR="007E6583">
        <w:t>r</w:t>
      </w:r>
      <w:r w:rsidR="0013401A" w:rsidRPr="000941E8">
        <w:t xml:space="preserve"> for results considered unsatisfactory because of obscuring inflammation</w:t>
      </w:r>
      <w:r w:rsidR="00932107">
        <w:t xml:space="preserve"> (OR 0.20, 95%</w:t>
      </w:r>
      <w:r w:rsidR="002252AB">
        <w:t xml:space="preserve"> </w:t>
      </w:r>
      <w:r w:rsidR="00932107">
        <w:t>CI 0.16 to 0.25)</w:t>
      </w:r>
      <w:r w:rsidR="0013401A" w:rsidRPr="000941E8">
        <w:t xml:space="preserve"> but not for other reasons </w:t>
      </w:r>
      <w:r w:rsidR="00932107">
        <w:t>(OR 1.09, 95%</w:t>
      </w:r>
      <w:r w:rsidR="007E6583">
        <w:t xml:space="preserve"> </w:t>
      </w:r>
      <w:r w:rsidR="00932107">
        <w:t>CI 0.95 to 1.24)</w:t>
      </w:r>
      <w:r w:rsidR="00932107" w:rsidRPr="000941E8">
        <w:t xml:space="preserve"> </w:t>
      </w:r>
      <w:r w:rsidR="0013401A" w:rsidRPr="000941E8">
        <w:t>(</w:t>
      </w:r>
      <w:r w:rsidR="00086C77">
        <w:fldChar w:fldCharType="begin"/>
      </w:r>
      <w:r w:rsidR="0013401A">
        <w:instrText xml:space="preserve"> REF _Ref332834254 \h </w:instrText>
      </w:r>
      <w:r w:rsidR="00086C77">
        <w:fldChar w:fldCharType="separate"/>
      </w:r>
      <w:r w:rsidR="003361A8">
        <w:t xml:space="preserve">Table </w:t>
      </w:r>
      <w:r w:rsidR="003361A8">
        <w:rPr>
          <w:noProof/>
        </w:rPr>
        <w:t>25</w:t>
      </w:r>
      <w:r w:rsidR="00086C77">
        <w:fldChar w:fldCharType="end"/>
      </w:r>
      <w:r w:rsidR="0013401A" w:rsidRPr="000941E8">
        <w:t>).</w:t>
      </w:r>
    </w:p>
    <w:p w:rsidR="0013401A" w:rsidRDefault="0013401A" w:rsidP="0013401A">
      <w:pPr>
        <w:pStyle w:val="Caption"/>
      </w:pPr>
      <w:bookmarkStart w:id="284" w:name="_Ref332834254"/>
      <w:bookmarkStart w:id="285" w:name="_Toc331766498"/>
      <w:bookmarkStart w:id="286" w:name="_Toc335665991"/>
      <w:bookmarkStart w:id="287" w:name="_Toc337546962"/>
      <w:r>
        <w:lastRenderedPageBreak/>
        <w:t xml:space="preserve">Table </w:t>
      </w:r>
      <w:fldSimple w:instr=" SEQ Table \* ARABIC ">
        <w:r w:rsidR="003361A8">
          <w:rPr>
            <w:noProof/>
          </w:rPr>
          <w:t>25</w:t>
        </w:r>
      </w:fldSimple>
      <w:bookmarkEnd w:id="284"/>
      <w:r>
        <w:tab/>
        <w:t>Unsatisfact</w:t>
      </w:r>
      <w:r w:rsidR="00A16B52">
        <w:t>ory rates—</w:t>
      </w:r>
      <w:r w:rsidR="002252AB">
        <w:t>CC</w:t>
      </w:r>
      <w:r>
        <w:t xml:space="preserve"> versus</w:t>
      </w:r>
      <w:r w:rsidR="00041974">
        <w:t xml:space="preserve"> cell filtration LBC</w:t>
      </w:r>
      <w:r w:rsidR="00C979F8">
        <w:t>:</w:t>
      </w:r>
      <w:r w:rsidR="002252AB">
        <w:t xml:space="preserve"> Ronco</w:t>
      </w:r>
      <w:r>
        <w:t xml:space="preserve"> 2007</w:t>
      </w:r>
      <w:bookmarkEnd w:id="285"/>
      <w:bookmarkEnd w:id="286"/>
      <w:bookmarkEnd w:id="28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0"/>
        <w:gridCol w:w="1507"/>
        <w:gridCol w:w="1507"/>
        <w:gridCol w:w="1823"/>
        <w:gridCol w:w="1217"/>
      </w:tblGrid>
      <w:tr w:rsidR="00932107" w:rsidRPr="002252AB" w:rsidTr="000B08B1">
        <w:tc>
          <w:tcPr>
            <w:tcW w:w="0" w:type="auto"/>
          </w:tcPr>
          <w:p w:rsidR="00932107" w:rsidRPr="002252AB" w:rsidRDefault="00932107" w:rsidP="0013401A">
            <w:pPr>
              <w:pStyle w:val="Tabletext"/>
              <w:rPr>
                <w:b/>
              </w:rPr>
            </w:pPr>
            <w:r w:rsidRPr="002252AB">
              <w:rPr>
                <w:b/>
              </w:rPr>
              <w:t>Trial</w:t>
            </w:r>
          </w:p>
        </w:tc>
        <w:tc>
          <w:tcPr>
            <w:tcW w:w="0" w:type="auto"/>
          </w:tcPr>
          <w:p w:rsidR="002252AB" w:rsidRDefault="002252AB" w:rsidP="0013401A">
            <w:pPr>
              <w:pStyle w:val="Tabletext"/>
              <w:rPr>
                <w:b/>
              </w:rPr>
            </w:pPr>
            <w:r>
              <w:rPr>
                <w:b/>
              </w:rPr>
              <w:t>CC</w:t>
            </w:r>
            <w:r w:rsidR="00932107" w:rsidRPr="002252AB">
              <w:rPr>
                <w:b/>
              </w:rPr>
              <w:t xml:space="preserve"> </w:t>
            </w:r>
          </w:p>
          <w:p w:rsidR="00932107" w:rsidRPr="002252AB" w:rsidRDefault="00932107" w:rsidP="0013401A">
            <w:pPr>
              <w:pStyle w:val="Tabletext"/>
              <w:rPr>
                <w:b/>
              </w:rPr>
            </w:pPr>
            <w:r w:rsidRPr="002252AB">
              <w:rPr>
                <w:b/>
              </w:rPr>
              <w:t>n/</w:t>
            </w:r>
            <w:proofErr w:type="gramStart"/>
            <w:r w:rsidRPr="002252AB">
              <w:rPr>
                <w:b/>
              </w:rPr>
              <w:t>N(</w:t>
            </w:r>
            <w:proofErr w:type="gramEnd"/>
            <w:r w:rsidRPr="002252AB">
              <w:rPr>
                <w:b/>
              </w:rPr>
              <w:t>%)</w:t>
            </w:r>
          </w:p>
        </w:tc>
        <w:tc>
          <w:tcPr>
            <w:tcW w:w="0" w:type="auto"/>
          </w:tcPr>
          <w:p w:rsidR="00920E83" w:rsidRPr="002252AB" w:rsidRDefault="00920E83" w:rsidP="0013401A">
            <w:pPr>
              <w:pStyle w:val="Tabletext"/>
              <w:rPr>
                <w:b/>
              </w:rPr>
            </w:pPr>
            <w:r w:rsidRPr="002252AB">
              <w:rPr>
                <w:b/>
              </w:rPr>
              <w:t>LBC</w:t>
            </w:r>
            <w:r w:rsidR="00932107" w:rsidRPr="002252AB">
              <w:rPr>
                <w:b/>
              </w:rPr>
              <w:t xml:space="preserve"> </w:t>
            </w:r>
          </w:p>
          <w:p w:rsidR="00932107" w:rsidRPr="002252AB" w:rsidRDefault="00932107" w:rsidP="0013401A">
            <w:pPr>
              <w:pStyle w:val="Tabletext"/>
              <w:rPr>
                <w:b/>
              </w:rPr>
            </w:pPr>
            <w:r w:rsidRPr="002252AB">
              <w:rPr>
                <w:b/>
              </w:rPr>
              <w:t>n/</w:t>
            </w:r>
            <w:proofErr w:type="gramStart"/>
            <w:r w:rsidRPr="002252AB">
              <w:rPr>
                <w:b/>
              </w:rPr>
              <w:t>N(</w:t>
            </w:r>
            <w:proofErr w:type="gramEnd"/>
            <w:r w:rsidRPr="002252AB">
              <w:rPr>
                <w:b/>
              </w:rPr>
              <w:t>%)</w:t>
            </w:r>
          </w:p>
        </w:tc>
        <w:tc>
          <w:tcPr>
            <w:tcW w:w="0" w:type="auto"/>
          </w:tcPr>
          <w:p w:rsidR="00932107" w:rsidRPr="002252AB" w:rsidRDefault="000B08B1" w:rsidP="0013401A">
            <w:pPr>
              <w:pStyle w:val="Tabletext"/>
              <w:rPr>
                <w:b/>
              </w:rPr>
            </w:pPr>
            <w:r>
              <w:rPr>
                <w:b/>
              </w:rPr>
              <w:t>Risk d</w:t>
            </w:r>
            <w:r w:rsidR="00932107" w:rsidRPr="002252AB">
              <w:rPr>
                <w:b/>
              </w:rPr>
              <w:t>ifference (95%</w:t>
            </w:r>
            <w:r>
              <w:rPr>
                <w:b/>
              </w:rPr>
              <w:t xml:space="preserve"> </w:t>
            </w:r>
            <w:r w:rsidR="00932107" w:rsidRPr="002252AB">
              <w:rPr>
                <w:b/>
              </w:rPr>
              <w:t>CI)</w:t>
            </w:r>
          </w:p>
        </w:tc>
        <w:tc>
          <w:tcPr>
            <w:tcW w:w="0" w:type="auto"/>
          </w:tcPr>
          <w:p w:rsidR="00932107" w:rsidRPr="002252AB" w:rsidRDefault="000B08B1" w:rsidP="0013401A">
            <w:pPr>
              <w:pStyle w:val="Tabletext"/>
              <w:rPr>
                <w:b/>
              </w:rPr>
            </w:pPr>
            <w:r>
              <w:rPr>
                <w:b/>
              </w:rPr>
              <w:t>Odds r</w:t>
            </w:r>
            <w:r w:rsidR="00932107" w:rsidRPr="002252AB">
              <w:rPr>
                <w:b/>
              </w:rPr>
              <w:t xml:space="preserve">atio </w:t>
            </w:r>
            <w:r>
              <w:rPr>
                <w:b/>
              </w:rPr>
              <w:br/>
            </w:r>
            <w:r w:rsidR="00932107" w:rsidRPr="002252AB">
              <w:rPr>
                <w:b/>
              </w:rPr>
              <w:t>(95%</w:t>
            </w:r>
            <w:r>
              <w:rPr>
                <w:b/>
              </w:rPr>
              <w:t xml:space="preserve"> </w:t>
            </w:r>
            <w:r w:rsidR="00932107" w:rsidRPr="002252AB">
              <w:rPr>
                <w:b/>
              </w:rPr>
              <w:t>CI)</w:t>
            </w:r>
          </w:p>
        </w:tc>
      </w:tr>
      <w:tr w:rsidR="00932107" w:rsidTr="000B08B1">
        <w:tc>
          <w:tcPr>
            <w:tcW w:w="0" w:type="auto"/>
          </w:tcPr>
          <w:p w:rsidR="00932107" w:rsidRDefault="00932107" w:rsidP="0013401A">
            <w:pPr>
              <w:pStyle w:val="Tabletext"/>
            </w:pPr>
            <w:r>
              <w:t>Unsatisfactory cytology (any reason)</w:t>
            </w:r>
          </w:p>
        </w:tc>
        <w:tc>
          <w:tcPr>
            <w:tcW w:w="0" w:type="auto"/>
          </w:tcPr>
          <w:p w:rsidR="00932107" w:rsidRDefault="00932107" w:rsidP="0013401A">
            <w:pPr>
              <w:pStyle w:val="Tabletext"/>
            </w:pPr>
            <w:r>
              <w:t>923/22,466 (4.11%)</w:t>
            </w:r>
          </w:p>
        </w:tc>
        <w:tc>
          <w:tcPr>
            <w:tcW w:w="0" w:type="auto"/>
          </w:tcPr>
          <w:p w:rsidR="00932107" w:rsidRDefault="00932107" w:rsidP="0013401A">
            <w:pPr>
              <w:pStyle w:val="Tabletext"/>
            </w:pPr>
            <w:r>
              <w:t>583/22,708 (2.57%)</w:t>
            </w:r>
          </w:p>
        </w:tc>
        <w:tc>
          <w:tcPr>
            <w:tcW w:w="0" w:type="auto"/>
          </w:tcPr>
          <w:p w:rsidR="00932107" w:rsidRDefault="00932107" w:rsidP="0061117D">
            <w:pPr>
              <w:pStyle w:val="Tabletext"/>
            </w:pPr>
            <w:r>
              <w:t>0.02</w:t>
            </w:r>
            <w:r w:rsidR="000B08B1">
              <w:t xml:space="preserve"> </w:t>
            </w:r>
            <w:r w:rsidR="0061117D">
              <w:t>(</w:t>
            </w:r>
            <w:r>
              <w:t>0.0</w:t>
            </w:r>
            <w:r w:rsidR="0061117D">
              <w:t xml:space="preserve">1, </w:t>
            </w:r>
            <w:r>
              <w:t>0.0</w:t>
            </w:r>
            <w:r w:rsidR="0061117D">
              <w:t>2</w:t>
            </w:r>
            <w:r>
              <w:t>)</w:t>
            </w:r>
          </w:p>
        </w:tc>
        <w:tc>
          <w:tcPr>
            <w:tcW w:w="0" w:type="auto"/>
          </w:tcPr>
          <w:p w:rsidR="00932107" w:rsidRDefault="0011397F" w:rsidP="0013401A">
            <w:pPr>
              <w:pStyle w:val="Tabletext"/>
            </w:pPr>
            <w:r w:rsidRPr="0011397F">
              <w:t>0.62 [0.55, 0.68]</w:t>
            </w:r>
          </w:p>
        </w:tc>
      </w:tr>
      <w:tr w:rsidR="00932107" w:rsidTr="000B08B1">
        <w:tc>
          <w:tcPr>
            <w:tcW w:w="0" w:type="auto"/>
          </w:tcPr>
          <w:p w:rsidR="00932107" w:rsidRDefault="00932107" w:rsidP="0013401A">
            <w:pPr>
              <w:pStyle w:val="Tabletext"/>
            </w:pPr>
            <w:r>
              <w:t>Unsatisfactory due to obscuring inflammation</w:t>
            </w:r>
          </w:p>
        </w:tc>
        <w:tc>
          <w:tcPr>
            <w:tcW w:w="0" w:type="auto"/>
          </w:tcPr>
          <w:p w:rsidR="00932107" w:rsidRDefault="00932107" w:rsidP="0013401A">
            <w:pPr>
              <w:pStyle w:val="Tabletext"/>
            </w:pPr>
            <w:r>
              <w:t>483/22,466 (2.15%)</w:t>
            </w:r>
          </w:p>
        </w:tc>
        <w:tc>
          <w:tcPr>
            <w:tcW w:w="0" w:type="auto"/>
          </w:tcPr>
          <w:p w:rsidR="00932107" w:rsidRDefault="00932107" w:rsidP="0013401A">
            <w:pPr>
              <w:pStyle w:val="Tabletext"/>
            </w:pPr>
            <w:r>
              <w:t>100/22,708 (0.44%)</w:t>
            </w:r>
          </w:p>
        </w:tc>
        <w:tc>
          <w:tcPr>
            <w:tcW w:w="0" w:type="auto"/>
          </w:tcPr>
          <w:p w:rsidR="00932107" w:rsidRDefault="00932107" w:rsidP="0061117D">
            <w:pPr>
              <w:pStyle w:val="Tabletext"/>
            </w:pPr>
            <w:r>
              <w:t>0.02</w:t>
            </w:r>
            <w:r w:rsidR="000B08B1">
              <w:t xml:space="preserve"> </w:t>
            </w:r>
            <w:r>
              <w:t>(0.02, 0.02)</w:t>
            </w:r>
          </w:p>
        </w:tc>
        <w:tc>
          <w:tcPr>
            <w:tcW w:w="0" w:type="auto"/>
          </w:tcPr>
          <w:p w:rsidR="00932107" w:rsidRDefault="0011397F" w:rsidP="0013401A">
            <w:pPr>
              <w:pStyle w:val="Tabletext"/>
            </w:pPr>
            <w:r w:rsidRPr="0011397F">
              <w:t>0.20 [0.16, 0.25]</w:t>
            </w:r>
          </w:p>
        </w:tc>
      </w:tr>
      <w:tr w:rsidR="00932107" w:rsidTr="000B08B1">
        <w:tc>
          <w:tcPr>
            <w:tcW w:w="0" w:type="auto"/>
          </w:tcPr>
          <w:p w:rsidR="00932107" w:rsidRDefault="00932107" w:rsidP="0013401A">
            <w:pPr>
              <w:pStyle w:val="Tabletext"/>
            </w:pPr>
            <w:r>
              <w:t>Unsatisfactory for other reasons</w:t>
            </w:r>
          </w:p>
        </w:tc>
        <w:tc>
          <w:tcPr>
            <w:tcW w:w="0" w:type="auto"/>
          </w:tcPr>
          <w:p w:rsidR="00932107" w:rsidRDefault="00932107" w:rsidP="0013401A">
            <w:pPr>
              <w:pStyle w:val="Tabletext"/>
            </w:pPr>
            <w:r>
              <w:t>440/22,466 (1.96%)</w:t>
            </w:r>
          </w:p>
        </w:tc>
        <w:tc>
          <w:tcPr>
            <w:tcW w:w="0" w:type="auto"/>
          </w:tcPr>
          <w:p w:rsidR="00932107" w:rsidRDefault="00932107" w:rsidP="0013401A">
            <w:pPr>
              <w:pStyle w:val="Tabletext"/>
            </w:pPr>
            <w:r>
              <w:t>483/22,708 (2.13%)</w:t>
            </w:r>
          </w:p>
        </w:tc>
        <w:tc>
          <w:tcPr>
            <w:tcW w:w="0" w:type="auto"/>
          </w:tcPr>
          <w:p w:rsidR="00932107" w:rsidRDefault="0061117D" w:rsidP="0013401A">
            <w:pPr>
              <w:pStyle w:val="Tabletext"/>
            </w:pPr>
            <w:r>
              <w:t>-</w:t>
            </w:r>
            <w:r w:rsidR="00932107">
              <w:t>0.00</w:t>
            </w:r>
            <w:r w:rsidR="000B08B1">
              <w:t xml:space="preserve"> </w:t>
            </w:r>
            <w:r w:rsidR="00932107">
              <w:t>(-0.00,0.00)</w:t>
            </w:r>
          </w:p>
        </w:tc>
        <w:tc>
          <w:tcPr>
            <w:tcW w:w="0" w:type="auto"/>
          </w:tcPr>
          <w:p w:rsidR="00932107" w:rsidRDefault="0011397F" w:rsidP="0013401A">
            <w:pPr>
              <w:pStyle w:val="Tabletext"/>
            </w:pPr>
            <w:r w:rsidRPr="0011397F">
              <w:t>1.09 [0.95, 1.24]</w:t>
            </w:r>
          </w:p>
        </w:tc>
      </w:tr>
      <w:tr w:rsidR="00932107" w:rsidTr="000B08B1">
        <w:tc>
          <w:tcPr>
            <w:tcW w:w="0" w:type="auto"/>
          </w:tcPr>
          <w:p w:rsidR="00932107" w:rsidRDefault="00932107" w:rsidP="0013401A">
            <w:pPr>
              <w:pStyle w:val="Tabletext"/>
            </w:pPr>
            <w:r>
              <w:t>Source</w:t>
            </w:r>
          </w:p>
        </w:tc>
        <w:tc>
          <w:tcPr>
            <w:tcW w:w="0" w:type="auto"/>
            <w:gridSpan w:val="4"/>
          </w:tcPr>
          <w:p w:rsidR="00932107" w:rsidRDefault="002252AB" w:rsidP="0013401A">
            <w:pPr>
              <w:pStyle w:val="Tabletext"/>
            </w:pPr>
            <w:r>
              <w:t xml:space="preserve">Ronco </w:t>
            </w:r>
            <w:r w:rsidR="00932107">
              <w:t>2007 Table 1</w:t>
            </w:r>
          </w:p>
        </w:tc>
      </w:tr>
    </w:tbl>
    <w:p w:rsidR="0013401A" w:rsidRDefault="0013401A" w:rsidP="001310A0">
      <w:pPr>
        <w:pStyle w:val="Tabletext"/>
      </w:pPr>
      <w:r>
        <w:t>Abbreviations</w:t>
      </w:r>
      <w:r w:rsidR="000B08B1">
        <w:t>: CI, confidence interval</w:t>
      </w:r>
      <w:r w:rsidR="00C979F8">
        <w:t>; CC, conventional cytology; LBC, liquid-based cytology</w:t>
      </w:r>
      <w:r w:rsidR="000B08B1">
        <w:br/>
      </w:r>
      <w:r w:rsidR="0011397F">
        <w:t xml:space="preserve">Odds Ratio and </w:t>
      </w:r>
      <w:r w:rsidR="000B08B1">
        <w:t>Risk d</w:t>
      </w:r>
      <w:r>
        <w:t>ifference manually calculated for the purposes of submission</w:t>
      </w:r>
      <w:r w:rsidR="0061117D">
        <w:t xml:space="preserve"> (Attachment 4)</w:t>
      </w:r>
      <w:r w:rsidR="0011397F">
        <w:t>; a</w:t>
      </w:r>
      <w:r w:rsidR="0011397F" w:rsidRPr="0011397F">
        <w:t>n OR &lt;1 indicates performance of LBC is better than CC</w:t>
      </w:r>
    </w:p>
    <w:p w:rsidR="0013401A" w:rsidRDefault="0013401A" w:rsidP="000B08B1"/>
    <w:p w:rsidR="0013401A" w:rsidRDefault="0013401A" w:rsidP="0013401A">
      <w:r>
        <w:t>In the NETHCON tr</w:t>
      </w:r>
      <w:r w:rsidR="002252AB">
        <w:t xml:space="preserve">ial, reported by Siebers </w:t>
      </w:r>
      <w:r w:rsidR="000B08B1">
        <w:t>2008</w:t>
      </w:r>
      <w:r>
        <w:t>, the unsatisfactory rate in the</w:t>
      </w:r>
      <w:r w:rsidR="00932107">
        <w:t xml:space="preserve"> cell filtration LBC</w:t>
      </w:r>
      <w:r w:rsidR="000B08B1">
        <w:t xml:space="preserve"> arm was significantly lower </w:t>
      </w:r>
      <w:r>
        <w:t xml:space="preserve">compared </w:t>
      </w:r>
      <w:r w:rsidR="000B08B1">
        <w:t>with</w:t>
      </w:r>
      <w:r w:rsidR="00932107">
        <w:t xml:space="preserve"> </w:t>
      </w:r>
      <w:r w:rsidR="000B08B1">
        <w:t>CC</w:t>
      </w:r>
      <w:r w:rsidR="00932107">
        <w:t xml:space="preserve"> </w:t>
      </w:r>
      <w:r w:rsidR="00932107" w:rsidRPr="00DF3F71">
        <w:t>screening</w:t>
      </w:r>
      <w:r>
        <w:t xml:space="preserve"> (0.33%</w:t>
      </w:r>
      <w:r w:rsidR="00932107">
        <w:t xml:space="preserve"> </w:t>
      </w:r>
      <w:r w:rsidR="003954A4">
        <w:t>vs.</w:t>
      </w:r>
      <w:r w:rsidR="00932107">
        <w:t xml:space="preserve"> 1.11%, OR 0.29, 95% CI 0.23 to</w:t>
      </w:r>
      <w:r>
        <w:t xml:space="preserve"> 0.38).</w:t>
      </w:r>
    </w:p>
    <w:p w:rsidR="0013401A" w:rsidRDefault="0013401A" w:rsidP="0013401A">
      <w:pPr>
        <w:pStyle w:val="Caption"/>
      </w:pPr>
      <w:bookmarkStart w:id="288" w:name="_Toc331766499"/>
      <w:bookmarkStart w:id="289" w:name="_Toc335665992"/>
      <w:bookmarkStart w:id="290" w:name="_Toc337546963"/>
      <w:r>
        <w:t xml:space="preserve">Table </w:t>
      </w:r>
      <w:fldSimple w:instr=" SEQ Table \* ARABIC ">
        <w:r w:rsidR="003361A8">
          <w:rPr>
            <w:noProof/>
          </w:rPr>
          <w:t>26</w:t>
        </w:r>
      </w:fldSimple>
      <w:r>
        <w:tab/>
        <w:t>Unsatisfact</w:t>
      </w:r>
      <w:r w:rsidR="00A16B52">
        <w:t>ory rates—</w:t>
      </w:r>
      <w:r w:rsidR="002252AB">
        <w:t>CC versus</w:t>
      </w:r>
      <w:r w:rsidR="000B08B1">
        <w:t xml:space="preserve"> </w:t>
      </w:r>
      <w:r w:rsidR="001310A0">
        <w:t>cell filtration LBC</w:t>
      </w:r>
      <w:r w:rsidR="00C979F8">
        <w:t>, NETHCON trial:</w:t>
      </w:r>
      <w:r w:rsidR="000B08B1">
        <w:t xml:space="preserve"> </w:t>
      </w:r>
      <w:r w:rsidR="002252AB">
        <w:t>Siebers</w:t>
      </w:r>
      <w:r>
        <w:t xml:space="preserve"> 2008</w:t>
      </w:r>
      <w:bookmarkEnd w:id="288"/>
      <w:bookmarkEnd w:id="289"/>
      <w:bookmarkEnd w:id="29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4"/>
        <w:gridCol w:w="1614"/>
        <w:gridCol w:w="1558"/>
        <w:gridCol w:w="1732"/>
        <w:gridCol w:w="1896"/>
      </w:tblGrid>
      <w:tr w:rsidR="0013401A" w:rsidRPr="002252AB" w:rsidTr="000B08B1">
        <w:tc>
          <w:tcPr>
            <w:tcW w:w="1224" w:type="pct"/>
          </w:tcPr>
          <w:p w:rsidR="0013401A" w:rsidRPr="002252AB" w:rsidRDefault="0013401A" w:rsidP="0013401A">
            <w:pPr>
              <w:pStyle w:val="Tabletext"/>
              <w:rPr>
                <w:b/>
              </w:rPr>
            </w:pPr>
          </w:p>
        </w:tc>
        <w:tc>
          <w:tcPr>
            <w:tcW w:w="896" w:type="pct"/>
          </w:tcPr>
          <w:p w:rsidR="002252AB" w:rsidRDefault="002252AB" w:rsidP="0013401A">
            <w:pPr>
              <w:pStyle w:val="Tabletext"/>
              <w:rPr>
                <w:b/>
              </w:rPr>
            </w:pPr>
            <w:r>
              <w:rPr>
                <w:b/>
              </w:rPr>
              <w:t>CC</w:t>
            </w:r>
          </w:p>
          <w:p w:rsidR="0013401A" w:rsidRPr="002252AB" w:rsidRDefault="0013401A" w:rsidP="0013401A">
            <w:pPr>
              <w:pStyle w:val="Tabletext"/>
              <w:rPr>
                <w:b/>
              </w:rPr>
            </w:pPr>
            <w:r w:rsidRPr="002252AB">
              <w:rPr>
                <w:b/>
              </w:rPr>
              <w:t>N=39,010</w:t>
            </w:r>
          </w:p>
        </w:tc>
        <w:tc>
          <w:tcPr>
            <w:tcW w:w="865" w:type="pct"/>
          </w:tcPr>
          <w:p w:rsidR="002252AB" w:rsidRDefault="002252AB" w:rsidP="0013401A">
            <w:pPr>
              <w:pStyle w:val="Tabletext"/>
              <w:rPr>
                <w:b/>
              </w:rPr>
            </w:pPr>
            <w:r>
              <w:rPr>
                <w:b/>
              </w:rPr>
              <w:t>LBC</w:t>
            </w:r>
          </w:p>
          <w:p w:rsidR="0013401A" w:rsidRPr="002252AB" w:rsidRDefault="0013401A" w:rsidP="0013401A">
            <w:pPr>
              <w:pStyle w:val="Tabletext"/>
              <w:rPr>
                <w:b/>
              </w:rPr>
            </w:pPr>
            <w:r w:rsidRPr="002252AB">
              <w:rPr>
                <w:b/>
              </w:rPr>
              <w:t>N=46,066</w:t>
            </w:r>
          </w:p>
        </w:tc>
        <w:tc>
          <w:tcPr>
            <w:tcW w:w="962" w:type="pct"/>
          </w:tcPr>
          <w:p w:rsidR="0013401A" w:rsidRPr="002252AB" w:rsidRDefault="0013401A" w:rsidP="0013401A">
            <w:pPr>
              <w:pStyle w:val="Tabletext"/>
              <w:rPr>
                <w:b/>
              </w:rPr>
            </w:pPr>
            <w:r w:rsidRPr="002252AB">
              <w:rPr>
                <w:b/>
              </w:rPr>
              <w:t xml:space="preserve">Crude OR </w:t>
            </w:r>
            <w:r w:rsidR="00C979F8">
              <w:rPr>
                <w:b/>
              </w:rPr>
              <w:br/>
            </w:r>
            <w:r w:rsidRPr="002252AB">
              <w:rPr>
                <w:b/>
              </w:rPr>
              <w:t>(95%</w:t>
            </w:r>
            <w:r w:rsidR="00C979F8">
              <w:rPr>
                <w:b/>
              </w:rPr>
              <w:t xml:space="preserve"> </w:t>
            </w:r>
            <w:r w:rsidRPr="002252AB">
              <w:rPr>
                <w:b/>
              </w:rPr>
              <w:t>CI)</w:t>
            </w:r>
            <w:r w:rsidRPr="002252AB">
              <w:rPr>
                <w:b/>
                <w:vertAlign w:val="superscript"/>
              </w:rPr>
              <w:t>a</w:t>
            </w:r>
          </w:p>
        </w:tc>
        <w:tc>
          <w:tcPr>
            <w:tcW w:w="1053" w:type="pct"/>
          </w:tcPr>
          <w:p w:rsidR="0013401A" w:rsidRPr="002252AB" w:rsidRDefault="0013401A" w:rsidP="0013401A">
            <w:pPr>
              <w:pStyle w:val="Tabletext"/>
              <w:rPr>
                <w:b/>
              </w:rPr>
            </w:pPr>
            <w:r w:rsidRPr="002252AB">
              <w:rPr>
                <w:b/>
              </w:rPr>
              <w:t xml:space="preserve">Adjusted OR </w:t>
            </w:r>
            <w:r w:rsidR="00C979F8">
              <w:rPr>
                <w:b/>
              </w:rPr>
              <w:br/>
            </w:r>
            <w:r w:rsidRPr="002252AB">
              <w:rPr>
                <w:b/>
              </w:rPr>
              <w:t>(95%</w:t>
            </w:r>
            <w:r w:rsidR="00C979F8">
              <w:rPr>
                <w:b/>
              </w:rPr>
              <w:t xml:space="preserve"> </w:t>
            </w:r>
            <w:r w:rsidRPr="002252AB">
              <w:rPr>
                <w:b/>
              </w:rPr>
              <w:t>CI)</w:t>
            </w:r>
            <w:r w:rsidRPr="002252AB">
              <w:rPr>
                <w:b/>
                <w:vertAlign w:val="superscript"/>
              </w:rPr>
              <w:t>b</w:t>
            </w:r>
          </w:p>
        </w:tc>
      </w:tr>
      <w:tr w:rsidR="0013401A" w:rsidTr="000B08B1">
        <w:tc>
          <w:tcPr>
            <w:tcW w:w="1224" w:type="pct"/>
          </w:tcPr>
          <w:p w:rsidR="0013401A" w:rsidRDefault="0013401A" w:rsidP="0013401A">
            <w:pPr>
              <w:pStyle w:val="Tabletext"/>
            </w:pPr>
          </w:p>
        </w:tc>
        <w:tc>
          <w:tcPr>
            <w:tcW w:w="896" w:type="pct"/>
          </w:tcPr>
          <w:p w:rsidR="0013401A" w:rsidRDefault="0013401A" w:rsidP="0013401A">
            <w:pPr>
              <w:pStyle w:val="Tabletext"/>
            </w:pPr>
            <w:proofErr w:type="gramStart"/>
            <w:r>
              <w:t>n</w:t>
            </w:r>
            <w:proofErr w:type="gramEnd"/>
            <w:r>
              <w:t xml:space="preserve"> (%)</w:t>
            </w:r>
          </w:p>
        </w:tc>
        <w:tc>
          <w:tcPr>
            <w:tcW w:w="865" w:type="pct"/>
          </w:tcPr>
          <w:p w:rsidR="0013401A" w:rsidRDefault="0013401A" w:rsidP="0013401A">
            <w:pPr>
              <w:pStyle w:val="Tabletext"/>
            </w:pPr>
            <w:proofErr w:type="gramStart"/>
            <w:r>
              <w:t>n</w:t>
            </w:r>
            <w:proofErr w:type="gramEnd"/>
            <w:r>
              <w:t xml:space="preserve"> (%)</w:t>
            </w:r>
          </w:p>
        </w:tc>
        <w:tc>
          <w:tcPr>
            <w:tcW w:w="962" w:type="pct"/>
          </w:tcPr>
          <w:p w:rsidR="0013401A" w:rsidRDefault="0013401A" w:rsidP="0013401A">
            <w:pPr>
              <w:pStyle w:val="Tabletext"/>
            </w:pPr>
          </w:p>
        </w:tc>
        <w:tc>
          <w:tcPr>
            <w:tcW w:w="1053" w:type="pct"/>
          </w:tcPr>
          <w:p w:rsidR="0013401A" w:rsidRDefault="0013401A" w:rsidP="0013401A">
            <w:pPr>
              <w:pStyle w:val="Tabletext"/>
            </w:pPr>
          </w:p>
        </w:tc>
      </w:tr>
      <w:tr w:rsidR="0013401A" w:rsidTr="000B08B1">
        <w:tc>
          <w:tcPr>
            <w:tcW w:w="1224" w:type="pct"/>
          </w:tcPr>
          <w:p w:rsidR="0013401A" w:rsidRDefault="0013401A" w:rsidP="0013401A">
            <w:pPr>
              <w:pStyle w:val="Tabletext"/>
            </w:pPr>
            <w:r>
              <w:t xml:space="preserve">Unsatisfactory </w:t>
            </w:r>
          </w:p>
        </w:tc>
        <w:tc>
          <w:tcPr>
            <w:tcW w:w="896" w:type="pct"/>
          </w:tcPr>
          <w:p w:rsidR="0013401A" w:rsidRDefault="0013401A" w:rsidP="0013401A">
            <w:pPr>
              <w:pStyle w:val="Tabletext"/>
            </w:pPr>
            <w:r>
              <w:t>434 (1.11)</w:t>
            </w:r>
          </w:p>
        </w:tc>
        <w:tc>
          <w:tcPr>
            <w:tcW w:w="865" w:type="pct"/>
          </w:tcPr>
          <w:p w:rsidR="0013401A" w:rsidRDefault="0013401A" w:rsidP="0013401A">
            <w:pPr>
              <w:pStyle w:val="Tabletext"/>
            </w:pPr>
            <w:r>
              <w:t>153 (0.33)</w:t>
            </w:r>
          </w:p>
        </w:tc>
        <w:tc>
          <w:tcPr>
            <w:tcW w:w="962" w:type="pct"/>
          </w:tcPr>
          <w:p w:rsidR="0013401A" w:rsidRDefault="000B08B1" w:rsidP="0013401A">
            <w:pPr>
              <w:pStyle w:val="Tabletext"/>
            </w:pPr>
            <w:r>
              <w:t xml:space="preserve">0.30 (0.23, </w:t>
            </w:r>
            <w:r w:rsidR="0013401A">
              <w:t>0.38)</w:t>
            </w:r>
          </w:p>
        </w:tc>
        <w:tc>
          <w:tcPr>
            <w:tcW w:w="1053" w:type="pct"/>
          </w:tcPr>
          <w:p w:rsidR="0013401A" w:rsidRDefault="000B08B1" w:rsidP="0013401A">
            <w:pPr>
              <w:pStyle w:val="Tabletext"/>
            </w:pPr>
            <w:r>
              <w:t xml:space="preserve">0.29 (0.22, </w:t>
            </w:r>
            <w:r w:rsidR="0013401A">
              <w:t>0.37)</w:t>
            </w:r>
          </w:p>
        </w:tc>
      </w:tr>
      <w:tr w:rsidR="0013401A" w:rsidTr="000B08B1">
        <w:tc>
          <w:tcPr>
            <w:tcW w:w="5000" w:type="pct"/>
            <w:gridSpan w:val="5"/>
          </w:tcPr>
          <w:p w:rsidR="0013401A" w:rsidRDefault="002252AB" w:rsidP="0013401A">
            <w:pPr>
              <w:pStyle w:val="Tabletext"/>
            </w:pPr>
            <w:r>
              <w:t>Source: Siebers 2008 Table 2,</w:t>
            </w:r>
            <w:r w:rsidR="0013401A">
              <w:t xml:space="preserve"> Table 3</w:t>
            </w:r>
          </w:p>
        </w:tc>
      </w:tr>
    </w:tbl>
    <w:p w:rsidR="0011397F" w:rsidRDefault="00C979F8" w:rsidP="00C979F8">
      <w:pPr>
        <w:pStyle w:val="Tabletext"/>
      </w:pPr>
      <w:r>
        <w:t>Abbreviations: CI, confidence interval; CC, conventional cytology; LBC, liquid-based cytology; OR, odds ratio</w:t>
      </w:r>
    </w:p>
    <w:p w:rsidR="0013401A" w:rsidRDefault="0011397F" w:rsidP="00C979F8">
      <w:pPr>
        <w:pStyle w:val="Tabletext"/>
        <w:rPr>
          <w:highlight w:val="yellow"/>
        </w:rPr>
      </w:pPr>
      <w:r w:rsidRPr="0011397F">
        <w:t>An OR &lt;1 indicates performance of LBC is better than CC</w:t>
      </w:r>
      <w:r w:rsidR="00C979F8">
        <w:br/>
      </w:r>
    </w:p>
    <w:p w:rsidR="0013401A" w:rsidRDefault="0013401A" w:rsidP="0013401A">
      <w:r>
        <w:t>The number of inadequate sme</w:t>
      </w:r>
      <w:r w:rsidR="002252AB">
        <w:t xml:space="preserve">ars reported by Strander </w:t>
      </w:r>
      <w:r w:rsidR="001A05B2">
        <w:t>2007</w:t>
      </w:r>
      <w:r>
        <w:t xml:space="preserve"> was significantly lower with </w:t>
      </w:r>
      <w:r w:rsidR="00932107">
        <w:t xml:space="preserve">cell filtration </w:t>
      </w:r>
      <w:r>
        <w:t xml:space="preserve">LBC specimens compared </w:t>
      </w:r>
      <w:r w:rsidR="00932107">
        <w:t xml:space="preserve">to </w:t>
      </w:r>
      <w:r w:rsidR="001A05B2">
        <w:t>CC</w:t>
      </w:r>
      <w:r w:rsidR="00932107">
        <w:t xml:space="preserve"> </w:t>
      </w:r>
      <w:r w:rsidR="00932107" w:rsidRPr="00DF3F71">
        <w:t>screening</w:t>
      </w:r>
      <w:r>
        <w:t xml:space="preserve"> (0.</w:t>
      </w:r>
      <w:r w:rsidR="00932107">
        <w:t xml:space="preserve">3% </w:t>
      </w:r>
      <w:r w:rsidR="003954A4">
        <w:t>vs.</w:t>
      </w:r>
      <w:r w:rsidR="00932107">
        <w:t xml:space="preserve"> 0.7%, OR 0.47, </w:t>
      </w:r>
      <w:r w:rsidR="005E0D57">
        <w:t>95% CI</w:t>
      </w:r>
      <w:r w:rsidR="00932107">
        <w:t xml:space="preserve"> 0.27 to </w:t>
      </w:r>
      <w:r>
        <w:t>0.82).</w:t>
      </w:r>
    </w:p>
    <w:p w:rsidR="0013401A" w:rsidRDefault="0013401A" w:rsidP="0013401A">
      <w:pPr>
        <w:pStyle w:val="Caption"/>
        <w:rPr>
          <w:b w:val="0"/>
        </w:rPr>
      </w:pPr>
      <w:bookmarkStart w:id="291" w:name="_Toc331766501"/>
      <w:bookmarkStart w:id="292" w:name="_Toc335665993"/>
      <w:bookmarkStart w:id="293" w:name="_Toc337546964"/>
      <w:r>
        <w:t xml:space="preserve">Table </w:t>
      </w:r>
      <w:fldSimple w:instr=" SEQ Table \* ARABIC ">
        <w:r w:rsidR="003361A8">
          <w:rPr>
            <w:noProof/>
          </w:rPr>
          <w:t>27</w:t>
        </w:r>
      </w:fldSimple>
      <w:r>
        <w:tab/>
        <w:t>Unsatisfact</w:t>
      </w:r>
      <w:r w:rsidR="00A16B52">
        <w:t>ory rates—</w:t>
      </w:r>
      <w:r w:rsidR="002252AB">
        <w:t>CC versus</w:t>
      </w:r>
      <w:r w:rsidR="001310A0">
        <w:t xml:space="preserve"> cell filtration LBC</w:t>
      </w:r>
      <w:r w:rsidR="00C979F8">
        <w:t>:</w:t>
      </w:r>
      <w:r w:rsidR="002252AB">
        <w:t xml:space="preserve"> Strander</w:t>
      </w:r>
      <w:r>
        <w:t xml:space="preserve"> 2007</w:t>
      </w:r>
      <w:bookmarkEnd w:id="291"/>
      <w:bookmarkEnd w:id="292"/>
      <w:bookmarkEnd w:id="29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93"/>
        <w:gridCol w:w="1623"/>
        <w:gridCol w:w="1513"/>
        <w:gridCol w:w="1763"/>
        <w:gridCol w:w="1912"/>
      </w:tblGrid>
      <w:tr w:rsidR="0013401A" w:rsidRPr="002252AB" w:rsidTr="00C979F8">
        <w:tc>
          <w:tcPr>
            <w:tcW w:w="1218" w:type="pct"/>
          </w:tcPr>
          <w:p w:rsidR="0013401A" w:rsidRPr="002252AB" w:rsidRDefault="0013401A" w:rsidP="0013401A">
            <w:pPr>
              <w:pStyle w:val="Tabletext"/>
              <w:rPr>
                <w:b/>
              </w:rPr>
            </w:pPr>
            <w:r w:rsidRPr="002252AB">
              <w:rPr>
                <w:b/>
              </w:rPr>
              <w:t>Trial</w:t>
            </w:r>
          </w:p>
        </w:tc>
        <w:tc>
          <w:tcPr>
            <w:tcW w:w="901" w:type="pct"/>
          </w:tcPr>
          <w:p w:rsidR="002252AB" w:rsidRDefault="002252AB" w:rsidP="0013401A">
            <w:pPr>
              <w:pStyle w:val="Tabletext"/>
              <w:rPr>
                <w:b/>
              </w:rPr>
            </w:pPr>
            <w:r>
              <w:rPr>
                <w:b/>
              </w:rPr>
              <w:t>CC</w:t>
            </w:r>
            <w:r w:rsidR="00920E83" w:rsidRPr="002252AB">
              <w:rPr>
                <w:b/>
              </w:rPr>
              <w:t xml:space="preserve"> </w:t>
            </w:r>
          </w:p>
          <w:p w:rsidR="0013401A" w:rsidRPr="002252AB" w:rsidRDefault="0013401A" w:rsidP="0013401A">
            <w:pPr>
              <w:pStyle w:val="Tabletext"/>
              <w:rPr>
                <w:b/>
              </w:rPr>
            </w:pPr>
            <w:r w:rsidRPr="002252AB">
              <w:rPr>
                <w:b/>
              </w:rPr>
              <w:t>n</w:t>
            </w:r>
            <w:r w:rsidRPr="002252AB">
              <w:rPr>
                <w:b/>
                <w:vertAlign w:val="superscript"/>
              </w:rPr>
              <w:t>a</w:t>
            </w:r>
            <w:r w:rsidRPr="002252AB">
              <w:rPr>
                <w:b/>
              </w:rPr>
              <w:t>/</w:t>
            </w:r>
            <w:proofErr w:type="gramStart"/>
            <w:r w:rsidRPr="002252AB">
              <w:rPr>
                <w:b/>
              </w:rPr>
              <w:t>N(</w:t>
            </w:r>
            <w:proofErr w:type="gramEnd"/>
            <w:r w:rsidRPr="002252AB">
              <w:rPr>
                <w:b/>
              </w:rPr>
              <w:t>%)</w:t>
            </w:r>
          </w:p>
        </w:tc>
        <w:tc>
          <w:tcPr>
            <w:tcW w:w="840" w:type="pct"/>
          </w:tcPr>
          <w:p w:rsidR="002252AB" w:rsidRDefault="00920E83" w:rsidP="0013401A">
            <w:pPr>
              <w:pStyle w:val="Tabletext"/>
              <w:rPr>
                <w:b/>
              </w:rPr>
            </w:pPr>
            <w:r w:rsidRPr="002252AB">
              <w:rPr>
                <w:b/>
              </w:rPr>
              <w:t>LBC</w:t>
            </w:r>
          </w:p>
          <w:p w:rsidR="0013401A" w:rsidRPr="002252AB" w:rsidRDefault="0013401A" w:rsidP="0013401A">
            <w:pPr>
              <w:pStyle w:val="Tabletext"/>
              <w:rPr>
                <w:b/>
              </w:rPr>
            </w:pPr>
            <w:r w:rsidRPr="002252AB">
              <w:rPr>
                <w:b/>
              </w:rPr>
              <w:t>n</w:t>
            </w:r>
            <w:r w:rsidRPr="002252AB">
              <w:rPr>
                <w:b/>
                <w:vertAlign w:val="superscript"/>
              </w:rPr>
              <w:t>a</w:t>
            </w:r>
            <w:r w:rsidRPr="002252AB">
              <w:rPr>
                <w:b/>
              </w:rPr>
              <w:t>/</w:t>
            </w:r>
            <w:proofErr w:type="gramStart"/>
            <w:r w:rsidRPr="002252AB">
              <w:rPr>
                <w:b/>
              </w:rPr>
              <w:t>N(</w:t>
            </w:r>
            <w:proofErr w:type="gramEnd"/>
            <w:r w:rsidRPr="002252AB">
              <w:rPr>
                <w:b/>
              </w:rPr>
              <w:t>%)</w:t>
            </w:r>
          </w:p>
        </w:tc>
        <w:tc>
          <w:tcPr>
            <w:tcW w:w="979" w:type="pct"/>
          </w:tcPr>
          <w:p w:rsidR="0013401A" w:rsidRPr="002252AB" w:rsidRDefault="002252AB" w:rsidP="0013401A">
            <w:pPr>
              <w:pStyle w:val="Tabletext"/>
              <w:rPr>
                <w:b/>
              </w:rPr>
            </w:pPr>
            <w:r>
              <w:rPr>
                <w:b/>
              </w:rPr>
              <w:t>Risk d</w:t>
            </w:r>
            <w:r w:rsidR="0013401A" w:rsidRPr="002252AB">
              <w:rPr>
                <w:b/>
              </w:rPr>
              <w:t>ifference (95%</w:t>
            </w:r>
            <w:r w:rsidR="00C979F8">
              <w:rPr>
                <w:b/>
              </w:rPr>
              <w:t xml:space="preserve"> </w:t>
            </w:r>
            <w:r w:rsidR="0013401A" w:rsidRPr="002252AB">
              <w:rPr>
                <w:b/>
              </w:rPr>
              <w:t>CI)</w:t>
            </w:r>
          </w:p>
        </w:tc>
        <w:tc>
          <w:tcPr>
            <w:tcW w:w="1062" w:type="pct"/>
          </w:tcPr>
          <w:p w:rsidR="0013401A" w:rsidRPr="002252AB" w:rsidRDefault="002252AB" w:rsidP="0013401A">
            <w:pPr>
              <w:pStyle w:val="Tabletext"/>
              <w:rPr>
                <w:b/>
              </w:rPr>
            </w:pPr>
            <w:r>
              <w:rPr>
                <w:b/>
              </w:rPr>
              <w:t>Odds r</w:t>
            </w:r>
            <w:r w:rsidR="0013401A" w:rsidRPr="002252AB">
              <w:rPr>
                <w:b/>
              </w:rPr>
              <w:t>atio (</w:t>
            </w:r>
            <w:r w:rsidR="005E0D57">
              <w:rPr>
                <w:b/>
              </w:rPr>
              <w:t>95% CI</w:t>
            </w:r>
            <w:r w:rsidR="0013401A" w:rsidRPr="002252AB">
              <w:rPr>
                <w:b/>
              </w:rPr>
              <w:t>)</w:t>
            </w:r>
          </w:p>
        </w:tc>
      </w:tr>
      <w:tr w:rsidR="0013401A" w:rsidTr="00C979F8">
        <w:tc>
          <w:tcPr>
            <w:tcW w:w="1218" w:type="pct"/>
          </w:tcPr>
          <w:p w:rsidR="0013401A" w:rsidRDefault="0013401A" w:rsidP="001A05B2">
            <w:pPr>
              <w:pStyle w:val="Tabletext"/>
            </w:pPr>
            <w:r>
              <w:t>Inadequate</w:t>
            </w:r>
            <w:r w:rsidR="001A05B2">
              <w:t xml:space="preserve"> smears</w:t>
            </w:r>
          </w:p>
        </w:tc>
        <w:tc>
          <w:tcPr>
            <w:tcW w:w="901" w:type="pct"/>
          </w:tcPr>
          <w:p w:rsidR="0013401A" w:rsidRDefault="0013401A" w:rsidP="0013401A">
            <w:pPr>
              <w:pStyle w:val="Tabletext"/>
            </w:pPr>
            <w:r>
              <w:t>62/8810 (0.7)</w:t>
            </w:r>
          </w:p>
        </w:tc>
        <w:tc>
          <w:tcPr>
            <w:tcW w:w="840" w:type="pct"/>
          </w:tcPr>
          <w:p w:rsidR="0013401A" w:rsidRDefault="0013401A" w:rsidP="0013401A">
            <w:pPr>
              <w:pStyle w:val="Tabletext"/>
            </w:pPr>
            <w:r>
              <w:t>14/4674 (0.3)</w:t>
            </w:r>
          </w:p>
        </w:tc>
        <w:tc>
          <w:tcPr>
            <w:tcW w:w="979" w:type="pct"/>
          </w:tcPr>
          <w:p w:rsidR="0013401A" w:rsidRDefault="0013401A" w:rsidP="0013401A">
            <w:pPr>
              <w:pStyle w:val="Tabletext"/>
            </w:pPr>
            <w:r>
              <w:t>0.00 (0.00, 0.01)</w:t>
            </w:r>
          </w:p>
        </w:tc>
        <w:tc>
          <w:tcPr>
            <w:tcW w:w="1062" w:type="pct"/>
          </w:tcPr>
          <w:p w:rsidR="0013401A" w:rsidRDefault="001A05B2" w:rsidP="0013401A">
            <w:pPr>
              <w:pStyle w:val="Tabletext"/>
            </w:pPr>
            <w:r>
              <w:t>0.47 (0.27,</w:t>
            </w:r>
            <w:r w:rsidR="0013401A">
              <w:t xml:space="preserve"> 0.82)</w:t>
            </w:r>
          </w:p>
        </w:tc>
      </w:tr>
      <w:tr w:rsidR="0013401A" w:rsidTr="001A05B2">
        <w:tc>
          <w:tcPr>
            <w:tcW w:w="5000" w:type="pct"/>
            <w:gridSpan w:val="5"/>
          </w:tcPr>
          <w:p w:rsidR="0013401A" w:rsidRDefault="001A05B2" w:rsidP="0013401A">
            <w:pPr>
              <w:pStyle w:val="Tabletext"/>
            </w:pPr>
            <w:r>
              <w:t xml:space="preserve">Source: Strander </w:t>
            </w:r>
            <w:r w:rsidR="0013401A">
              <w:t>2007 Table 2, p.287</w:t>
            </w:r>
          </w:p>
        </w:tc>
      </w:tr>
    </w:tbl>
    <w:p w:rsidR="0013401A" w:rsidRDefault="00C979F8" w:rsidP="001310A0">
      <w:pPr>
        <w:pStyle w:val="Tabletext"/>
      </w:pPr>
      <w:r>
        <w:t>Abbreviations: CI, confidence interval; CC, conventional cytology; LBC, liquid-based cytology</w:t>
      </w:r>
      <w:r>
        <w:br/>
      </w:r>
      <w:r w:rsidR="001A05B2">
        <w:t>a.</w:t>
      </w:r>
      <w:r w:rsidR="0013401A" w:rsidRPr="00944AAF">
        <w:t xml:space="preserve"> manually back calculated from pe</w:t>
      </w:r>
      <w:r w:rsidR="00A16B52">
        <w:t>rcentages presented in Strander</w:t>
      </w:r>
      <w:r w:rsidR="0013401A" w:rsidRPr="00944AAF">
        <w:t xml:space="preserve"> 2007, Table 2. A rounding error is apparent within the percentage yield presented for Pap smear arm totalling 100.1% resulting in a back calculation total N of 8819, that is 0.001% off the reported N of 8810. For LBC calculations N determined as 4673 one less than the number </w:t>
      </w:r>
      <w:r w:rsidR="001A05B2">
        <w:t>reported in Table 1, 4674</w:t>
      </w:r>
    </w:p>
    <w:p w:rsidR="0011397F" w:rsidRPr="00944AAF" w:rsidRDefault="0011397F" w:rsidP="001310A0">
      <w:pPr>
        <w:pStyle w:val="Tabletext"/>
      </w:pPr>
      <w:r w:rsidRPr="0011397F">
        <w:t>An OR &lt;1 indicates performance of LBC is better than CC</w:t>
      </w:r>
    </w:p>
    <w:p w:rsidR="0013401A" w:rsidRDefault="0013401A" w:rsidP="001A05B2">
      <w:pPr>
        <w:rPr>
          <w:highlight w:val="yellow"/>
        </w:rPr>
      </w:pPr>
    </w:p>
    <w:p w:rsidR="0013401A" w:rsidRDefault="0013401A" w:rsidP="0013401A">
      <w:r>
        <w:lastRenderedPageBreak/>
        <w:t>The number of inadequate smea</w:t>
      </w:r>
      <w:r w:rsidR="002252AB">
        <w:t>rs reported by Maccallini</w:t>
      </w:r>
      <w:r w:rsidR="001A05B2">
        <w:t xml:space="preserve"> 2008</w:t>
      </w:r>
      <w:r>
        <w:t xml:space="preserve"> was significantly lower with </w:t>
      </w:r>
      <w:r w:rsidR="00932107">
        <w:t xml:space="preserve">cell filtration </w:t>
      </w:r>
      <w:r>
        <w:t xml:space="preserve">LBC specimens compared </w:t>
      </w:r>
      <w:r w:rsidR="00932107">
        <w:t xml:space="preserve">to </w:t>
      </w:r>
      <w:r w:rsidR="001A05B2">
        <w:t>CC</w:t>
      </w:r>
      <w:r w:rsidR="00932107">
        <w:t xml:space="preserve"> </w:t>
      </w:r>
      <w:r w:rsidR="00932107" w:rsidRPr="00DF3F71">
        <w:t>screening</w:t>
      </w:r>
      <w:r>
        <w:t xml:space="preserve"> (1.3% </w:t>
      </w:r>
      <w:r w:rsidR="003954A4">
        <w:t>vs.</w:t>
      </w:r>
      <w:r>
        <w:t xml:space="preserve"> 4.3%, OR 0.29, 95%</w:t>
      </w:r>
      <w:r w:rsidR="002252AB">
        <w:t xml:space="preserve"> </w:t>
      </w:r>
      <w:r>
        <w:t>CI 0.22</w:t>
      </w:r>
      <w:r w:rsidR="00932107">
        <w:t xml:space="preserve"> to </w:t>
      </w:r>
      <w:r>
        <w:t>0.40</w:t>
      </w:r>
      <w:r w:rsidR="001A05B2">
        <w:t xml:space="preserve">; </w:t>
      </w:r>
      <w:r w:rsidR="00086C77">
        <w:fldChar w:fldCharType="begin"/>
      </w:r>
      <w:r>
        <w:instrText xml:space="preserve"> REF _Ref332835153 \h </w:instrText>
      </w:r>
      <w:r w:rsidR="00086C77">
        <w:fldChar w:fldCharType="separate"/>
      </w:r>
      <w:r w:rsidR="003361A8">
        <w:t xml:space="preserve">Table </w:t>
      </w:r>
      <w:r w:rsidR="003361A8">
        <w:rPr>
          <w:noProof/>
        </w:rPr>
        <w:t>28</w:t>
      </w:r>
      <w:r w:rsidR="00086C77">
        <w:fldChar w:fldCharType="end"/>
      </w:r>
      <w:r>
        <w:t>).</w:t>
      </w:r>
      <w:r w:rsidR="003D64A7">
        <w:t xml:space="preserve"> Most inadequacy reports at LBC were caused by the absence of endocervical cells (LBC=42/58, 72%), which was much less frequent among inadequacies at </w:t>
      </w:r>
      <w:r w:rsidR="001A05B2">
        <w:t>CC screening</w:t>
      </w:r>
      <w:r w:rsidR="003D64A7">
        <w:t xml:space="preserve"> (CCT=7/178, 4%) </w:t>
      </w:r>
      <w:proofErr w:type="gramStart"/>
      <w:r w:rsidR="003D64A7">
        <w:t>(Macc</w:t>
      </w:r>
      <w:r w:rsidR="002252AB">
        <w:t xml:space="preserve">allini </w:t>
      </w:r>
      <w:r w:rsidR="003D64A7">
        <w:t>2008 p.</w:t>
      </w:r>
      <w:r w:rsidR="002252AB">
        <w:t xml:space="preserve"> </w:t>
      </w:r>
      <w:r w:rsidR="003D64A7">
        <w:t>571).</w:t>
      </w:r>
      <w:proofErr w:type="gramEnd"/>
    </w:p>
    <w:p w:rsidR="0013401A" w:rsidRDefault="0013401A" w:rsidP="0013401A">
      <w:pPr>
        <w:pStyle w:val="Caption"/>
        <w:rPr>
          <w:b w:val="0"/>
        </w:rPr>
      </w:pPr>
      <w:bookmarkStart w:id="294" w:name="_Ref332835153"/>
      <w:bookmarkStart w:id="295" w:name="_Toc331766502"/>
      <w:bookmarkStart w:id="296" w:name="_Toc335665994"/>
      <w:bookmarkStart w:id="297" w:name="_Toc337546965"/>
      <w:r>
        <w:t xml:space="preserve">Table </w:t>
      </w:r>
      <w:fldSimple w:instr=" SEQ Table \* ARABIC ">
        <w:r w:rsidR="003361A8">
          <w:rPr>
            <w:noProof/>
          </w:rPr>
          <w:t>28</w:t>
        </w:r>
      </w:fldSimple>
      <w:bookmarkEnd w:id="294"/>
      <w:r>
        <w:t xml:space="preserve"> </w:t>
      </w:r>
      <w:r>
        <w:tab/>
        <w:t>Unsatisfact</w:t>
      </w:r>
      <w:r w:rsidR="00A16B52">
        <w:t>ory rates—</w:t>
      </w:r>
      <w:r w:rsidR="002252AB">
        <w:t xml:space="preserve">CC versus </w:t>
      </w:r>
      <w:r w:rsidR="001310A0">
        <w:t>cell filtration LBC</w:t>
      </w:r>
      <w:r w:rsidR="00C979F8">
        <w:t>:</w:t>
      </w:r>
      <w:r w:rsidR="002252AB">
        <w:t xml:space="preserve"> Maccallini </w:t>
      </w:r>
      <w:r>
        <w:t>2008</w:t>
      </w:r>
      <w:bookmarkEnd w:id="295"/>
      <w:bookmarkEnd w:id="296"/>
      <w:bookmarkEnd w:id="29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1559"/>
        <w:gridCol w:w="1558"/>
        <w:gridCol w:w="1653"/>
        <w:gridCol w:w="1999"/>
      </w:tblGrid>
      <w:tr w:rsidR="0013401A" w:rsidRPr="002252AB" w:rsidTr="001A05B2">
        <w:tc>
          <w:tcPr>
            <w:tcW w:w="1241" w:type="pct"/>
          </w:tcPr>
          <w:p w:rsidR="0013401A" w:rsidRPr="002252AB" w:rsidRDefault="0013401A" w:rsidP="0013401A">
            <w:pPr>
              <w:pStyle w:val="Tabletext"/>
              <w:rPr>
                <w:b/>
              </w:rPr>
            </w:pPr>
            <w:r w:rsidRPr="002252AB">
              <w:rPr>
                <w:b/>
              </w:rPr>
              <w:t>Trial</w:t>
            </w:r>
          </w:p>
        </w:tc>
        <w:tc>
          <w:tcPr>
            <w:tcW w:w="866" w:type="pct"/>
          </w:tcPr>
          <w:p w:rsidR="002252AB" w:rsidRDefault="002252AB" w:rsidP="0013401A">
            <w:pPr>
              <w:pStyle w:val="Tabletext"/>
              <w:rPr>
                <w:b/>
              </w:rPr>
            </w:pPr>
            <w:r>
              <w:rPr>
                <w:b/>
              </w:rPr>
              <w:t>CC</w:t>
            </w:r>
            <w:r w:rsidR="0013401A" w:rsidRPr="002252AB">
              <w:rPr>
                <w:b/>
              </w:rPr>
              <w:t xml:space="preserve"> </w:t>
            </w:r>
          </w:p>
          <w:p w:rsidR="0013401A" w:rsidRPr="002252AB" w:rsidRDefault="0013401A" w:rsidP="0013401A">
            <w:pPr>
              <w:pStyle w:val="Tabletext"/>
              <w:rPr>
                <w:b/>
              </w:rPr>
            </w:pPr>
            <w:r w:rsidRPr="002252AB">
              <w:rPr>
                <w:b/>
              </w:rPr>
              <w:t>n</w:t>
            </w:r>
            <w:r w:rsidRPr="002252AB">
              <w:rPr>
                <w:b/>
                <w:vertAlign w:val="superscript"/>
              </w:rPr>
              <w:t>a</w:t>
            </w:r>
            <w:r w:rsidRPr="002252AB">
              <w:rPr>
                <w:b/>
              </w:rPr>
              <w:t>/</w:t>
            </w:r>
            <w:proofErr w:type="gramStart"/>
            <w:r w:rsidRPr="002252AB">
              <w:rPr>
                <w:b/>
              </w:rPr>
              <w:t>N(</w:t>
            </w:r>
            <w:proofErr w:type="gramEnd"/>
            <w:r w:rsidRPr="002252AB">
              <w:rPr>
                <w:b/>
              </w:rPr>
              <w:t>%)</w:t>
            </w:r>
          </w:p>
        </w:tc>
        <w:tc>
          <w:tcPr>
            <w:tcW w:w="865" w:type="pct"/>
          </w:tcPr>
          <w:p w:rsidR="002252AB" w:rsidRDefault="00920E83" w:rsidP="0013401A">
            <w:pPr>
              <w:pStyle w:val="Tabletext"/>
              <w:rPr>
                <w:b/>
              </w:rPr>
            </w:pPr>
            <w:r w:rsidRPr="002252AB">
              <w:rPr>
                <w:b/>
              </w:rPr>
              <w:t>LBC</w:t>
            </w:r>
          </w:p>
          <w:p w:rsidR="0013401A" w:rsidRPr="002252AB" w:rsidRDefault="0013401A" w:rsidP="0013401A">
            <w:pPr>
              <w:pStyle w:val="Tabletext"/>
              <w:rPr>
                <w:b/>
              </w:rPr>
            </w:pPr>
            <w:r w:rsidRPr="002252AB">
              <w:rPr>
                <w:b/>
              </w:rPr>
              <w:t>n</w:t>
            </w:r>
            <w:r w:rsidRPr="002252AB">
              <w:rPr>
                <w:b/>
                <w:vertAlign w:val="superscript"/>
              </w:rPr>
              <w:t>a</w:t>
            </w:r>
            <w:r w:rsidRPr="002252AB">
              <w:rPr>
                <w:b/>
              </w:rPr>
              <w:t>/</w:t>
            </w:r>
            <w:proofErr w:type="gramStart"/>
            <w:r w:rsidRPr="002252AB">
              <w:rPr>
                <w:b/>
              </w:rPr>
              <w:t>N(</w:t>
            </w:r>
            <w:proofErr w:type="gramEnd"/>
            <w:r w:rsidRPr="002252AB">
              <w:rPr>
                <w:b/>
              </w:rPr>
              <w:t>%)</w:t>
            </w:r>
          </w:p>
        </w:tc>
        <w:tc>
          <w:tcPr>
            <w:tcW w:w="918" w:type="pct"/>
          </w:tcPr>
          <w:p w:rsidR="0013401A" w:rsidRPr="002252AB" w:rsidRDefault="002252AB" w:rsidP="0013401A">
            <w:pPr>
              <w:pStyle w:val="Tabletext"/>
              <w:rPr>
                <w:b/>
              </w:rPr>
            </w:pPr>
            <w:r>
              <w:rPr>
                <w:b/>
              </w:rPr>
              <w:t>Risk d</w:t>
            </w:r>
            <w:r w:rsidR="0013401A" w:rsidRPr="002252AB">
              <w:rPr>
                <w:b/>
              </w:rPr>
              <w:t>ifference (</w:t>
            </w:r>
            <w:r w:rsidR="005E0D57">
              <w:rPr>
                <w:b/>
              </w:rPr>
              <w:t>95% CI</w:t>
            </w:r>
            <w:r w:rsidR="0013401A" w:rsidRPr="002252AB">
              <w:rPr>
                <w:b/>
              </w:rPr>
              <w:t>)</w:t>
            </w:r>
          </w:p>
        </w:tc>
        <w:tc>
          <w:tcPr>
            <w:tcW w:w="1110" w:type="pct"/>
          </w:tcPr>
          <w:p w:rsidR="0013401A" w:rsidRPr="002252AB" w:rsidRDefault="002252AB" w:rsidP="0013401A">
            <w:pPr>
              <w:pStyle w:val="Tabletext"/>
              <w:rPr>
                <w:b/>
              </w:rPr>
            </w:pPr>
            <w:r>
              <w:rPr>
                <w:b/>
              </w:rPr>
              <w:t>Odds r</w:t>
            </w:r>
            <w:r w:rsidR="0013401A" w:rsidRPr="002252AB">
              <w:rPr>
                <w:b/>
              </w:rPr>
              <w:t>atio</w:t>
            </w:r>
            <w:r w:rsidR="0013401A" w:rsidRPr="002252AB">
              <w:rPr>
                <w:b/>
                <w:vertAlign w:val="superscript"/>
              </w:rPr>
              <w:t>b</w:t>
            </w:r>
            <w:r w:rsidR="0013401A" w:rsidRPr="002252AB">
              <w:rPr>
                <w:b/>
              </w:rPr>
              <w:t xml:space="preserve"> (</w:t>
            </w:r>
            <w:r w:rsidR="005E0D57">
              <w:rPr>
                <w:b/>
              </w:rPr>
              <w:t>95% CI</w:t>
            </w:r>
            <w:r w:rsidR="0013401A" w:rsidRPr="002252AB">
              <w:rPr>
                <w:b/>
              </w:rPr>
              <w:t>)</w:t>
            </w:r>
          </w:p>
        </w:tc>
      </w:tr>
      <w:tr w:rsidR="0013401A" w:rsidTr="001A05B2">
        <w:tc>
          <w:tcPr>
            <w:tcW w:w="1241" w:type="pct"/>
          </w:tcPr>
          <w:p w:rsidR="0013401A" w:rsidRDefault="0013401A" w:rsidP="0013401A">
            <w:pPr>
              <w:pStyle w:val="Tabletext"/>
            </w:pPr>
            <w:r>
              <w:t>Inadequate smears</w:t>
            </w:r>
          </w:p>
        </w:tc>
        <w:tc>
          <w:tcPr>
            <w:tcW w:w="866" w:type="pct"/>
          </w:tcPr>
          <w:p w:rsidR="0013401A" w:rsidRDefault="0013401A" w:rsidP="0013401A">
            <w:pPr>
              <w:pStyle w:val="Tabletext"/>
            </w:pPr>
            <w:r>
              <w:t>185/4299 (4.3)</w:t>
            </w:r>
          </w:p>
        </w:tc>
        <w:tc>
          <w:tcPr>
            <w:tcW w:w="865" w:type="pct"/>
          </w:tcPr>
          <w:p w:rsidR="0013401A" w:rsidRDefault="0013401A" w:rsidP="0013401A">
            <w:pPr>
              <w:pStyle w:val="Tabletext"/>
            </w:pPr>
            <w:r>
              <w:t>57/4355 (1.3)</w:t>
            </w:r>
          </w:p>
        </w:tc>
        <w:tc>
          <w:tcPr>
            <w:tcW w:w="918" w:type="pct"/>
          </w:tcPr>
          <w:p w:rsidR="0013401A" w:rsidRDefault="0013401A" w:rsidP="0013401A">
            <w:pPr>
              <w:pStyle w:val="Tabletext"/>
            </w:pPr>
            <w:r>
              <w:t>-0.03 (-0.04, -0.02)</w:t>
            </w:r>
          </w:p>
        </w:tc>
        <w:tc>
          <w:tcPr>
            <w:tcW w:w="1110" w:type="pct"/>
          </w:tcPr>
          <w:p w:rsidR="0013401A" w:rsidRDefault="001A05B2" w:rsidP="0013401A">
            <w:pPr>
              <w:pStyle w:val="Tabletext"/>
            </w:pPr>
            <w:r>
              <w:t>0.29 (0.22,</w:t>
            </w:r>
            <w:r w:rsidR="0013401A">
              <w:t xml:space="preserve"> 0.40)</w:t>
            </w:r>
          </w:p>
        </w:tc>
      </w:tr>
      <w:tr w:rsidR="0013401A" w:rsidTr="002252AB">
        <w:tc>
          <w:tcPr>
            <w:tcW w:w="5000" w:type="pct"/>
            <w:gridSpan w:val="5"/>
          </w:tcPr>
          <w:p w:rsidR="0013401A" w:rsidRDefault="002252AB" w:rsidP="0013401A">
            <w:pPr>
              <w:pStyle w:val="Tabletext"/>
            </w:pPr>
            <w:r>
              <w:t>Source: Maccallini 2008 Table 1,</w:t>
            </w:r>
            <w:r w:rsidR="0013401A">
              <w:t xml:space="preserve"> Table 2, p.571</w:t>
            </w:r>
          </w:p>
        </w:tc>
      </w:tr>
    </w:tbl>
    <w:p w:rsidR="001310A0" w:rsidRDefault="001310A0" w:rsidP="00AB012A">
      <w:pPr>
        <w:pStyle w:val="Tabletext"/>
        <w:numPr>
          <w:ilvl w:val="0"/>
          <w:numId w:val="31"/>
        </w:numPr>
      </w:pPr>
      <w:proofErr w:type="gramStart"/>
      <w:r>
        <w:t>n</w:t>
      </w:r>
      <w:proofErr w:type="gramEnd"/>
      <w:r w:rsidR="0013401A" w:rsidRPr="002C281A">
        <w:t xml:space="preserve"> manually back calculated from percentages presented in </w:t>
      </w:r>
      <w:r w:rsidR="00DC5888">
        <w:t xml:space="preserve">Maccallini </w:t>
      </w:r>
      <w:r w:rsidR="0013401A">
        <w:t>2008</w:t>
      </w:r>
      <w:r w:rsidR="0013401A" w:rsidRPr="002C281A">
        <w:t>, Table 2</w:t>
      </w:r>
      <w:r w:rsidR="001A05B2">
        <w:t xml:space="preserve">. N taken from Maccallini </w:t>
      </w:r>
      <w:r w:rsidR="00DC5888">
        <w:t>2008, Table 1</w:t>
      </w:r>
    </w:p>
    <w:p w:rsidR="0013401A" w:rsidRDefault="00C979F8" w:rsidP="00AB012A">
      <w:pPr>
        <w:pStyle w:val="Tabletext"/>
        <w:numPr>
          <w:ilvl w:val="0"/>
          <w:numId w:val="31"/>
        </w:numPr>
      </w:pPr>
      <w:r>
        <w:t>Odds r</w:t>
      </w:r>
      <w:r w:rsidR="0013401A" w:rsidRPr="00944AAF">
        <w:t>atio presented is the crude value as t</w:t>
      </w:r>
      <w:r w:rsidR="00DC5888">
        <w:t>he adjusted OR is not reported</w:t>
      </w:r>
      <w:r w:rsidR="0011397F">
        <w:t>, a</w:t>
      </w:r>
      <w:r w:rsidR="0011397F" w:rsidRPr="0011397F">
        <w:t>n OR &lt;1 indicates performance of LBC is better than CC</w:t>
      </w:r>
    </w:p>
    <w:p w:rsidR="0013401A" w:rsidRDefault="0013401A" w:rsidP="00C979F8"/>
    <w:p w:rsidR="0013401A" w:rsidRDefault="0013401A" w:rsidP="0013401A">
      <w:r>
        <w:t>For assessment of adequacy, the Bethesda System 1991 (TBS 1991) criteri</w:t>
      </w:r>
      <w:r w:rsidR="001A05B2">
        <w:t>a were used by Obwegeser 2001</w:t>
      </w:r>
      <w:r>
        <w:t xml:space="preserve">, but it was a visual estimate and cell counts were not performed. The TBS 1991 allowed the designation of slides as “‘satisfactory but limited by (SBLB)…”, or “unsatisfactory”. A review of the specimen adequacy rates, according to SBLB or unsatisfactory, for various reasons is provided in </w:t>
      </w:r>
      <w:r w:rsidR="00086C77">
        <w:fldChar w:fldCharType="begin"/>
      </w:r>
      <w:r>
        <w:instrText xml:space="preserve"> REF _Ref330993762 \h </w:instrText>
      </w:r>
      <w:r w:rsidR="00086C77">
        <w:fldChar w:fldCharType="separate"/>
      </w:r>
      <w:r w:rsidR="003361A8">
        <w:t xml:space="preserve">Table </w:t>
      </w:r>
      <w:r w:rsidR="003361A8">
        <w:rPr>
          <w:noProof/>
        </w:rPr>
        <w:t>29</w:t>
      </w:r>
      <w:r w:rsidR="00086C77">
        <w:fldChar w:fldCharType="end"/>
      </w:r>
      <w:r>
        <w:t xml:space="preserve">. </w:t>
      </w:r>
    </w:p>
    <w:p w:rsidR="0013401A" w:rsidRDefault="0013401A" w:rsidP="0013401A">
      <w:r>
        <w:t xml:space="preserve">There were significantly more unsatisfactory slides reported in the </w:t>
      </w:r>
      <w:r w:rsidR="00932107">
        <w:t xml:space="preserve">cell filtration </w:t>
      </w:r>
      <w:r>
        <w:t xml:space="preserve">LBC group (14, 1.4%) when compared with </w:t>
      </w:r>
      <w:r w:rsidR="001A05B2">
        <w:t>CC</w:t>
      </w:r>
      <w:r w:rsidR="00932107">
        <w:t xml:space="preserve"> </w:t>
      </w:r>
      <w:r w:rsidR="00932107" w:rsidRPr="00DF3F71">
        <w:t xml:space="preserve">screening </w:t>
      </w:r>
      <w:r>
        <w:t xml:space="preserve">(0%). The unsatisfactory </w:t>
      </w:r>
      <w:r w:rsidR="00932107">
        <w:t xml:space="preserve">cell filtration </w:t>
      </w:r>
      <w:r>
        <w:t>LBC slides is primarily due to scant cellularity (14/14, 100%)</w:t>
      </w:r>
      <w:r w:rsidR="001A05B2">
        <w:t xml:space="preserve"> but also obscuring blood (8/14, </w:t>
      </w:r>
      <w:r>
        <w:t xml:space="preserve">57%). </w:t>
      </w:r>
    </w:p>
    <w:p w:rsidR="0013401A" w:rsidRDefault="0013401A" w:rsidP="0013401A">
      <w:r>
        <w:t xml:space="preserve">The primary reason for SBLB slides in the </w:t>
      </w:r>
      <w:r w:rsidR="00E01F79">
        <w:t xml:space="preserve">cell filtration </w:t>
      </w:r>
      <w:r>
        <w:t xml:space="preserve">LBC group (55/997, 5.5%) compared with </w:t>
      </w:r>
      <w:r w:rsidR="001A05B2">
        <w:t>CC</w:t>
      </w:r>
      <w:r w:rsidR="00E01F79">
        <w:t xml:space="preserve"> </w:t>
      </w:r>
      <w:r w:rsidR="00E01F79" w:rsidRPr="00DF3F71">
        <w:t xml:space="preserve">screening </w:t>
      </w:r>
      <w:r w:rsidR="001A05B2">
        <w:t>(25/1002, 2.5%) was</w:t>
      </w:r>
      <w:r>
        <w:t xml:space="preserve"> “no endocervical cells” (30/55, 55% </w:t>
      </w:r>
      <w:r w:rsidR="003954A4">
        <w:t>vs.</w:t>
      </w:r>
      <w:r w:rsidR="001A05B2">
        <w:t xml:space="preserve"> 14/25, 56%) and “s</w:t>
      </w:r>
      <w:r>
        <w:t xml:space="preserve">cant cellularity” (16/55, 29% </w:t>
      </w:r>
      <w:r w:rsidR="003954A4">
        <w:t>vs.</w:t>
      </w:r>
      <w:r>
        <w:t xml:space="preserve"> 3/25, 12%). </w:t>
      </w:r>
    </w:p>
    <w:p w:rsidR="0013401A" w:rsidRDefault="0013401A" w:rsidP="0013401A">
      <w:pPr>
        <w:pStyle w:val="Caption"/>
        <w:rPr>
          <w:highlight w:val="yellow"/>
        </w:rPr>
      </w:pPr>
      <w:bookmarkStart w:id="298" w:name="_Ref330993762"/>
      <w:bookmarkStart w:id="299" w:name="_Toc331766500"/>
      <w:bookmarkStart w:id="300" w:name="_Toc335665995"/>
      <w:bookmarkStart w:id="301" w:name="_Toc337546966"/>
      <w:r>
        <w:lastRenderedPageBreak/>
        <w:t xml:space="preserve">Table </w:t>
      </w:r>
      <w:fldSimple w:instr=" SEQ Table \* ARABIC ">
        <w:r w:rsidR="003361A8">
          <w:rPr>
            <w:noProof/>
          </w:rPr>
          <w:t>29</w:t>
        </w:r>
      </w:fldSimple>
      <w:bookmarkEnd w:id="298"/>
      <w:r w:rsidR="002252AB">
        <w:tab/>
        <w:t>Specimen adequacy (u</w:t>
      </w:r>
      <w:r>
        <w:t>nsatisfactory and SBLB rates)</w:t>
      </w:r>
      <w:r w:rsidRPr="008F7DC9">
        <w:rPr>
          <w:vertAlign w:val="superscript"/>
        </w:rPr>
        <w:t>a</w:t>
      </w:r>
      <w:r w:rsidR="00A16B52">
        <w:t>—</w:t>
      </w:r>
      <w:r w:rsidR="002252AB">
        <w:t>CC</w:t>
      </w:r>
      <w:r>
        <w:t xml:space="preserve"> versus </w:t>
      </w:r>
      <w:r w:rsidR="001310A0">
        <w:t xml:space="preserve">cell filtration </w:t>
      </w:r>
      <w:r>
        <w:t>L</w:t>
      </w:r>
      <w:r w:rsidR="001310A0">
        <w:t>BC</w:t>
      </w:r>
      <w:r w:rsidR="00C979F8">
        <w:t>:</w:t>
      </w:r>
      <w:r w:rsidR="002252AB">
        <w:t xml:space="preserve"> Obwegeser</w:t>
      </w:r>
      <w:r>
        <w:t xml:space="preserve"> 2001</w:t>
      </w:r>
      <w:bookmarkEnd w:id="299"/>
      <w:bookmarkEnd w:id="300"/>
      <w:bookmarkEnd w:id="30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92"/>
        <w:gridCol w:w="1428"/>
        <w:gridCol w:w="1417"/>
        <w:gridCol w:w="1698"/>
        <w:gridCol w:w="1669"/>
      </w:tblGrid>
      <w:tr w:rsidR="003D64A7" w:rsidRPr="001A05B2" w:rsidTr="0061117D">
        <w:tc>
          <w:tcPr>
            <w:tcW w:w="1550" w:type="pct"/>
          </w:tcPr>
          <w:p w:rsidR="003D64A7" w:rsidRPr="001A05B2" w:rsidRDefault="003D64A7" w:rsidP="0013401A">
            <w:pPr>
              <w:pStyle w:val="Tabletext"/>
              <w:rPr>
                <w:b/>
              </w:rPr>
            </w:pPr>
            <w:r w:rsidRPr="001A05B2">
              <w:rPr>
                <w:b/>
              </w:rPr>
              <w:t>Trial</w:t>
            </w:r>
          </w:p>
        </w:tc>
        <w:tc>
          <w:tcPr>
            <w:tcW w:w="793" w:type="pct"/>
          </w:tcPr>
          <w:p w:rsidR="003D64A7" w:rsidRPr="001A05B2" w:rsidRDefault="003D64A7" w:rsidP="003D64A7">
            <w:pPr>
              <w:pStyle w:val="Tabletext"/>
              <w:rPr>
                <w:b/>
              </w:rPr>
            </w:pPr>
            <w:r w:rsidRPr="001A05B2">
              <w:rPr>
                <w:b/>
              </w:rPr>
              <w:t xml:space="preserve">Conventional </w:t>
            </w:r>
            <w:r w:rsidR="0007366A" w:rsidRPr="001A05B2">
              <w:rPr>
                <w:b/>
              </w:rPr>
              <w:t>n/</w:t>
            </w:r>
            <w:proofErr w:type="gramStart"/>
            <w:r w:rsidR="0007366A" w:rsidRPr="001A05B2">
              <w:rPr>
                <w:b/>
              </w:rPr>
              <w:t>N(</w:t>
            </w:r>
            <w:proofErr w:type="gramEnd"/>
            <w:r w:rsidR="0007366A" w:rsidRPr="001A05B2">
              <w:rPr>
                <w:b/>
              </w:rPr>
              <w:t>%)</w:t>
            </w:r>
          </w:p>
        </w:tc>
        <w:tc>
          <w:tcPr>
            <w:tcW w:w="787" w:type="pct"/>
          </w:tcPr>
          <w:p w:rsidR="003D64A7" w:rsidRPr="001A05B2" w:rsidRDefault="00920E83" w:rsidP="003D64A7">
            <w:pPr>
              <w:pStyle w:val="Tabletext"/>
              <w:rPr>
                <w:b/>
              </w:rPr>
            </w:pPr>
            <w:r w:rsidRPr="001A05B2">
              <w:rPr>
                <w:b/>
              </w:rPr>
              <w:t>LBC</w:t>
            </w:r>
            <w:r w:rsidR="003D64A7" w:rsidRPr="001A05B2">
              <w:rPr>
                <w:b/>
              </w:rPr>
              <w:t xml:space="preserve"> </w:t>
            </w:r>
            <w:r w:rsidR="007C49F4">
              <w:rPr>
                <w:b/>
              </w:rPr>
              <w:br/>
            </w:r>
            <w:r w:rsidR="0007366A" w:rsidRPr="001A05B2">
              <w:rPr>
                <w:b/>
              </w:rPr>
              <w:t>n/</w:t>
            </w:r>
            <w:proofErr w:type="gramStart"/>
            <w:r w:rsidR="0007366A" w:rsidRPr="001A05B2">
              <w:rPr>
                <w:b/>
              </w:rPr>
              <w:t>N(</w:t>
            </w:r>
            <w:proofErr w:type="gramEnd"/>
            <w:r w:rsidR="0007366A" w:rsidRPr="001A05B2">
              <w:rPr>
                <w:b/>
              </w:rPr>
              <w:t>%)</w:t>
            </w:r>
          </w:p>
        </w:tc>
        <w:tc>
          <w:tcPr>
            <w:tcW w:w="943" w:type="pct"/>
          </w:tcPr>
          <w:p w:rsidR="003D64A7" w:rsidRPr="001A05B2" w:rsidRDefault="001A05B2" w:rsidP="0047098C">
            <w:pPr>
              <w:pStyle w:val="Tabletext"/>
              <w:rPr>
                <w:b/>
              </w:rPr>
            </w:pPr>
            <w:r>
              <w:rPr>
                <w:b/>
              </w:rPr>
              <w:t>Risk d</w:t>
            </w:r>
            <w:r w:rsidR="003D64A7" w:rsidRPr="001A05B2">
              <w:rPr>
                <w:b/>
              </w:rPr>
              <w:t>ifference (95%</w:t>
            </w:r>
            <w:r w:rsidR="005316A8">
              <w:rPr>
                <w:b/>
              </w:rPr>
              <w:t xml:space="preserve"> </w:t>
            </w:r>
            <w:r w:rsidR="003D64A7" w:rsidRPr="001A05B2">
              <w:rPr>
                <w:b/>
              </w:rPr>
              <w:t>CI)</w:t>
            </w:r>
            <w:r w:rsidR="003D64A7" w:rsidRPr="001A05B2">
              <w:rPr>
                <w:b/>
                <w:vertAlign w:val="superscript"/>
              </w:rPr>
              <w:t>c</w:t>
            </w:r>
          </w:p>
        </w:tc>
        <w:tc>
          <w:tcPr>
            <w:tcW w:w="926" w:type="pct"/>
          </w:tcPr>
          <w:p w:rsidR="003D64A7" w:rsidRPr="001A05B2" w:rsidRDefault="001A05B2" w:rsidP="0047098C">
            <w:pPr>
              <w:pStyle w:val="Tabletext"/>
              <w:rPr>
                <w:b/>
              </w:rPr>
            </w:pPr>
            <w:r>
              <w:rPr>
                <w:b/>
              </w:rPr>
              <w:t>Odds r</w:t>
            </w:r>
            <w:r w:rsidR="003D64A7" w:rsidRPr="001A05B2">
              <w:rPr>
                <w:b/>
              </w:rPr>
              <w:t xml:space="preserve">atio </w:t>
            </w:r>
            <w:r w:rsidR="005316A8">
              <w:rPr>
                <w:b/>
              </w:rPr>
              <w:br/>
            </w:r>
            <w:r w:rsidR="003D64A7" w:rsidRPr="001A05B2">
              <w:rPr>
                <w:b/>
              </w:rPr>
              <w:t>(95%</w:t>
            </w:r>
            <w:r w:rsidR="005316A8">
              <w:rPr>
                <w:b/>
              </w:rPr>
              <w:t xml:space="preserve"> </w:t>
            </w:r>
            <w:r w:rsidR="003D64A7" w:rsidRPr="001A05B2">
              <w:rPr>
                <w:b/>
              </w:rPr>
              <w:t>CI)</w:t>
            </w:r>
            <w:r w:rsidR="003D64A7" w:rsidRPr="001A05B2">
              <w:rPr>
                <w:b/>
                <w:vertAlign w:val="superscript"/>
              </w:rPr>
              <w:t xml:space="preserve"> c</w:t>
            </w:r>
          </w:p>
        </w:tc>
      </w:tr>
      <w:tr w:rsidR="0047098C" w:rsidTr="0061117D">
        <w:tc>
          <w:tcPr>
            <w:tcW w:w="1550" w:type="pct"/>
          </w:tcPr>
          <w:p w:rsidR="0047098C" w:rsidRDefault="001A05B2" w:rsidP="0013401A">
            <w:pPr>
              <w:pStyle w:val="Tabletext"/>
            </w:pPr>
            <w:r>
              <w:t>Total u</w:t>
            </w:r>
            <w:r w:rsidR="0047098C">
              <w:t>nsatisfactory</w:t>
            </w:r>
          </w:p>
        </w:tc>
        <w:tc>
          <w:tcPr>
            <w:tcW w:w="793" w:type="pct"/>
          </w:tcPr>
          <w:p w:rsidR="0047098C" w:rsidRDefault="0047098C" w:rsidP="0013401A">
            <w:pPr>
              <w:pStyle w:val="Tabletext"/>
            </w:pPr>
            <w:r>
              <w:t>0/1002 (0)</w:t>
            </w:r>
          </w:p>
        </w:tc>
        <w:tc>
          <w:tcPr>
            <w:tcW w:w="787" w:type="pct"/>
          </w:tcPr>
          <w:p w:rsidR="0047098C" w:rsidRDefault="0047098C" w:rsidP="0013401A">
            <w:pPr>
              <w:pStyle w:val="Tabletext"/>
            </w:pPr>
            <w:r>
              <w:t>14/997 (1.4)</w:t>
            </w:r>
          </w:p>
        </w:tc>
        <w:tc>
          <w:tcPr>
            <w:tcW w:w="943" w:type="pct"/>
          </w:tcPr>
          <w:p w:rsidR="0047098C" w:rsidRDefault="0061117D" w:rsidP="0061117D">
            <w:pPr>
              <w:pStyle w:val="Tabletext"/>
            </w:pPr>
            <w:r>
              <w:t>-</w:t>
            </w:r>
            <w:r w:rsidR="0047098C">
              <w:t>0.01 (</w:t>
            </w:r>
            <w:r>
              <w:t>-</w:t>
            </w:r>
            <w:r w:rsidR="0047098C">
              <w:t>0.0</w:t>
            </w:r>
            <w:r>
              <w:t>2</w:t>
            </w:r>
            <w:r w:rsidR="0047098C">
              <w:t>,</w:t>
            </w:r>
            <w:r>
              <w:t>-</w:t>
            </w:r>
            <w:r w:rsidR="0047098C">
              <w:t>0.0</w:t>
            </w:r>
            <w:r>
              <w:t>1</w:t>
            </w:r>
            <w:r w:rsidR="0047098C">
              <w:t>)</w:t>
            </w:r>
          </w:p>
        </w:tc>
        <w:tc>
          <w:tcPr>
            <w:tcW w:w="926" w:type="pct"/>
          </w:tcPr>
          <w:p w:rsidR="0047098C" w:rsidRDefault="0011397F" w:rsidP="0013401A">
            <w:pPr>
              <w:pStyle w:val="Tabletext"/>
            </w:pPr>
            <w:r w:rsidRPr="0011397F">
              <w:t>29.56 [1.76, 496.21]</w:t>
            </w:r>
          </w:p>
        </w:tc>
      </w:tr>
      <w:tr w:rsidR="0047098C" w:rsidTr="0061117D">
        <w:tc>
          <w:tcPr>
            <w:tcW w:w="1550" w:type="pct"/>
          </w:tcPr>
          <w:p w:rsidR="0047098C" w:rsidRDefault="0047098C" w:rsidP="001A05B2">
            <w:pPr>
              <w:pStyle w:val="Tabletext"/>
              <w:ind w:left="720"/>
            </w:pPr>
            <w:r>
              <w:t>Scant cellularity</w:t>
            </w:r>
          </w:p>
        </w:tc>
        <w:tc>
          <w:tcPr>
            <w:tcW w:w="793" w:type="pct"/>
          </w:tcPr>
          <w:p w:rsidR="0047098C" w:rsidRDefault="0047098C" w:rsidP="001A05B2">
            <w:pPr>
              <w:pStyle w:val="Tabletext"/>
              <w:jc w:val="center"/>
            </w:pPr>
            <w:r>
              <w:t>0 (0)</w:t>
            </w:r>
          </w:p>
        </w:tc>
        <w:tc>
          <w:tcPr>
            <w:tcW w:w="787" w:type="pct"/>
          </w:tcPr>
          <w:p w:rsidR="0047098C" w:rsidRDefault="0047098C" w:rsidP="0086375B">
            <w:pPr>
              <w:pStyle w:val="Tabletext"/>
              <w:jc w:val="center"/>
            </w:pPr>
            <w:r>
              <w:t>14 (100)</w:t>
            </w:r>
          </w:p>
        </w:tc>
        <w:tc>
          <w:tcPr>
            <w:tcW w:w="943" w:type="pct"/>
          </w:tcPr>
          <w:p w:rsidR="0047098C" w:rsidRDefault="0047098C" w:rsidP="0013401A">
            <w:pPr>
              <w:pStyle w:val="Tabletext"/>
            </w:pPr>
            <w:r>
              <w:t>NC</w:t>
            </w:r>
          </w:p>
        </w:tc>
        <w:tc>
          <w:tcPr>
            <w:tcW w:w="926" w:type="pct"/>
          </w:tcPr>
          <w:p w:rsidR="0047098C" w:rsidRDefault="0047098C" w:rsidP="0013401A">
            <w:pPr>
              <w:pStyle w:val="Tabletext"/>
            </w:pPr>
            <w:r>
              <w:t>NC</w:t>
            </w:r>
          </w:p>
        </w:tc>
      </w:tr>
      <w:tr w:rsidR="0047098C" w:rsidTr="0061117D">
        <w:tc>
          <w:tcPr>
            <w:tcW w:w="1550" w:type="pct"/>
          </w:tcPr>
          <w:p w:rsidR="0047098C" w:rsidRDefault="0047098C" w:rsidP="001A05B2">
            <w:pPr>
              <w:pStyle w:val="Tabletext"/>
              <w:ind w:left="720"/>
            </w:pPr>
            <w:r>
              <w:t>Obscuring blood</w:t>
            </w:r>
          </w:p>
        </w:tc>
        <w:tc>
          <w:tcPr>
            <w:tcW w:w="793" w:type="pct"/>
          </w:tcPr>
          <w:p w:rsidR="0047098C" w:rsidRDefault="0047098C" w:rsidP="001A05B2">
            <w:pPr>
              <w:pStyle w:val="Tabletext"/>
              <w:jc w:val="center"/>
            </w:pPr>
            <w:r>
              <w:t>0 (0)</w:t>
            </w:r>
          </w:p>
        </w:tc>
        <w:tc>
          <w:tcPr>
            <w:tcW w:w="787" w:type="pct"/>
          </w:tcPr>
          <w:p w:rsidR="0047098C" w:rsidRPr="008F7DC9" w:rsidRDefault="0047098C" w:rsidP="007C49F4">
            <w:pPr>
              <w:pStyle w:val="Tabletext"/>
              <w:jc w:val="center"/>
            </w:pPr>
            <w:r w:rsidRPr="00673EC8">
              <w:t>8</w:t>
            </w:r>
            <w:r w:rsidRPr="00673EC8">
              <w:rPr>
                <w:vertAlign w:val="superscript"/>
              </w:rPr>
              <w:t xml:space="preserve">b </w:t>
            </w:r>
            <w:r w:rsidRPr="00673EC8">
              <w:t>(</w:t>
            </w:r>
            <w:r w:rsidR="00673EC8" w:rsidRPr="00673EC8">
              <w:t>57</w:t>
            </w:r>
            <w:r w:rsidRPr="00673EC8">
              <w:t>)</w:t>
            </w:r>
          </w:p>
        </w:tc>
        <w:tc>
          <w:tcPr>
            <w:tcW w:w="943" w:type="pct"/>
          </w:tcPr>
          <w:p w:rsidR="0047098C" w:rsidRDefault="0047098C" w:rsidP="0013401A">
            <w:pPr>
              <w:pStyle w:val="Tabletext"/>
            </w:pPr>
            <w:r>
              <w:t>NC</w:t>
            </w:r>
          </w:p>
        </w:tc>
        <w:tc>
          <w:tcPr>
            <w:tcW w:w="926" w:type="pct"/>
          </w:tcPr>
          <w:p w:rsidR="0047098C" w:rsidRDefault="0047098C" w:rsidP="0013401A">
            <w:pPr>
              <w:pStyle w:val="Tabletext"/>
            </w:pPr>
            <w:r>
              <w:t>NC</w:t>
            </w:r>
          </w:p>
        </w:tc>
      </w:tr>
      <w:tr w:rsidR="0047098C" w:rsidTr="0061117D">
        <w:tc>
          <w:tcPr>
            <w:tcW w:w="1550" w:type="pct"/>
          </w:tcPr>
          <w:p w:rsidR="0047098C" w:rsidRDefault="0047098C" w:rsidP="0013401A">
            <w:pPr>
              <w:pStyle w:val="Tabletext"/>
            </w:pPr>
            <w:r>
              <w:t>Total SBLB</w:t>
            </w:r>
          </w:p>
        </w:tc>
        <w:tc>
          <w:tcPr>
            <w:tcW w:w="793" w:type="pct"/>
          </w:tcPr>
          <w:p w:rsidR="0047098C" w:rsidRDefault="0047098C" w:rsidP="0013401A">
            <w:pPr>
              <w:pStyle w:val="Tabletext"/>
            </w:pPr>
            <w:r>
              <w:t>25/1002 (2.5)</w:t>
            </w:r>
          </w:p>
        </w:tc>
        <w:tc>
          <w:tcPr>
            <w:tcW w:w="787" w:type="pct"/>
          </w:tcPr>
          <w:p w:rsidR="0047098C" w:rsidRDefault="0047098C" w:rsidP="0013401A">
            <w:pPr>
              <w:pStyle w:val="Tabletext"/>
            </w:pPr>
            <w:r>
              <w:t>55/997 (5.5)</w:t>
            </w:r>
          </w:p>
        </w:tc>
        <w:tc>
          <w:tcPr>
            <w:tcW w:w="943" w:type="pct"/>
          </w:tcPr>
          <w:p w:rsidR="0047098C" w:rsidRDefault="0061117D" w:rsidP="0061117D">
            <w:pPr>
              <w:pStyle w:val="Tabletext"/>
            </w:pPr>
            <w:r>
              <w:t>-</w:t>
            </w:r>
            <w:r w:rsidR="0047098C">
              <w:t>0.03(</w:t>
            </w:r>
            <w:r>
              <w:t>-</w:t>
            </w:r>
            <w:r w:rsidR="0047098C">
              <w:t>0.0</w:t>
            </w:r>
            <w:r>
              <w:t>5</w:t>
            </w:r>
            <w:r w:rsidR="0047098C">
              <w:t>,</w:t>
            </w:r>
            <w:r>
              <w:t>-</w:t>
            </w:r>
            <w:r w:rsidR="0047098C">
              <w:t>0.0</w:t>
            </w:r>
            <w:r>
              <w:t>1</w:t>
            </w:r>
            <w:r w:rsidR="0047098C">
              <w:t>)</w:t>
            </w:r>
          </w:p>
        </w:tc>
        <w:tc>
          <w:tcPr>
            <w:tcW w:w="926" w:type="pct"/>
          </w:tcPr>
          <w:p w:rsidR="0047098C" w:rsidRDefault="0011397F" w:rsidP="0013401A">
            <w:pPr>
              <w:pStyle w:val="Tabletext"/>
            </w:pPr>
            <w:r w:rsidRPr="0011397F">
              <w:t>2.28 [1.41, 3.69]</w:t>
            </w:r>
          </w:p>
        </w:tc>
      </w:tr>
      <w:tr w:rsidR="0047098C" w:rsidTr="0061117D">
        <w:tc>
          <w:tcPr>
            <w:tcW w:w="1550" w:type="pct"/>
          </w:tcPr>
          <w:p w:rsidR="0047098C" w:rsidRDefault="0047098C" w:rsidP="001A05B2">
            <w:pPr>
              <w:pStyle w:val="Tabletext"/>
              <w:ind w:left="720"/>
            </w:pPr>
            <w:r>
              <w:t>Scant cellularity</w:t>
            </w:r>
          </w:p>
        </w:tc>
        <w:tc>
          <w:tcPr>
            <w:tcW w:w="793" w:type="pct"/>
          </w:tcPr>
          <w:p w:rsidR="0047098C" w:rsidRDefault="0047098C" w:rsidP="001A05B2">
            <w:pPr>
              <w:pStyle w:val="Tabletext"/>
              <w:jc w:val="center"/>
            </w:pPr>
            <w:r>
              <w:t>3 (12)</w:t>
            </w:r>
          </w:p>
        </w:tc>
        <w:tc>
          <w:tcPr>
            <w:tcW w:w="787" w:type="pct"/>
          </w:tcPr>
          <w:p w:rsidR="0047098C" w:rsidRDefault="0047098C" w:rsidP="007C49F4">
            <w:pPr>
              <w:pStyle w:val="Tabletext"/>
              <w:jc w:val="center"/>
            </w:pPr>
            <w:r>
              <w:t>16 (29)</w:t>
            </w:r>
          </w:p>
        </w:tc>
        <w:tc>
          <w:tcPr>
            <w:tcW w:w="943" w:type="pct"/>
          </w:tcPr>
          <w:p w:rsidR="0047098C" w:rsidRDefault="0047098C" w:rsidP="0013401A">
            <w:pPr>
              <w:pStyle w:val="Tabletext"/>
            </w:pPr>
            <w:r>
              <w:t>NC</w:t>
            </w:r>
          </w:p>
        </w:tc>
        <w:tc>
          <w:tcPr>
            <w:tcW w:w="926" w:type="pct"/>
          </w:tcPr>
          <w:p w:rsidR="0047098C" w:rsidRDefault="0047098C" w:rsidP="0013401A">
            <w:pPr>
              <w:pStyle w:val="Tabletext"/>
            </w:pPr>
            <w:r>
              <w:t>NC</w:t>
            </w:r>
          </w:p>
        </w:tc>
      </w:tr>
      <w:tr w:rsidR="0047098C" w:rsidTr="0061117D">
        <w:tc>
          <w:tcPr>
            <w:tcW w:w="1550" w:type="pct"/>
          </w:tcPr>
          <w:p w:rsidR="0047098C" w:rsidRDefault="0047098C" w:rsidP="0086375B">
            <w:pPr>
              <w:pStyle w:val="Tabletext"/>
              <w:ind w:left="720"/>
            </w:pPr>
            <w:r>
              <w:t>Obscuring blood</w:t>
            </w:r>
          </w:p>
        </w:tc>
        <w:tc>
          <w:tcPr>
            <w:tcW w:w="793" w:type="pct"/>
          </w:tcPr>
          <w:p w:rsidR="0047098C" w:rsidRDefault="0047098C" w:rsidP="001A05B2">
            <w:pPr>
              <w:pStyle w:val="Tabletext"/>
              <w:jc w:val="center"/>
            </w:pPr>
            <w:r>
              <w:t>1 (4)</w:t>
            </w:r>
          </w:p>
        </w:tc>
        <w:tc>
          <w:tcPr>
            <w:tcW w:w="787" w:type="pct"/>
          </w:tcPr>
          <w:p w:rsidR="0047098C" w:rsidRDefault="0047098C" w:rsidP="007C49F4">
            <w:pPr>
              <w:pStyle w:val="Tabletext"/>
              <w:jc w:val="center"/>
            </w:pPr>
            <w:r>
              <w:t>3 (5.5)</w:t>
            </w:r>
          </w:p>
        </w:tc>
        <w:tc>
          <w:tcPr>
            <w:tcW w:w="943" w:type="pct"/>
          </w:tcPr>
          <w:p w:rsidR="0047098C" w:rsidRDefault="0047098C" w:rsidP="0013401A">
            <w:pPr>
              <w:pStyle w:val="Tabletext"/>
            </w:pPr>
            <w:r>
              <w:t>NC</w:t>
            </w:r>
          </w:p>
        </w:tc>
        <w:tc>
          <w:tcPr>
            <w:tcW w:w="926" w:type="pct"/>
          </w:tcPr>
          <w:p w:rsidR="0047098C" w:rsidRDefault="0047098C" w:rsidP="0013401A">
            <w:pPr>
              <w:pStyle w:val="Tabletext"/>
            </w:pPr>
            <w:r>
              <w:t>NC</w:t>
            </w:r>
          </w:p>
        </w:tc>
      </w:tr>
      <w:tr w:rsidR="0047098C" w:rsidTr="0061117D">
        <w:tc>
          <w:tcPr>
            <w:tcW w:w="1550" w:type="pct"/>
          </w:tcPr>
          <w:p w:rsidR="0047098C" w:rsidRDefault="0047098C" w:rsidP="0086375B">
            <w:pPr>
              <w:pStyle w:val="Tabletext"/>
              <w:ind w:left="720"/>
            </w:pPr>
            <w:r>
              <w:t>No endocervical cells</w:t>
            </w:r>
          </w:p>
        </w:tc>
        <w:tc>
          <w:tcPr>
            <w:tcW w:w="793" w:type="pct"/>
          </w:tcPr>
          <w:p w:rsidR="0047098C" w:rsidRDefault="0047098C" w:rsidP="001A05B2">
            <w:pPr>
              <w:pStyle w:val="Tabletext"/>
              <w:jc w:val="center"/>
            </w:pPr>
            <w:r>
              <w:t>14 (56)</w:t>
            </w:r>
          </w:p>
        </w:tc>
        <w:tc>
          <w:tcPr>
            <w:tcW w:w="787" w:type="pct"/>
          </w:tcPr>
          <w:p w:rsidR="0047098C" w:rsidRDefault="0047098C" w:rsidP="007C49F4">
            <w:pPr>
              <w:pStyle w:val="Tabletext"/>
              <w:jc w:val="center"/>
            </w:pPr>
            <w:r>
              <w:t>30 (55)</w:t>
            </w:r>
          </w:p>
        </w:tc>
        <w:tc>
          <w:tcPr>
            <w:tcW w:w="943" w:type="pct"/>
          </w:tcPr>
          <w:p w:rsidR="0047098C" w:rsidRDefault="0047098C" w:rsidP="0013401A">
            <w:pPr>
              <w:pStyle w:val="Tabletext"/>
            </w:pPr>
            <w:r>
              <w:t>NC</w:t>
            </w:r>
          </w:p>
        </w:tc>
        <w:tc>
          <w:tcPr>
            <w:tcW w:w="926" w:type="pct"/>
          </w:tcPr>
          <w:p w:rsidR="0047098C" w:rsidRDefault="0047098C" w:rsidP="0013401A">
            <w:pPr>
              <w:pStyle w:val="Tabletext"/>
            </w:pPr>
            <w:r>
              <w:t>NC</w:t>
            </w:r>
          </w:p>
        </w:tc>
      </w:tr>
      <w:tr w:rsidR="0047098C" w:rsidTr="0061117D">
        <w:tc>
          <w:tcPr>
            <w:tcW w:w="1550" w:type="pct"/>
          </w:tcPr>
          <w:p w:rsidR="0047098C" w:rsidRDefault="0047098C" w:rsidP="0086375B">
            <w:pPr>
              <w:pStyle w:val="Tabletext"/>
              <w:ind w:left="720"/>
            </w:pPr>
            <w:r>
              <w:t>Obscuring inflammation</w:t>
            </w:r>
          </w:p>
        </w:tc>
        <w:tc>
          <w:tcPr>
            <w:tcW w:w="793" w:type="pct"/>
          </w:tcPr>
          <w:p w:rsidR="0047098C" w:rsidRDefault="0047098C" w:rsidP="0086375B">
            <w:pPr>
              <w:pStyle w:val="Tabletext"/>
              <w:jc w:val="center"/>
            </w:pPr>
            <w:r>
              <w:t>3 (12)</w:t>
            </w:r>
          </w:p>
        </w:tc>
        <w:tc>
          <w:tcPr>
            <w:tcW w:w="787" w:type="pct"/>
          </w:tcPr>
          <w:p w:rsidR="0047098C" w:rsidRDefault="0047098C" w:rsidP="007C49F4">
            <w:pPr>
              <w:pStyle w:val="Tabletext"/>
              <w:jc w:val="center"/>
            </w:pPr>
            <w:r>
              <w:t>5 (9)</w:t>
            </w:r>
          </w:p>
        </w:tc>
        <w:tc>
          <w:tcPr>
            <w:tcW w:w="943" w:type="pct"/>
          </w:tcPr>
          <w:p w:rsidR="0047098C" w:rsidRDefault="0047098C" w:rsidP="0013401A">
            <w:pPr>
              <w:pStyle w:val="Tabletext"/>
            </w:pPr>
            <w:r>
              <w:t>NC</w:t>
            </w:r>
          </w:p>
        </w:tc>
        <w:tc>
          <w:tcPr>
            <w:tcW w:w="926" w:type="pct"/>
          </w:tcPr>
          <w:p w:rsidR="0047098C" w:rsidRDefault="0047098C" w:rsidP="0013401A">
            <w:pPr>
              <w:pStyle w:val="Tabletext"/>
            </w:pPr>
            <w:r>
              <w:t>NC</w:t>
            </w:r>
          </w:p>
        </w:tc>
      </w:tr>
      <w:tr w:rsidR="0047098C" w:rsidTr="0061117D">
        <w:tc>
          <w:tcPr>
            <w:tcW w:w="1550" w:type="pct"/>
          </w:tcPr>
          <w:p w:rsidR="0047098C" w:rsidRDefault="0047098C" w:rsidP="0086375B">
            <w:pPr>
              <w:pStyle w:val="Tabletext"/>
              <w:ind w:left="720"/>
            </w:pPr>
            <w:r>
              <w:t>Cytolysis</w:t>
            </w:r>
          </w:p>
        </w:tc>
        <w:tc>
          <w:tcPr>
            <w:tcW w:w="793" w:type="pct"/>
          </w:tcPr>
          <w:p w:rsidR="0047098C" w:rsidRDefault="0047098C" w:rsidP="0086375B">
            <w:pPr>
              <w:pStyle w:val="Tabletext"/>
              <w:jc w:val="center"/>
            </w:pPr>
            <w:r>
              <w:t>4 (16)</w:t>
            </w:r>
          </w:p>
        </w:tc>
        <w:tc>
          <w:tcPr>
            <w:tcW w:w="787" w:type="pct"/>
          </w:tcPr>
          <w:p w:rsidR="0047098C" w:rsidRDefault="0047098C" w:rsidP="007C49F4">
            <w:pPr>
              <w:pStyle w:val="Tabletext"/>
              <w:jc w:val="center"/>
            </w:pPr>
            <w:r>
              <w:t>1 (1.8)</w:t>
            </w:r>
          </w:p>
        </w:tc>
        <w:tc>
          <w:tcPr>
            <w:tcW w:w="943" w:type="pct"/>
          </w:tcPr>
          <w:p w:rsidR="0047098C" w:rsidRDefault="0047098C" w:rsidP="0013401A">
            <w:pPr>
              <w:pStyle w:val="Tabletext"/>
            </w:pPr>
            <w:r>
              <w:t>NC</w:t>
            </w:r>
          </w:p>
        </w:tc>
        <w:tc>
          <w:tcPr>
            <w:tcW w:w="926" w:type="pct"/>
          </w:tcPr>
          <w:p w:rsidR="0047098C" w:rsidRDefault="0047098C" w:rsidP="0013401A">
            <w:pPr>
              <w:pStyle w:val="Tabletext"/>
            </w:pPr>
            <w:r>
              <w:t>NC</w:t>
            </w:r>
          </w:p>
        </w:tc>
      </w:tr>
      <w:tr w:rsidR="0047098C" w:rsidTr="001A05B2">
        <w:tc>
          <w:tcPr>
            <w:tcW w:w="5000" w:type="pct"/>
            <w:gridSpan w:val="5"/>
          </w:tcPr>
          <w:p w:rsidR="0047098C" w:rsidRDefault="0086375B" w:rsidP="0013401A">
            <w:pPr>
              <w:pStyle w:val="Tabletext"/>
            </w:pPr>
            <w:r>
              <w:t>Source: Obwegeser</w:t>
            </w:r>
            <w:r w:rsidR="0047098C">
              <w:t xml:space="preserve"> 2001, Table 2</w:t>
            </w:r>
          </w:p>
        </w:tc>
      </w:tr>
    </w:tbl>
    <w:p w:rsidR="0013401A" w:rsidRDefault="0013401A" w:rsidP="001310A0">
      <w:pPr>
        <w:pStyle w:val="Tabletext"/>
      </w:pPr>
      <w:r w:rsidRPr="0075644F">
        <w:t>Abbreviations</w:t>
      </w:r>
      <w:r>
        <w:t xml:space="preserve">: </w:t>
      </w:r>
      <w:r w:rsidR="00C979F8">
        <w:t xml:space="preserve">LBC, liquid-based cytology; </w:t>
      </w:r>
      <w:r w:rsidR="0047098C">
        <w:t xml:space="preserve">NC, not calculated; </w:t>
      </w:r>
      <w:r>
        <w:t>SBLB, significa</w:t>
      </w:r>
      <w:r w:rsidR="00C979F8">
        <w:t xml:space="preserve">nt but limited by; CI, </w:t>
      </w:r>
      <w:r>
        <w:t>confidence interval</w:t>
      </w:r>
    </w:p>
    <w:p w:rsidR="0013401A" w:rsidRDefault="0013401A" w:rsidP="00AB012A">
      <w:pPr>
        <w:pStyle w:val="Tabletext"/>
        <w:numPr>
          <w:ilvl w:val="0"/>
          <w:numId w:val="32"/>
        </w:numPr>
      </w:pPr>
      <w:r>
        <w:t>For the assessment of adequacy The 1991 Bethesda System criteria were used, however a visual estimate was used and cell counts were not performed</w:t>
      </w:r>
    </w:p>
    <w:p w:rsidR="0013401A" w:rsidRDefault="0013401A" w:rsidP="00AB012A">
      <w:pPr>
        <w:pStyle w:val="Tabletext"/>
        <w:numPr>
          <w:ilvl w:val="0"/>
          <w:numId w:val="32"/>
        </w:numPr>
      </w:pPr>
      <w:r>
        <w:t>8 of the 14 unsatisfactory slides had both scant cellularity and obscuring blood</w:t>
      </w:r>
    </w:p>
    <w:p w:rsidR="0047098C" w:rsidRDefault="0047098C" w:rsidP="00AB012A">
      <w:pPr>
        <w:pStyle w:val="Tabletext"/>
        <w:numPr>
          <w:ilvl w:val="0"/>
          <w:numId w:val="32"/>
        </w:numPr>
      </w:pPr>
      <w:r w:rsidRPr="0047098C">
        <w:t>Risk Difference and Odds Ratio manually calculated for the purposes of submission</w:t>
      </w:r>
      <w:r w:rsidR="0061117D">
        <w:t>(Attachment 4)</w:t>
      </w:r>
      <w:r w:rsidR="0011397F">
        <w:t>; a</w:t>
      </w:r>
      <w:r w:rsidR="0011397F" w:rsidRPr="0011397F">
        <w:t>n OR &lt;1 indicates performance of LBC is better than CC</w:t>
      </w:r>
    </w:p>
    <w:p w:rsidR="006D3610" w:rsidRDefault="006D3610" w:rsidP="007C49F4"/>
    <w:p w:rsidR="00AE2E20" w:rsidRPr="007C49F4" w:rsidRDefault="00AE2E20" w:rsidP="007C49F4">
      <w:pPr>
        <w:pStyle w:val="Heading50"/>
      </w:pPr>
      <w:r w:rsidRPr="007C49F4">
        <w:t>Meta-analysis</w:t>
      </w:r>
    </w:p>
    <w:p w:rsidR="006D3610" w:rsidRDefault="00086C77" w:rsidP="00B150E4">
      <w:r>
        <w:fldChar w:fldCharType="begin"/>
      </w:r>
      <w:r>
        <w:instrText xml:space="preserve"> REF _Ref333954513 \h  \* MERGEFORMAT </w:instrText>
      </w:r>
      <w:r>
        <w:fldChar w:fldCharType="separate"/>
      </w:r>
      <w:r w:rsidR="003361A8">
        <w:t>Figure 5</w:t>
      </w:r>
      <w:r>
        <w:fldChar w:fldCharType="end"/>
      </w:r>
      <w:r w:rsidR="001A0BB9">
        <w:t xml:space="preserve"> and </w:t>
      </w:r>
      <w:r>
        <w:fldChar w:fldCharType="begin"/>
      </w:r>
      <w:r>
        <w:instrText xml:space="preserve"> REF _Ref333954516 \h  \* MERGEFORMAT </w:instrText>
      </w:r>
      <w:r>
        <w:fldChar w:fldCharType="separate"/>
      </w:r>
      <w:r w:rsidR="003361A8">
        <w:t>Figure 6</w:t>
      </w:r>
      <w:r>
        <w:fldChar w:fldCharType="end"/>
      </w:r>
      <w:r w:rsidR="001A0BB9">
        <w:t xml:space="preserve"> provide the results of the m</w:t>
      </w:r>
      <w:r w:rsidR="00070B2F" w:rsidRPr="00070B2F">
        <w:t>eta</w:t>
      </w:r>
      <w:r w:rsidR="00073E40">
        <w:t>-</w:t>
      </w:r>
      <w:r w:rsidR="00070B2F" w:rsidRPr="00070B2F">
        <w:t>analysis</w:t>
      </w:r>
      <w:r w:rsidR="00070B2F">
        <w:t xml:space="preserve"> </w:t>
      </w:r>
      <w:r w:rsidR="001A0BB9">
        <w:t>of the proportion of unsatisfactory slides</w:t>
      </w:r>
      <w:r w:rsidR="00070B2F">
        <w:t xml:space="preserve">. </w:t>
      </w:r>
    </w:p>
    <w:p w:rsidR="00EE4435" w:rsidRDefault="0088798F" w:rsidP="00B150E4">
      <w:r>
        <w:t>Cell enric</w:t>
      </w:r>
      <w:r w:rsidR="00EE4435">
        <w:t xml:space="preserve">hment LBC is associated with </w:t>
      </w:r>
      <w:r>
        <w:t xml:space="preserve">a significant reduction in the </w:t>
      </w:r>
      <w:r w:rsidR="00971159">
        <w:t>proportion</w:t>
      </w:r>
      <w:r>
        <w:t xml:space="preserve"> of unsatisfactory slides compared with </w:t>
      </w:r>
      <w:r w:rsidR="007C49F4">
        <w:t>CC</w:t>
      </w:r>
      <w:r>
        <w:t xml:space="preserve"> (OR 0.15, 95%</w:t>
      </w:r>
      <w:r w:rsidR="00B150E4">
        <w:t xml:space="preserve"> </w:t>
      </w:r>
      <w:r>
        <w:t xml:space="preserve">CI 0.11 to -0.21). </w:t>
      </w:r>
    </w:p>
    <w:p w:rsidR="00EE4435" w:rsidRDefault="0088798F" w:rsidP="00B150E4">
      <w:r>
        <w:t xml:space="preserve">The pooled results for cell filtration </w:t>
      </w:r>
      <w:r w:rsidR="00E01F79">
        <w:t xml:space="preserve">LBC </w:t>
      </w:r>
      <w:r>
        <w:t xml:space="preserve">showed a significant reduction in the </w:t>
      </w:r>
      <w:r w:rsidR="00971159">
        <w:t>proportion</w:t>
      </w:r>
      <w:r>
        <w:t xml:space="preserve"> of unsatisfactory slides compared with </w:t>
      </w:r>
      <w:r w:rsidR="007C49F4">
        <w:t>CC</w:t>
      </w:r>
      <w:r>
        <w:t xml:space="preserve"> (OR</w:t>
      </w:r>
      <w:r w:rsidR="00CB01CC">
        <w:t xml:space="preserve"> 0.44</w:t>
      </w:r>
      <w:r>
        <w:t>, 95%</w:t>
      </w:r>
      <w:r w:rsidR="007C49F4">
        <w:t xml:space="preserve"> </w:t>
      </w:r>
      <w:r>
        <w:t>CI 0.</w:t>
      </w:r>
      <w:r w:rsidR="00CB01CC">
        <w:t>27</w:t>
      </w:r>
      <w:r>
        <w:t xml:space="preserve"> to -0</w:t>
      </w:r>
      <w:r w:rsidR="00CB01CC">
        <w:t>.73</w:t>
      </w:r>
      <w:r>
        <w:t>)</w:t>
      </w:r>
      <w:r w:rsidR="00CB01CC">
        <w:t xml:space="preserve">. </w:t>
      </w:r>
    </w:p>
    <w:p w:rsidR="00AE2E20" w:rsidRDefault="0092045B" w:rsidP="00B150E4">
      <w:r w:rsidRPr="006D3610">
        <w:t>A</w:t>
      </w:r>
      <w:r>
        <w:t xml:space="preserve"> </w:t>
      </w:r>
      <w:r w:rsidR="00E01F79">
        <w:rPr>
          <w:rFonts w:ascii="Times New Roman" w:hAnsi="Times New Roman"/>
        </w:rPr>
        <w:t>χ</w:t>
      </w:r>
      <w:r w:rsidRPr="00E01F79">
        <w:t>2</w:t>
      </w:r>
      <w:r w:rsidRPr="006D3610">
        <w:t xml:space="preserve"> test for heterogeneity among </w:t>
      </w:r>
      <w:r>
        <w:t>cell filtration stud</w:t>
      </w:r>
      <w:r w:rsidRPr="006D3610">
        <w:t>ies</w:t>
      </w:r>
      <w:r>
        <w:t xml:space="preserve"> </w:t>
      </w:r>
      <w:r w:rsidRPr="006D3610">
        <w:t>included in the meta-analysis revealed an I</w:t>
      </w:r>
      <w:r w:rsidR="007C49F4">
        <w:t>²</w:t>
      </w:r>
      <w:r>
        <w:t xml:space="preserve"> of 96</w:t>
      </w:r>
      <w:r w:rsidRPr="006D3610">
        <w:t>% with</w:t>
      </w:r>
      <w:r>
        <w:t xml:space="preserve"> </w:t>
      </w:r>
      <w:r w:rsidR="007C49F4">
        <w:t>P</w:t>
      </w:r>
      <w:r w:rsidR="005E0D57">
        <w:t>=</w:t>
      </w:r>
      <w:r w:rsidRPr="006D3610">
        <w:t>&lt;</w:t>
      </w:r>
      <w:r w:rsidR="007C49F4">
        <w:t xml:space="preserve"> </w:t>
      </w:r>
      <w:r w:rsidRPr="006D3610">
        <w:t>0.00001, indicating significant</w:t>
      </w:r>
      <w:r>
        <w:t xml:space="preserve"> </w:t>
      </w:r>
      <w:r w:rsidRPr="006D3610">
        <w:t>heterogeneity among these studies</w:t>
      </w:r>
      <w:r w:rsidR="00E6363F">
        <w:t>.</w:t>
      </w:r>
      <w:r w:rsidRPr="006D3610">
        <w:t xml:space="preserve"> </w:t>
      </w:r>
      <w:r>
        <w:t xml:space="preserve">Based on a sensitivity analysis whereby one and then two studies were removed at a time, there </w:t>
      </w:r>
      <w:r w:rsidR="007C49F4">
        <w:t>were no key studies that were</w:t>
      </w:r>
      <w:r>
        <w:t xml:space="preserve"> the major driver of the heterogeneity</w:t>
      </w:r>
      <w:r w:rsidR="00895ADF">
        <w:t xml:space="preserve"> (refer to </w:t>
      </w:r>
      <w:r w:rsidR="00192E11">
        <w:t>RevMan database</w:t>
      </w:r>
      <w:r w:rsidR="00FA5639">
        <w:t xml:space="preserve"> in </w:t>
      </w:r>
      <w:r w:rsidR="00140CA4">
        <w:t>Attachment</w:t>
      </w:r>
      <w:r w:rsidR="00FA5639">
        <w:t xml:space="preserve"> 4</w:t>
      </w:r>
      <w:r w:rsidR="00895ADF">
        <w:t>)</w:t>
      </w:r>
      <w:r>
        <w:t xml:space="preserve">. </w:t>
      </w:r>
      <w:r w:rsidR="002E35E3">
        <w:t xml:space="preserve">Nonetheless virtually all trials show a significant reduction in the rate of unsatisfactory slides with cell filtration LBC. </w:t>
      </w:r>
      <w:r>
        <w:t xml:space="preserve">Factors associated with heterogeneity in other systematic reviews of unsatisfactory rates include </w:t>
      </w:r>
      <w:r w:rsidRPr="001A0BB9">
        <w:t>year of publication</w:t>
      </w:r>
      <w:r>
        <w:t xml:space="preserve"> </w:t>
      </w:r>
      <w:r w:rsidRPr="001A0BB9">
        <w:t xml:space="preserve">and to a greater extent country </w:t>
      </w:r>
      <w:r w:rsidR="007C49F4">
        <w:t xml:space="preserve">(Fontaine </w:t>
      </w:r>
      <w:r>
        <w:t>2012). Other factors that could contribute to heterogeneity are the classification system</w:t>
      </w:r>
      <w:r w:rsidR="0060046B">
        <w:t xml:space="preserve"> used and populations screened.</w:t>
      </w:r>
    </w:p>
    <w:p w:rsidR="0060046B" w:rsidRDefault="0060046B" w:rsidP="00B150E4"/>
    <w:p w:rsidR="00AE2E20" w:rsidRDefault="00CB6A66" w:rsidP="00AE2E20">
      <w:pPr>
        <w:pStyle w:val="Tablenotes"/>
        <w:keepNext/>
        <w:spacing w:after="0"/>
      </w:pPr>
      <w:r>
        <w:rPr>
          <w:noProof/>
          <w:lang w:eastAsia="en-AU"/>
        </w:rPr>
        <w:drawing>
          <wp:inline distT="0" distB="0" distL="0" distR="0">
            <wp:extent cx="5581650" cy="327787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7C49F4" w:rsidRDefault="00AE2E20" w:rsidP="007C49F4">
      <w:pPr>
        <w:pStyle w:val="Caption"/>
        <w:keepNext w:val="0"/>
      </w:pPr>
      <w:bookmarkStart w:id="302" w:name="_Ref333954513"/>
      <w:bookmarkStart w:id="303" w:name="_Toc337547055"/>
      <w:r>
        <w:t xml:space="preserve">Figure </w:t>
      </w:r>
      <w:fldSimple w:instr=" SEQ Figure \* ARABIC ">
        <w:r w:rsidR="003361A8">
          <w:rPr>
            <w:noProof/>
          </w:rPr>
          <w:t>5</w:t>
        </w:r>
      </w:fldSimple>
      <w:bookmarkEnd w:id="302"/>
      <w:r w:rsidR="007C49F4">
        <w:tab/>
        <w:t>Forest plot: Proportion of u</w:t>
      </w:r>
      <w:r>
        <w:t>nsat</w:t>
      </w:r>
      <w:r w:rsidR="007C49F4">
        <w:t xml:space="preserve">isfactory cytology </w:t>
      </w:r>
      <w:r>
        <w:t>(RD)</w:t>
      </w:r>
      <w:bookmarkEnd w:id="303"/>
    </w:p>
    <w:p w:rsidR="002744FD" w:rsidRPr="002744FD" w:rsidRDefault="002744FD" w:rsidP="002744FD"/>
    <w:p w:rsidR="00AE2E20" w:rsidRDefault="00CB6A66" w:rsidP="00AE2E20">
      <w:pPr>
        <w:pStyle w:val="Tablenotes"/>
        <w:keepNext/>
        <w:spacing w:after="0"/>
      </w:pPr>
      <w:r>
        <w:rPr>
          <w:noProof/>
          <w:lang w:eastAsia="en-AU"/>
        </w:rPr>
        <w:drawing>
          <wp:inline distT="0" distB="0" distL="0" distR="0">
            <wp:extent cx="5581650" cy="327787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AE2E20" w:rsidRDefault="00AE2E20" w:rsidP="0011397F">
      <w:pPr>
        <w:pStyle w:val="Caption"/>
        <w:ind w:left="0" w:firstLine="0"/>
      </w:pPr>
      <w:bookmarkStart w:id="304" w:name="_Ref333954516"/>
      <w:bookmarkStart w:id="305" w:name="_Toc337547056"/>
      <w:r>
        <w:t xml:space="preserve">Figure </w:t>
      </w:r>
      <w:fldSimple w:instr=" SEQ Figure \* ARABIC ">
        <w:r w:rsidR="003361A8">
          <w:rPr>
            <w:noProof/>
          </w:rPr>
          <w:t>6</w:t>
        </w:r>
      </w:fldSimple>
      <w:bookmarkEnd w:id="304"/>
      <w:r w:rsidR="00B150E4">
        <w:tab/>
      </w:r>
      <w:r w:rsidR="007C49F4">
        <w:t xml:space="preserve">Forest plot: </w:t>
      </w:r>
      <w:r w:rsidR="00B150E4">
        <w:t>Proportion of u</w:t>
      </w:r>
      <w:r>
        <w:t>nsat</w:t>
      </w:r>
      <w:r w:rsidR="007C49F4">
        <w:t xml:space="preserve">isfactory cytology </w:t>
      </w:r>
      <w:r>
        <w:t>(OR)</w:t>
      </w:r>
      <w:r w:rsidR="0011397F">
        <w:br/>
      </w:r>
      <w:r w:rsidR="0011397F" w:rsidRPr="0011397F">
        <w:rPr>
          <w:b w:val="0"/>
        </w:rPr>
        <w:t>An OR &lt;1 indicates performance of LBC is better than CC</w:t>
      </w:r>
      <w:bookmarkEnd w:id="305"/>
    </w:p>
    <w:p w:rsidR="007C49F4" w:rsidRDefault="007C49F4" w:rsidP="00B150E4"/>
    <w:p w:rsidR="00AE2E20" w:rsidRDefault="00C06545" w:rsidP="00B150E4">
      <w:r>
        <w:lastRenderedPageBreak/>
        <w:t>To further explore the heterogeneity a</w:t>
      </w:r>
      <w:r w:rsidR="00AE2E20">
        <w:t xml:space="preserve"> review of the baseline </w:t>
      </w:r>
      <w:r w:rsidR="00971159">
        <w:t xml:space="preserve">proportion </w:t>
      </w:r>
      <w:r w:rsidR="00AE2E20">
        <w:t xml:space="preserve">of unsatisfactory slides for the conventional cytology arm in each trial was performed according to year(s) and countries in which the study took place. </w:t>
      </w:r>
    </w:p>
    <w:p w:rsidR="00AE2E20" w:rsidRDefault="00A16B52" w:rsidP="00B150E4">
      <w:r>
        <w:t>T</w:t>
      </w:r>
      <w:r w:rsidR="00AE2E20" w:rsidRPr="006D3610">
        <w:t>here was considerable variation</w:t>
      </w:r>
      <w:r w:rsidR="00AE2E20">
        <w:t xml:space="preserve"> </w:t>
      </w:r>
      <w:r w:rsidR="00AE2E20" w:rsidRPr="006D3610">
        <w:t xml:space="preserve">in </w:t>
      </w:r>
      <w:r w:rsidR="00971159">
        <w:t xml:space="preserve">the proportion of </w:t>
      </w:r>
      <w:r w:rsidR="00AE2E20" w:rsidRPr="006D3610">
        <w:t xml:space="preserve">unsatisfactory </w:t>
      </w:r>
      <w:r w:rsidR="00971159">
        <w:t>slid</w:t>
      </w:r>
      <w:r w:rsidR="00AE2E20" w:rsidRPr="006D3610">
        <w:t>es among jurisdictions</w:t>
      </w:r>
      <w:r w:rsidR="007C49F4">
        <w:t>,</w:t>
      </w:r>
      <w:r w:rsidR="001D5635">
        <w:t xml:space="preserve"> </w:t>
      </w:r>
      <w:r w:rsidR="00AE2E20" w:rsidRPr="006D3610">
        <w:t>with</w:t>
      </w:r>
      <w:r w:rsidR="00AE2E20">
        <w:t xml:space="preserve"> Italy </w:t>
      </w:r>
      <w:r w:rsidR="001D5635">
        <w:t>representing the highest rate of</w:t>
      </w:r>
      <w:r w:rsidR="00971159">
        <w:t xml:space="preserve"> </w:t>
      </w:r>
      <w:r w:rsidR="00AE2E20" w:rsidRPr="006D3610">
        <w:t xml:space="preserve">unsatisfactory </w:t>
      </w:r>
      <w:r w:rsidR="00971159">
        <w:t>slide</w:t>
      </w:r>
      <w:r w:rsidR="00AE2E20" w:rsidRPr="006D3610">
        <w:t>s</w:t>
      </w:r>
      <w:r w:rsidR="007C49F4">
        <w:t xml:space="preserve"> (4.1% to </w:t>
      </w:r>
      <w:r w:rsidR="00971159">
        <w:t xml:space="preserve">4.3%) </w:t>
      </w:r>
      <w:r w:rsidR="00AE2E20">
        <w:t xml:space="preserve">and </w:t>
      </w:r>
      <w:r w:rsidR="00E01F79">
        <w:t>Switzerland</w:t>
      </w:r>
      <w:r w:rsidR="00AE2E20">
        <w:t xml:space="preserve"> showing no unsatisfactory slides</w:t>
      </w:r>
      <w:r w:rsidR="001D5635">
        <w:t xml:space="preserve"> (0%)</w:t>
      </w:r>
      <w:r>
        <w:t xml:space="preserve"> </w:t>
      </w:r>
      <w:proofErr w:type="gramStart"/>
      <w:r>
        <w:t>(</w:t>
      </w:r>
      <w:r w:rsidR="00086C77">
        <w:fldChar w:fldCharType="begin"/>
      </w:r>
      <w:r w:rsidR="00086C77">
        <w:instrText xml:space="preserve"> REF _Ref333923707 \h  \* MERGEFORMAT </w:instrText>
      </w:r>
      <w:r w:rsidR="00086C77">
        <w:fldChar w:fldCharType="separate"/>
      </w:r>
      <w:r w:rsidR="003361A8">
        <w:t>Table 30</w:t>
      </w:r>
      <w:r w:rsidR="00086C77">
        <w:fldChar w:fldCharType="end"/>
      </w:r>
      <w:r>
        <w:t>)</w:t>
      </w:r>
      <w:r w:rsidR="00AE2E20">
        <w:t>.</w:t>
      </w:r>
      <w:proofErr w:type="gramEnd"/>
      <w:r w:rsidR="00AE2E20">
        <w:t xml:space="preserve"> </w:t>
      </w:r>
    </w:p>
    <w:p w:rsidR="00AE2E20" w:rsidRPr="006D3610" w:rsidRDefault="00AE2E20" w:rsidP="00B150E4">
      <w:r>
        <w:t>This is partially</w:t>
      </w:r>
      <w:r w:rsidRPr="006D3610">
        <w:t xml:space="preserve"> attributable to</w:t>
      </w:r>
      <w:r>
        <w:t xml:space="preserve"> </w:t>
      </w:r>
      <w:r w:rsidRPr="006D3610">
        <w:t xml:space="preserve">variations in adequacy criteria compared with </w:t>
      </w:r>
      <w:r w:rsidR="007476F2">
        <w:t>The Bethesda System</w:t>
      </w:r>
      <w:r w:rsidRPr="006D3610">
        <w:t>.</w:t>
      </w:r>
      <w:r w:rsidR="007C49F4">
        <w:t xml:space="preserve"> </w:t>
      </w:r>
      <w:r>
        <w:t>In particular the Obwegeser study in Switzerland categorised cyt</w:t>
      </w:r>
      <w:r w:rsidR="00FA2264">
        <w:t xml:space="preserve">ological findings according to </w:t>
      </w:r>
      <w:r>
        <w:t xml:space="preserve">the </w:t>
      </w:r>
      <w:r w:rsidRPr="00BC374B">
        <w:t xml:space="preserve">TBS 1991 </w:t>
      </w:r>
      <w:r>
        <w:t xml:space="preserve">system which </w:t>
      </w:r>
      <w:r w:rsidRPr="00BC374B">
        <w:t>allowed</w:t>
      </w:r>
      <w:r w:rsidR="005316A8">
        <w:t xml:space="preserve"> the designation of slides as “</w:t>
      </w:r>
      <w:r w:rsidRPr="00BC374B">
        <w:t>satisfactory but limited by (SBLB)…”, or “unsatisfactory</w:t>
      </w:r>
      <w:r w:rsidR="007C49F4">
        <w:t>”</w:t>
      </w:r>
      <w:r>
        <w:t>. The res</w:t>
      </w:r>
      <w:r w:rsidR="007C49F4">
        <w:t xml:space="preserve">ults presented below represent </w:t>
      </w:r>
      <w:r>
        <w:t>u</w:t>
      </w:r>
      <w:r w:rsidR="007C49F4">
        <w:t>nsatisfactory</w:t>
      </w:r>
      <w:r w:rsidR="00E01F79">
        <w:t xml:space="preserve"> slides only (0/1002, 0.0</w:t>
      </w:r>
      <w:r>
        <w:t>%), when slides classified as SBLB are combined with unsatisfactory slides for the conventional cytology arm, the result is 2.5% (25/1002). Furthermore</w:t>
      </w:r>
      <w:r w:rsidR="007C49F4">
        <w:t>,</w:t>
      </w:r>
      <w:r>
        <w:t xml:space="preserve"> </w:t>
      </w:r>
      <w:r w:rsidRPr="005E41D8">
        <w:t>Obwegeser 2001 details a very different method of sample collection as discussed above</w:t>
      </w:r>
      <w:r w:rsidR="00E01F79">
        <w:t xml:space="preserve"> (section </w:t>
      </w:r>
      <w:r w:rsidR="007476F2">
        <w:t>B.4</w:t>
      </w:r>
      <w:r w:rsidR="00E01F79">
        <w:t>)</w:t>
      </w:r>
      <w:r w:rsidRPr="005E41D8">
        <w:t xml:space="preserve"> which likely reduced the number of unsatisfactory smears. </w:t>
      </w:r>
    </w:p>
    <w:p w:rsidR="00AE2E20" w:rsidRDefault="00AE2E20" w:rsidP="00AE2E20">
      <w:pPr>
        <w:pStyle w:val="Caption"/>
      </w:pPr>
      <w:bookmarkStart w:id="306" w:name="_Ref333923707"/>
      <w:bookmarkStart w:id="307" w:name="_Toc335665996"/>
      <w:bookmarkStart w:id="308" w:name="_Toc337546967"/>
      <w:r>
        <w:t xml:space="preserve">Table </w:t>
      </w:r>
      <w:fldSimple w:instr=" SEQ Table \* ARABIC ">
        <w:r w:rsidR="003361A8">
          <w:rPr>
            <w:noProof/>
          </w:rPr>
          <w:t>30</w:t>
        </w:r>
      </w:fldSimple>
      <w:bookmarkEnd w:id="306"/>
      <w:r>
        <w:tab/>
      </w:r>
      <w:r w:rsidRPr="00BC374B">
        <w:t xml:space="preserve">Unsatisfactory </w:t>
      </w:r>
      <w:r>
        <w:t>cervical cytolog</w:t>
      </w:r>
      <w:r w:rsidR="001310A0">
        <w:t>y smear rates with conventional cytology</w:t>
      </w:r>
      <w:r w:rsidRPr="00BC374B">
        <w:t xml:space="preserve"> </w:t>
      </w:r>
      <w:r>
        <w:t>by year and location</w:t>
      </w:r>
      <w:bookmarkEnd w:id="307"/>
      <w:bookmarkEnd w:id="30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136"/>
        <w:gridCol w:w="1543"/>
        <w:gridCol w:w="1543"/>
        <w:gridCol w:w="1543"/>
        <w:gridCol w:w="1288"/>
      </w:tblGrid>
      <w:tr w:rsidR="00AE2E20" w:rsidRPr="00B150E4" w:rsidTr="00B967C6">
        <w:tc>
          <w:tcPr>
            <w:tcW w:w="1083" w:type="pct"/>
          </w:tcPr>
          <w:p w:rsidR="00AE2E20" w:rsidRPr="00B150E4" w:rsidRDefault="007C49F4" w:rsidP="00AE2E20">
            <w:pPr>
              <w:pStyle w:val="Tabletext"/>
              <w:rPr>
                <w:b/>
              </w:rPr>
            </w:pPr>
            <w:r>
              <w:rPr>
                <w:b/>
              </w:rPr>
              <w:t>Study a</w:t>
            </w:r>
            <w:r w:rsidR="00AE2E20" w:rsidRPr="00B150E4">
              <w:rPr>
                <w:b/>
              </w:rPr>
              <w:t>uthor</w:t>
            </w:r>
          </w:p>
        </w:tc>
        <w:tc>
          <w:tcPr>
            <w:tcW w:w="630" w:type="pct"/>
          </w:tcPr>
          <w:p w:rsidR="00AE2E20" w:rsidRPr="00B150E4" w:rsidRDefault="00AE2E20" w:rsidP="00AE2E20">
            <w:pPr>
              <w:pStyle w:val="Tabletext"/>
              <w:rPr>
                <w:b/>
              </w:rPr>
            </w:pPr>
            <w:r w:rsidRPr="00B150E4">
              <w:rPr>
                <w:b/>
              </w:rPr>
              <w:t>Year</w:t>
            </w:r>
          </w:p>
        </w:tc>
        <w:tc>
          <w:tcPr>
            <w:tcW w:w="857" w:type="pct"/>
          </w:tcPr>
          <w:p w:rsidR="00AE2E20" w:rsidRPr="00B150E4" w:rsidRDefault="00AE2E20" w:rsidP="00AE2E20">
            <w:pPr>
              <w:pStyle w:val="Tabletext"/>
              <w:rPr>
                <w:b/>
              </w:rPr>
            </w:pPr>
            <w:r w:rsidRPr="00B150E4">
              <w:rPr>
                <w:b/>
              </w:rPr>
              <w:t>Total number o</w:t>
            </w:r>
            <w:r w:rsidR="00B150E4">
              <w:rPr>
                <w:b/>
              </w:rPr>
              <w:t>f CC</w:t>
            </w:r>
            <w:r w:rsidRPr="00B150E4">
              <w:rPr>
                <w:b/>
              </w:rPr>
              <w:t xml:space="preserve"> smears </w:t>
            </w:r>
          </w:p>
        </w:tc>
        <w:tc>
          <w:tcPr>
            <w:tcW w:w="857" w:type="pct"/>
          </w:tcPr>
          <w:p w:rsidR="00AE2E20" w:rsidRPr="00B150E4" w:rsidRDefault="00AE2E20" w:rsidP="00AE2E20">
            <w:pPr>
              <w:pStyle w:val="Tabletext"/>
              <w:rPr>
                <w:b/>
              </w:rPr>
            </w:pPr>
            <w:r w:rsidRPr="00B150E4">
              <w:rPr>
                <w:b/>
              </w:rPr>
              <w:t>Number of unsatisfactory smears</w:t>
            </w:r>
          </w:p>
        </w:tc>
        <w:tc>
          <w:tcPr>
            <w:tcW w:w="857" w:type="pct"/>
          </w:tcPr>
          <w:p w:rsidR="00AE2E20" w:rsidRPr="00B150E4" w:rsidRDefault="00AE2E20" w:rsidP="00AE2E20">
            <w:pPr>
              <w:pStyle w:val="Tabletext"/>
              <w:rPr>
                <w:b/>
              </w:rPr>
            </w:pPr>
            <w:r w:rsidRPr="00B150E4">
              <w:rPr>
                <w:b/>
              </w:rPr>
              <w:t>Percentage of unsatisfactory smears</w:t>
            </w:r>
          </w:p>
        </w:tc>
        <w:tc>
          <w:tcPr>
            <w:tcW w:w="715" w:type="pct"/>
          </w:tcPr>
          <w:p w:rsidR="00AE2E20" w:rsidRPr="00B150E4" w:rsidRDefault="00AE2E20" w:rsidP="00AE2E20">
            <w:pPr>
              <w:pStyle w:val="Tabletext"/>
              <w:rPr>
                <w:b/>
              </w:rPr>
            </w:pPr>
            <w:r w:rsidRPr="00B150E4">
              <w:rPr>
                <w:b/>
              </w:rPr>
              <w:t>Location of study</w:t>
            </w:r>
          </w:p>
        </w:tc>
      </w:tr>
      <w:tr w:rsidR="00AE2E20" w:rsidRPr="001310A0" w:rsidTr="00B967C6">
        <w:tc>
          <w:tcPr>
            <w:tcW w:w="1083" w:type="pct"/>
          </w:tcPr>
          <w:p w:rsidR="00AE2E20" w:rsidRPr="001310A0" w:rsidRDefault="00AE2E20" w:rsidP="001310A0">
            <w:pPr>
              <w:pStyle w:val="Tabletext"/>
            </w:pPr>
            <w:r w:rsidRPr="001310A0">
              <w:t>Beerman 2009</w:t>
            </w:r>
          </w:p>
        </w:tc>
        <w:tc>
          <w:tcPr>
            <w:tcW w:w="630" w:type="pct"/>
          </w:tcPr>
          <w:p w:rsidR="00AE2E20" w:rsidRPr="001310A0" w:rsidRDefault="00B150E4" w:rsidP="001310A0">
            <w:pPr>
              <w:pStyle w:val="Tabletext"/>
            </w:pPr>
            <w:r w:rsidRPr="001310A0">
              <w:t>1997–</w:t>
            </w:r>
            <w:r w:rsidR="00AE2E20" w:rsidRPr="001310A0">
              <w:t>2002</w:t>
            </w:r>
          </w:p>
        </w:tc>
        <w:tc>
          <w:tcPr>
            <w:tcW w:w="857" w:type="pct"/>
          </w:tcPr>
          <w:p w:rsidR="00AE2E20" w:rsidRPr="001310A0" w:rsidRDefault="00AE2E20" w:rsidP="001310A0">
            <w:pPr>
              <w:pStyle w:val="Tabletext"/>
            </w:pPr>
            <w:r w:rsidRPr="001310A0">
              <w:t>435</w:t>
            </w:r>
          </w:p>
        </w:tc>
        <w:tc>
          <w:tcPr>
            <w:tcW w:w="857" w:type="pct"/>
          </w:tcPr>
          <w:p w:rsidR="00AE2E20" w:rsidRPr="001310A0" w:rsidRDefault="00AE2E20" w:rsidP="001310A0">
            <w:pPr>
              <w:pStyle w:val="Tabletext"/>
            </w:pPr>
            <w:r w:rsidRPr="001310A0">
              <w:t>51132</w:t>
            </w:r>
          </w:p>
        </w:tc>
        <w:tc>
          <w:tcPr>
            <w:tcW w:w="857" w:type="pct"/>
          </w:tcPr>
          <w:p w:rsidR="00AE2E20" w:rsidRPr="001310A0" w:rsidRDefault="00AE2E20" w:rsidP="001310A0">
            <w:pPr>
              <w:pStyle w:val="Tabletext"/>
            </w:pPr>
            <w:r w:rsidRPr="001310A0">
              <w:t>0.9%</w:t>
            </w:r>
          </w:p>
        </w:tc>
        <w:tc>
          <w:tcPr>
            <w:tcW w:w="715" w:type="pct"/>
          </w:tcPr>
          <w:p w:rsidR="00AE2E20" w:rsidRPr="001310A0" w:rsidRDefault="00AE2E20" w:rsidP="001310A0">
            <w:pPr>
              <w:pStyle w:val="Tabletext"/>
            </w:pPr>
            <w:r w:rsidRPr="001310A0">
              <w:t>Holland</w:t>
            </w:r>
          </w:p>
        </w:tc>
      </w:tr>
      <w:tr w:rsidR="002209F6" w:rsidRPr="001310A0" w:rsidTr="00B967C6">
        <w:tc>
          <w:tcPr>
            <w:tcW w:w="1083" w:type="pct"/>
          </w:tcPr>
          <w:p w:rsidR="002209F6" w:rsidRPr="001310A0" w:rsidRDefault="002209F6" w:rsidP="001310A0">
            <w:pPr>
              <w:pStyle w:val="Tabletext"/>
            </w:pPr>
            <w:r w:rsidRPr="001310A0">
              <w:t>Ronco 2007</w:t>
            </w:r>
          </w:p>
        </w:tc>
        <w:tc>
          <w:tcPr>
            <w:tcW w:w="630" w:type="pct"/>
          </w:tcPr>
          <w:p w:rsidR="002209F6" w:rsidRPr="001310A0" w:rsidRDefault="002209F6" w:rsidP="001310A0">
            <w:pPr>
              <w:pStyle w:val="Tabletext"/>
            </w:pPr>
            <w:r w:rsidRPr="001310A0">
              <w:t>2002–2003</w:t>
            </w:r>
          </w:p>
        </w:tc>
        <w:tc>
          <w:tcPr>
            <w:tcW w:w="857" w:type="pct"/>
          </w:tcPr>
          <w:p w:rsidR="002209F6" w:rsidRPr="001310A0" w:rsidRDefault="002209F6" w:rsidP="001310A0">
            <w:pPr>
              <w:pStyle w:val="Tabletext"/>
            </w:pPr>
            <w:r w:rsidRPr="001310A0">
              <w:t>923</w:t>
            </w:r>
          </w:p>
        </w:tc>
        <w:tc>
          <w:tcPr>
            <w:tcW w:w="857" w:type="pct"/>
          </w:tcPr>
          <w:p w:rsidR="002209F6" w:rsidRPr="001310A0" w:rsidRDefault="002209F6" w:rsidP="001310A0">
            <w:pPr>
              <w:pStyle w:val="Tabletext"/>
            </w:pPr>
            <w:r w:rsidRPr="001310A0">
              <w:t>22466</w:t>
            </w:r>
          </w:p>
        </w:tc>
        <w:tc>
          <w:tcPr>
            <w:tcW w:w="857" w:type="pct"/>
          </w:tcPr>
          <w:p w:rsidR="002209F6" w:rsidRPr="001310A0" w:rsidRDefault="002209F6" w:rsidP="001310A0">
            <w:pPr>
              <w:pStyle w:val="Tabletext"/>
            </w:pPr>
            <w:r w:rsidRPr="001310A0">
              <w:t>4.1%</w:t>
            </w:r>
          </w:p>
        </w:tc>
        <w:tc>
          <w:tcPr>
            <w:tcW w:w="715" w:type="pct"/>
          </w:tcPr>
          <w:p w:rsidR="002209F6" w:rsidRPr="001310A0" w:rsidRDefault="002209F6" w:rsidP="001310A0">
            <w:pPr>
              <w:pStyle w:val="Tabletext"/>
            </w:pPr>
            <w:r w:rsidRPr="001310A0">
              <w:t>Italy</w:t>
            </w:r>
          </w:p>
        </w:tc>
      </w:tr>
      <w:tr w:rsidR="00AE2E20" w:rsidRPr="001310A0" w:rsidTr="00B967C6">
        <w:tc>
          <w:tcPr>
            <w:tcW w:w="1083" w:type="pct"/>
          </w:tcPr>
          <w:p w:rsidR="00AE2E20" w:rsidRPr="001310A0" w:rsidRDefault="00AE2E20" w:rsidP="001310A0">
            <w:pPr>
              <w:pStyle w:val="Tabletext"/>
            </w:pPr>
            <w:r w:rsidRPr="001310A0">
              <w:t>Strander 2007</w:t>
            </w:r>
          </w:p>
        </w:tc>
        <w:tc>
          <w:tcPr>
            <w:tcW w:w="630" w:type="pct"/>
          </w:tcPr>
          <w:p w:rsidR="00AE2E20" w:rsidRPr="001310A0" w:rsidRDefault="00B150E4" w:rsidP="001310A0">
            <w:pPr>
              <w:pStyle w:val="Tabletext"/>
            </w:pPr>
            <w:r w:rsidRPr="001310A0">
              <w:t>2002–</w:t>
            </w:r>
            <w:r w:rsidR="00AE2E20" w:rsidRPr="001310A0">
              <w:t>2003</w:t>
            </w:r>
          </w:p>
        </w:tc>
        <w:tc>
          <w:tcPr>
            <w:tcW w:w="857" w:type="pct"/>
          </w:tcPr>
          <w:p w:rsidR="00AE2E20" w:rsidRPr="001310A0" w:rsidRDefault="00AE2E20" w:rsidP="001310A0">
            <w:pPr>
              <w:pStyle w:val="Tabletext"/>
            </w:pPr>
            <w:r w:rsidRPr="001310A0">
              <w:t>62</w:t>
            </w:r>
          </w:p>
        </w:tc>
        <w:tc>
          <w:tcPr>
            <w:tcW w:w="857" w:type="pct"/>
          </w:tcPr>
          <w:p w:rsidR="00AE2E20" w:rsidRPr="001310A0" w:rsidRDefault="00AE2E20" w:rsidP="001310A0">
            <w:pPr>
              <w:pStyle w:val="Tabletext"/>
            </w:pPr>
            <w:r w:rsidRPr="001310A0">
              <w:t>8810</w:t>
            </w:r>
          </w:p>
        </w:tc>
        <w:tc>
          <w:tcPr>
            <w:tcW w:w="857" w:type="pct"/>
          </w:tcPr>
          <w:p w:rsidR="00AE2E20" w:rsidRPr="001310A0" w:rsidRDefault="00AE2E20" w:rsidP="001310A0">
            <w:pPr>
              <w:pStyle w:val="Tabletext"/>
            </w:pPr>
            <w:r w:rsidRPr="001310A0">
              <w:t>0.7%</w:t>
            </w:r>
          </w:p>
        </w:tc>
        <w:tc>
          <w:tcPr>
            <w:tcW w:w="715" w:type="pct"/>
          </w:tcPr>
          <w:p w:rsidR="00AE2E20" w:rsidRPr="001310A0" w:rsidRDefault="00AE2E20" w:rsidP="001310A0">
            <w:pPr>
              <w:pStyle w:val="Tabletext"/>
            </w:pPr>
            <w:r w:rsidRPr="001310A0">
              <w:t>Sweden</w:t>
            </w:r>
          </w:p>
        </w:tc>
      </w:tr>
      <w:tr w:rsidR="00AE2E20" w:rsidRPr="001310A0" w:rsidTr="00B967C6">
        <w:tc>
          <w:tcPr>
            <w:tcW w:w="1083" w:type="pct"/>
          </w:tcPr>
          <w:p w:rsidR="00AE2E20" w:rsidRPr="001310A0" w:rsidRDefault="00AE2E20" w:rsidP="001310A0">
            <w:pPr>
              <w:pStyle w:val="Tabletext"/>
            </w:pPr>
            <w:r w:rsidRPr="001310A0">
              <w:t>Siebers 2008</w:t>
            </w:r>
          </w:p>
        </w:tc>
        <w:tc>
          <w:tcPr>
            <w:tcW w:w="630" w:type="pct"/>
          </w:tcPr>
          <w:p w:rsidR="00AE2E20" w:rsidRPr="001310A0" w:rsidRDefault="00AE2E20" w:rsidP="001310A0">
            <w:pPr>
              <w:pStyle w:val="Tabletext"/>
            </w:pPr>
            <w:r w:rsidRPr="001310A0">
              <w:t>2003</w:t>
            </w:r>
            <w:r w:rsidR="00B150E4" w:rsidRPr="001310A0">
              <w:t>–</w:t>
            </w:r>
            <w:r w:rsidRPr="001310A0">
              <w:t>2006</w:t>
            </w:r>
          </w:p>
        </w:tc>
        <w:tc>
          <w:tcPr>
            <w:tcW w:w="857" w:type="pct"/>
          </w:tcPr>
          <w:p w:rsidR="00AE2E20" w:rsidRPr="001310A0" w:rsidRDefault="00AE2E20" w:rsidP="001310A0">
            <w:pPr>
              <w:pStyle w:val="Tabletext"/>
            </w:pPr>
            <w:r w:rsidRPr="001310A0">
              <w:t>434</w:t>
            </w:r>
          </w:p>
        </w:tc>
        <w:tc>
          <w:tcPr>
            <w:tcW w:w="857" w:type="pct"/>
          </w:tcPr>
          <w:p w:rsidR="00AE2E20" w:rsidRPr="001310A0" w:rsidRDefault="00AE2E20" w:rsidP="001310A0">
            <w:pPr>
              <w:pStyle w:val="Tabletext"/>
            </w:pPr>
            <w:r w:rsidRPr="001310A0">
              <w:t>39010</w:t>
            </w:r>
          </w:p>
        </w:tc>
        <w:tc>
          <w:tcPr>
            <w:tcW w:w="857" w:type="pct"/>
          </w:tcPr>
          <w:p w:rsidR="00AE2E20" w:rsidRPr="001310A0" w:rsidRDefault="00AE2E20" w:rsidP="001310A0">
            <w:pPr>
              <w:pStyle w:val="Tabletext"/>
            </w:pPr>
            <w:r w:rsidRPr="001310A0">
              <w:t>1.11%</w:t>
            </w:r>
          </w:p>
        </w:tc>
        <w:tc>
          <w:tcPr>
            <w:tcW w:w="715" w:type="pct"/>
          </w:tcPr>
          <w:p w:rsidR="00AE2E20" w:rsidRPr="001310A0" w:rsidRDefault="00AE2E20" w:rsidP="001310A0">
            <w:pPr>
              <w:pStyle w:val="Tabletext"/>
            </w:pPr>
            <w:r w:rsidRPr="001310A0">
              <w:t>Netherlands</w:t>
            </w:r>
          </w:p>
        </w:tc>
      </w:tr>
      <w:tr w:rsidR="00AE2E20" w:rsidRPr="001310A0" w:rsidTr="00B967C6">
        <w:tc>
          <w:tcPr>
            <w:tcW w:w="1083" w:type="pct"/>
          </w:tcPr>
          <w:p w:rsidR="00AE2E20" w:rsidRPr="001310A0" w:rsidRDefault="00AE2E20" w:rsidP="001310A0">
            <w:pPr>
              <w:pStyle w:val="Tabletext"/>
            </w:pPr>
            <w:r w:rsidRPr="001310A0">
              <w:t>Mac</w:t>
            </w:r>
            <w:r w:rsidR="00A16B52">
              <w:t>c</w:t>
            </w:r>
            <w:r w:rsidRPr="001310A0">
              <w:t>allini 2008</w:t>
            </w:r>
          </w:p>
        </w:tc>
        <w:tc>
          <w:tcPr>
            <w:tcW w:w="630" w:type="pct"/>
          </w:tcPr>
          <w:p w:rsidR="00AE2E20" w:rsidRPr="001310A0" w:rsidRDefault="00B150E4" w:rsidP="001310A0">
            <w:pPr>
              <w:pStyle w:val="Tabletext"/>
            </w:pPr>
            <w:r w:rsidRPr="001310A0">
              <w:t>2001–</w:t>
            </w:r>
            <w:r w:rsidR="00AE2E20" w:rsidRPr="001310A0">
              <w:t>2002</w:t>
            </w:r>
          </w:p>
        </w:tc>
        <w:tc>
          <w:tcPr>
            <w:tcW w:w="857" w:type="pct"/>
          </w:tcPr>
          <w:p w:rsidR="00AE2E20" w:rsidRPr="001310A0" w:rsidRDefault="00AE2E20" w:rsidP="001310A0">
            <w:pPr>
              <w:pStyle w:val="Tabletext"/>
            </w:pPr>
            <w:r w:rsidRPr="001310A0">
              <w:t>185</w:t>
            </w:r>
          </w:p>
        </w:tc>
        <w:tc>
          <w:tcPr>
            <w:tcW w:w="857" w:type="pct"/>
          </w:tcPr>
          <w:p w:rsidR="00AE2E20" w:rsidRPr="001310A0" w:rsidRDefault="00AE2E20" w:rsidP="001310A0">
            <w:pPr>
              <w:pStyle w:val="Tabletext"/>
            </w:pPr>
            <w:r w:rsidRPr="001310A0">
              <w:t>4299</w:t>
            </w:r>
          </w:p>
        </w:tc>
        <w:tc>
          <w:tcPr>
            <w:tcW w:w="857" w:type="pct"/>
          </w:tcPr>
          <w:p w:rsidR="00AE2E20" w:rsidRPr="001310A0" w:rsidRDefault="00AE2E20" w:rsidP="001310A0">
            <w:pPr>
              <w:pStyle w:val="Tabletext"/>
            </w:pPr>
            <w:r w:rsidRPr="001310A0">
              <w:t>4.3%</w:t>
            </w:r>
          </w:p>
        </w:tc>
        <w:tc>
          <w:tcPr>
            <w:tcW w:w="715" w:type="pct"/>
          </w:tcPr>
          <w:p w:rsidR="00AE2E20" w:rsidRPr="001310A0" w:rsidRDefault="00AE2E20" w:rsidP="001310A0">
            <w:pPr>
              <w:pStyle w:val="Tabletext"/>
            </w:pPr>
            <w:r w:rsidRPr="001310A0">
              <w:t>Italy</w:t>
            </w:r>
          </w:p>
        </w:tc>
      </w:tr>
      <w:tr w:rsidR="00AE2E20" w:rsidRPr="001310A0" w:rsidTr="00B967C6">
        <w:tc>
          <w:tcPr>
            <w:tcW w:w="1083" w:type="pct"/>
          </w:tcPr>
          <w:p w:rsidR="00AE2E20" w:rsidRPr="001310A0" w:rsidRDefault="00AE2E20" w:rsidP="001310A0">
            <w:pPr>
              <w:pStyle w:val="Tabletext"/>
            </w:pPr>
            <w:r w:rsidRPr="001310A0">
              <w:t>Obwegeser 2001</w:t>
            </w:r>
          </w:p>
        </w:tc>
        <w:tc>
          <w:tcPr>
            <w:tcW w:w="630" w:type="pct"/>
          </w:tcPr>
          <w:p w:rsidR="00AE2E20" w:rsidRPr="001310A0" w:rsidRDefault="00AE2E20" w:rsidP="001310A0">
            <w:pPr>
              <w:pStyle w:val="Tabletext"/>
            </w:pPr>
            <w:r w:rsidRPr="001310A0">
              <w:t>1998</w:t>
            </w:r>
          </w:p>
        </w:tc>
        <w:tc>
          <w:tcPr>
            <w:tcW w:w="857" w:type="pct"/>
          </w:tcPr>
          <w:p w:rsidR="00AE2E20" w:rsidRPr="001310A0" w:rsidRDefault="00AE2E20" w:rsidP="001310A0">
            <w:pPr>
              <w:pStyle w:val="Tabletext"/>
            </w:pPr>
            <w:r w:rsidRPr="001310A0">
              <w:t>0</w:t>
            </w:r>
          </w:p>
        </w:tc>
        <w:tc>
          <w:tcPr>
            <w:tcW w:w="857" w:type="pct"/>
          </w:tcPr>
          <w:p w:rsidR="00AE2E20" w:rsidRPr="001310A0" w:rsidRDefault="00AE2E20" w:rsidP="001310A0">
            <w:pPr>
              <w:pStyle w:val="Tabletext"/>
            </w:pPr>
            <w:r w:rsidRPr="001310A0">
              <w:t>1002</w:t>
            </w:r>
          </w:p>
        </w:tc>
        <w:tc>
          <w:tcPr>
            <w:tcW w:w="857" w:type="pct"/>
          </w:tcPr>
          <w:p w:rsidR="00AE2E20" w:rsidRPr="001310A0" w:rsidRDefault="00AE2E20" w:rsidP="001310A0">
            <w:pPr>
              <w:pStyle w:val="Tabletext"/>
            </w:pPr>
            <w:r w:rsidRPr="001310A0">
              <w:t>0.0%</w:t>
            </w:r>
          </w:p>
        </w:tc>
        <w:tc>
          <w:tcPr>
            <w:tcW w:w="715" w:type="pct"/>
          </w:tcPr>
          <w:p w:rsidR="00AE2E20" w:rsidRPr="001310A0" w:rsidRDefault="00AE2E20" w:rsidP="001310A0">
            <w:pPr>
              <w:pStyle w:val="Tabletext"/>
            </w:pPr>
            <w:r w:rsidRPr="001310A0">
              <w:t>Switzerland</w:t>
            </w:r>
          </w:p>
        </w:tc>
      </w:tr>
    </w:tbl>
    <w:p w:rsidR="00AE2E20" w:rsidRDefault="005316A8" w:rsidP="005316A8">
      <w:pPr>
        <w:pStyle w:val="Tabletext"/>
      </w:pPr>
      <w:r>
        <w:t>Abbreviations: CC, conventional cytology</w:t>
      </w:r>
    </w:p>
    <w:p w:rsidR="005316A8" w:rsidRDefault="005316A8" w:rsidP="005316A8"/>
    <w:p w:rsidR="0092045B" w:rsidRDefault="00A16B52" w:rsidP="00B150E4">
      <w:r>
        <w:t>T</w:t>
      </w:r>
      <w:r w:rsidR="0092045B">
        <w:t xml:space="preserve">he cell filtration </w:t>
      </w:r>
      <w:r w:rsidR="00E01F79">
        <w:t xml:space="preserve">LBC </w:t>
      </w:r>
      <w:r w:rsidR="007C49F4">
        <w:t>study by Strander 2007</w:t>
      </w:r>
      <w:r w:rsidR="0092045B">
        <w:t xml:space="preserve"> has the closest baseline rate of unsatisfactory</w:t>
      </w:r>
      <w:r w:rsidR="007C49F4">
        <w:t xml:space="preserve"> slides (0.7% in CC) compared with</w:t>
      </w:r>
      <w:r w:rsidR="0092045B">
        <w:t xml:space="preserve"> the cell enrichment </w:t>
      </w:r>
      <w:r w:rsidR="00E01F79">
        <w:t xml:space="preserve">LBC </w:t>
      </w:r>
      <w:r w:rsidR="0092045B">
        <w:t xml:space="preserve">trial reported by </w:t>
      </w:r>
      <w:r w:rsidR="007C49F4">
        <w:t>Beerman 2009</w:t>
      </w:r>
      <w:r w:rsidR="001310A0">
        <w:t xml:space="preserve"> </w:t>
      </w:r>
      <w:r w:rsidR="0092045B">
        <w:t>(0.9% in CC)</w:t>
      </w:r>
      <w:r>
        <w:t xml:space="preserve"> (</w:t>
      </w:r>
      <w:r w:rsidR="00086C77">
        <w:fldChar w:fldCharType="begin"/>
      </w:r>
      <w:r w:rsidR="00086C77">
        <w:instrText xml:space="preserve"> REF _Ref333923707 \h  \* MERGEFORMAT </w:instrText>
      </w:r>
      <w:r w:rsidR="00086C77">
        <w:fldChar w:fldCharType="separate"/>
      </w:r>
      <w:r w:rsidR="003361A8">
        <w:t>Table 30</w:t>
      </w:r>
      <w:r w:rsidR="00086C77">
        <w:fldChar w:fldCharType="end"/>
      </w:r>
      <w:r>
        <w:t>)</w:t>
      </w:r>
      <w:r w:rsidR="0092045B">
        <w:t xml:space="preserve">. </w:t>
      </w:r>
      <w:r w:rsidR="00625202">
        <w:t>Given the results of the pooled analysis of cell filtration trials cannot be used due to heterogeneity</w:t>
      </w:r>
      <w:r w:rsidR="0092045B">
        <w:t xml:space="preserve"> and the similarity in the trial </w:t>
      </w:r>
      <w:r w:rsidR="007C49F4">
        <w:t>designs between Beerman 2009 and Strander 2007</w:t>
      </w:r>
      <w:r w:rsidR="0092045B">
        <w:t xml:space="preserve">, only these two trials were included in the indirect comparison of cell enrichment LBC and cell filtration LBC in the proportion of unsatisfactory slides reported. </w:t>
      </w:r>
      <w:r w:rsidR="00AE2E20">
        <w:t>Furthermore</w:t>
      </w:r>
      <w:r w:rsidR="00E01F79">
        <w:t>,</w:t>
      </w:r>
      <w:r w:rsidR="00AE2E20">
        <w:t xml:space="preserve"> because</w:t>
      </w:r>
      <w:r w:rsidR="00E01F79">
        <w:t xml:space="preserve"> </w:t>
      </w:r>
      <w:r w:rsidR="00AE2E20">
        <w:t xml:space="preserve">of the heterogeneity the indirect comparison is performed on a relative scale rather than an absolute. </w:t>
      </w:r>
      <w:r w:rsidR="0092045B">
        <w:t xml:space="preserve">The validity of using one trial to represent cell filtration LBC is further justified based on the similarity </w:t>
      </w:r>
      <w:r w:rsidR="0092045B">
        <w:lastRenderedPageBreak/>
        <w:t>of results upon comparison of the pooled OR from the cell filtration trials (OR 0.44, 95%</w:t>
      </w:r>
      <w:r w:rsidR="00D33C7B">
        <w:t xml:space="preserve"> </w:t>
      </w:r>
      <w:r w:rsidR="0092045B">
        <w:t>CI 0.27 to -0.7</w:t>
      </w:r>
      <w:r w:rsidR="00D33C7B">
        <w:t xml:space="preserve">3) and that for Strander 2007 </w:t>
      </w:r>
      <w:r w:rsidR="0092045B">
        <w:t>(OR 0.42, 95%</w:t>
      </w:r>
      <w:r w:rsidR="00D33C7B">
        <w:t xml:space="preserve"> </w:t>
      </w:r>
      <w:r w:rsidR="0092045B">
        <w:t xml:space="preserve">CI 0.24 to -0.76). </w:t>
      </w:r>
    </w:p>
    <w:p w:rsidR="00C06545" w:rsidRDefault="00C06545" w:rsidP="00C06545">
      <w:r>
        <w:t xml:space="preserve">It is noted however that despite the inability to pool the results a review of the forest plots indicates that all trials, except Obwegeser 2001, irrespective of sample size and baseline rate of unsatisfactory slides demonstrates a significant reduction in unsatisfactory slides with LBC. </w:t>
      </w:r>
    </w:p>
    <w:p w:rsidR="00AE2E20" w:rsidRPr="00B150E4" w:rsidRDefault="00AE2E20" w:rsidP="00D33C7B">
      <w:pPr>
        <w:pStyle w:val="Heading50"/>
      </w:pPr>
      <w:r w:rsidRPr="00B150E4">
        <w:t>Indirect comparison</w:t>
      </w:r>
    </w:p>
    <w:p w:rsidR="001A0BB9" w:rsidRDefault="00A16B52" w:rsidP="00B150E4">
      <w:r>
        <w:t>T</w:t>
      </w:r>
      <w:r w:rsidR="001A0BB9">
        <w:t xml:space="preserve">he results of the indirect comparison of the proportion of </w:t>
      </w:r>
      <w:r w:rsidR="0092045B">
        <w:t>unsatisfactory slides with cell enrichment LBC and cell filtration LBC</w:t>
      </w:r>
      <w:r w:rsidR="001A0BB9">
        <w:t xml:space="preserve"> showed that there was </w:t>
      </w:r>
      <w:r w:rsidR="0092045B">
        <w:t xml:space="preserve">a </w:t>
      </w:r>
      <w:r w:rsidR="001A0BB9">
        <w:t xml:space="preserve">statistically significant difference between </w:t>
      </w:r>
      <w:r w:rsidR="0092045B">
        <w:t>cell enrichment LBC and cell filtration LBC (indirect O</w:t>
      </w:r>
      <w:r w:rsidR="001A0BB9">
        <w:t xml:space="preserve">R [95% CI] </w:t>
      </w:r>
      <w:r w:rsidR="00D33C7B">
        <w:t>0.3586 (0.19, 0.69), P</w:t>
      </w:r>
      <w:r w:rsidR="0092045B" w:rsidRPr="0092045B">
        <w:t>=0.0022</w:t>
      </w:r>
      <w:r w:rsidR="001A0BB9">
        <w:t>)</w:t>
      </w:r>
      <w:r>
        <w:t xml:space="preserve"> (</w:t>
      </w:r>
      <w:r w:rsidR="00086C77">
        <w:fldChar w:fldCharType="begin"/>
      </w:r>
      <w:r w:rsidR="00086C77">
        <w:instrText xml:space="preserve"> REF _Ref333955921 \h  \* MERGEFORMAT </w:instrText>
      </w:r>
      <w:r w:rsidR="00086C77">
        <w:fldChar w:fldCharType="separate"/>
      </w:r>
      <w:r w:rsidR="003361A8">
        <w:t xml:space="preserve">Table </w:t>
      </w:r>
      <w:r w:rsidR="003361A8">
        <w:rPr>
          <w:noProof/>
        </w:rPr>
        <w:t>31</w:t>
      </w:r>
      <w:r w:rsidR="00086C77">
        <w:fldChar w:fldCharType="end"/>
      </w:r>
      <w:r>
        <w:t>)</w:t>
      </w:r>
      <w:r w:rsidR="001A0BB9">
        <w:t>. The higher incidence</w:t>
      </w:r>
      <w:r w:rsidR="0092045B">
        <w:t xml:space="preserve"> o</w:t>
      </w:r>
      <w:r w:rsidR="00296C87">
        <w:t>f</w:t>
      </w:r>
      <w:r w:rsidR="0092045B">
        <w:t xml:space="preserve"> unsatisfactory slides </w:t>
      </w:r>
      <w:r w:rsidR="001A0BB9">
        <w:t xml:space="preserve">seen </w:t>
      </w:r>
      <w:r w:rsidR="0092045B">
        <w:t xml:space="preserve">with cell filtration LBC </w:t>
      </w:r>
      <w:r w:rsidR="001A0BB9">
        <w:t xml:space="preserve">compared with </w:t>
      </w:r>
      <w:r w:rsidR="0092045B">
        <w:t>cell enrichment LBC (0.</w:t>
      </w:r>
      <w:r w:rsidR="001A0BB9">
        <w:t xml:space="preserve">3% versus </w:t>
      </w:r>
      <w:r w:rsidR="0092045B">
        <w:t>0.1</w:t>
      </w:r>
      <w:r w:rsidR="001A0BB9">
        <w:t xml:space="preserve">%) </w:t>
      </w:r>
      <w:r w:rsidR="00296C87">
        <w:t>is</w:t>
      </w:r>
      <w:r w:rsidR="0092045B">
        <w:t xml:space="preserve"> most likely a function of differences in the proprietary methodology for each platform (</w:t>
      </w:r>
      <w:r w:rsidR="00296C87">
        <w:t xml:space="preserve">cell filtration LBC </w:t>
      </w:r>
      <w:r w:rsidR="0092045B">
        <w:t>filter-bas</w:t>
      </w:r>
      <w:r w:rsidR="00D33C7B">
        <w:t xml:space="preserve">ed technology versus </w:t>
      </w:r>
      <w:r w:rsidR="00296C87">
        <w:t xml:space="preserve">cell enrichment LBC </w:t>
      </w:r>
      <w:r w:rsidR="00D33C7B">
        <w:t xml:space="preserve"> density/</w:t>
      </w:r>
      <w:r w:rsidR="0092045B">
        <w:t xml:space="preserve">sedimentation/enrichment process. Differences are also encountered when </w:t>
      </w:r>
      <w:r w:rsidR="00D33C7B">
        <w:t xml:space="preserve">collecting the sample; cell filtration LBC </w:t>
      </w:r>
      <w:r w:rsidR="0092045B">
        <w:t>requires the collector to rinse the collection device in the liquid media followed by disposal of the collection d</w:t>
      </w:r>
      <w:r w:rsidR="00D33C7B">
        <w:t>evice. In contrast, the cell enrichment LBC</w:t>
      </w:r>
      <w:r w:rsidR="0092045B">
        <w:t xml:space="preserve"> collection device is placed in the media and sent to the laboratory for processing. This difference has been demonstrated to account for up to 3</w:t>
      </w:r>
      <w:r w:rsidR="009C0922">
        <w:t>7</w:t>
      </w:r>
      <w:r w:rsidR="0092045B">
        <w:t xml:space="preserve">% loss of the </w:t>
      </w:r>
      <w:r w:rsidR="00D33C7B">
        <w:t>cell filtration LBC</w:t>
      </w:r>
      <w:r w:rsidR="0092045B">
        <w:t xml:space="preserve"> sample in a study by Bi</w:t>
      </w:r>
      <w:r w:rsidR="00D33C7B">
        <w:t xml:space="preserve">gras </w:t>
      </w:r>
      <w:r w:rsidR="007476F2">
        <w:t>2003</w:t>
      </w:r>
      <w:r w:rsidR="00971159">
        <w:t>.</w:t>
      </w:r>
      <w:r w:rsidR="0092045B">
        <w:t xml:space="preserve"> These preparatory differences represent a significant techn</w:t>
      </w:r>
      <w:r w:rsidR="00D33C7B">
        <w:t>ical difference (Fontaine</w:t>
      </w:r>
      <w:r w:rsidR="0092045B">
        <w:t xml:space="preserve"> 2012)</w:t>
      </w:r>
      <w:r w:rsidR="00D33C7B">
        <w:t>.</w:t>
      </w:r>
    </w:p>
    <w:p w:rsidR="001A0BB9" w:rsidRDefault="001A0BB9" w:rsidP="001A0BB9">
      <w:pPr>
        <w:pStyle w:val="Caption"/>
      </w:pPr>
      <w:bookmarkStart w:id="309" w:name="_Ref333955921"/>
      <w:bookmarkStart w:id="310" w:name="_Toc335665997"/>
      <w:bookmarkStart w:id="311" w:name="_Toc337546968"/>
      <w:r>
        <w:t xml:space="preserve">Table </w:t>
      </w:r>
      <w:fldSimple w:instr=" SEQ Table \* ARABIC ">
        <w:r w:rsidR="003361A8">
          <w:rPr>
            <w:noProof/>
          </w:rPr>
          <w:t>31</w:t>
        </w:r>
      </w:fldSimple>
      <w:bookmarkEnd w:id="309"/>
      <w:r>
        <w:tab/>
      </w:r>
      <w:r w:rsidRPr="001A0BB9">
        <w:t>Summary of results</w:t>
      </w:r>
      <w:r>
        <w:t xml:space="preserve"> of the indirect comparison of </w:t>
      </w:r>
      <w:r w:rsidRPr="001A0BB9">
        <w:t xml:space="preserve">cell enrichment LBC and cell filtration LBC proportion with </w:t>
      </w:r>
      <w:r>
        <w:t>unsatisfactory slides</w:t>
      </w:r>
      <w:bookmarkEnd w:id="310"/>
      <w:bookmarkEnd w:id="31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1154"/>
        <w:gridCol w:w="1154"/>
        <w:gridCol w:w="1367"/>
        <w:gridCol w:w="1174"/>
        <w:gridCol w:w="1198"/>
        <w:gridCol w:w="1082"/>
        <w:gridCol w:w="947"/>
      </w:tblGrid>
      <w:tr w:rsidR="0092045B" w:rsidRPr="00B150E4" w:rsidTr="00B150E4">
        <w:tc>
          <w:tcPr>
            <w:tcW w:w="515" w:type="pct"/>
          </w:tcPr>
          <w:p w:rsidR="0092045B" w:rsidRPr="00B150E4" w:rsidRDefault="0092045B" w:rsidP="00444D1B">
            <w:pPr>
              <w:pStyle w:val="Tabletext"/>
              <w:rPr>
                <w:b/>
              </w:rPr>
            </w:pPr>
          </w:p>
        </w:tc>
        <w:tc>
          <w:tcPr>
            <w:tcW w:w="2041" w:type="pct"/>
            <w:gridSpan w:val="3"/>
          </w:tcPr>
          <w:p w:rsidR="0092045B" w:rsidRPr="00B150E4" w:rsidRDefault="0092045B" w:rsidP="00444D1B">
            <w:pPr>
              <w:pStyle w:val="Tabletext"/>
              <w:rPr>
                <w:b/>
              </w:rPr>
            </w:pPr>
            <w:r w:rsidRPr="00B150E4">
              <w:rPr>
                <w:b/>
              </w:rPr>
              <w:t>Trial of cell enrichment LBC</w:t>
            </w:r>
          </w:p>
        </w:tc>
        <w:tc>
          <w:tcPr>
            <w:tcW w:w="1918" w:type="pct"/>
            <w:gridSpan w:val="3"/>
          </w:tcPr>
          <w:p w:rsidR="0092045B" w:rsidRPr="00B150E4" w:rsidRDefault="0092045B" w:rsidP="00444D1B">
            <w:pPr>
              <w:pStyle w:val="Tabletext"/>
              <w:rPr>
                <w:b/>
              </w:rPr>
            </w:pPr>
            <w:r w:rsidRPr="00B150E4">
              <w:rPr>
                <w:b/>
              </w:rPr>
              <w:t>Trial of cell filtration LBC</w:t>
            </w:r>
          </w:p>
        </w:tc>
        <w:tc>
          <w:tcPr>
            <w:tcW w:w="526" w:type="pct"/>
            <w:vMerge w:val="restart"/>
          </w:tcPr>
          <w:p w:rsidR="0092045B" w:rsidRPr="00B150E4" w:rsidRDefault="0092045B" w:rsidP="00444D1B">
            <w:pPr>
              <w:pStyle w:val="Tabletext"/>
              <w:rPr>
                <w:b/>
              </w:rPr>
            </w:pPr>
            <w:r w:rsidRPr="00B150E4">
              <w:rPr>
                <w:b/>
              </w:rPr>
              <w:t>Indirect estimate of effect OR [95%</w:t>
            </w:r>
            <w:r w:rsidR="005316A8">
              <w:rPr>
                <w:b/>
              </w:rPr>
              <w:t xml:space="preserve"> </w:t>
            </w:r>
            <w:r w:rsidRPr="00B150E4">
              <w:rPr>
                <w:b/>
              </w:rPr>
              <w:t>CI]</w:t>
            </w:r>
          </w:p>
        </w:tc>
      </w:tr>
      <w:tr w:rsidR="0092045B" w:rsidRPr="00B150E4" w:rsidTr="00B150E4">
        <w:tc>
          <w:tcPr>
            <w:tcW w:w="515" w:type="pct"/>
          </w:tcPr>
          <w:p w:rsidR="0092045B" w:rsidRPr="00B150E4" w:rsidRDefault="0092045B" w:rsidP="00444D1B">
            <w:pPr>
              <w:pStyle w:val="Tabletext"/>
              <w:rPr>
                <w:b/>
              </w:rPr>
            </w:pPr>
          </w:p>
        </w:tc>
        <w:tc>
          <w:tcPr>
            <w:tcW w:w="641" w:type="pct"/>
          </w:tcPr>
          <w:p w:rsidR="0092045B" w:rsidRPr="00B150E4" w:rsidRDefault="0092045B" w:rsidP="00275488">
            <w:pPr>
              <w:pStyle w:val="Tabletext"/>
              <w:rPr>
                <w:b/>
              </w:rPr>
            </w:pPr>
            <w:r w:rsidRPr="00B150E4">
              <w:rPr>
                <w:b/>
              </w:rPr>
              <w:t>Treatment effect O</w:t>
            </w:r>
            <w:r w:rsidR="00275488" w:rsidRPr="00B150E4">
              <w:rPr>
                <w:b/>
              </w:rPr>
              <w:t>R (</w:t>
            </w:r>
            <w:r w:rsidR="005E0D57">
              <w:rPr>
                <w:b/>
              </w:rPr>
              <w:t>95% CI</w:t>
            </w:r>
            <w:r w:rsidR="00275488" w:rsidRPr="00B150E4">
              <w:rPr>
                <w:b/>
              </w:rPr>
              <w:t>)</w:t>
            </w:r>
          </w:p>
        </w:tc>
        <w:tc>
          <w:tcPr>
            <w:tcW w:w="641" w:type="pct"/>
          </w:tcPr>
          <w:p w:rsidR="0092045B" w:rsidRPr="00B150E4" w:rsidRDefault="0092045B" w:rsidP="00444D1B">
            <w:pPr>
              <w:pStyle w:val="Tabletext"/>
              <w:rPr>
                <w:b/>
              </w:rPr>
            </w:pPr>
            <w:r w:rsidRPr="00B150E4">
              <w:rPr>
                <w:b/>
              </w:rPr>
              <w:t>Cell enrichment LBC, %(n/N)</w:t>
            </w:r>
          </w:p>
        </w:tc>
        <w:tc>
          <w:tcPr>
            <w:tcW w:w="759" w:type="pct"/>
          </w:tcPr>
          <w:p w:rsidR="0092045B" w:rsidRPr="00B150E4" w:rsidRDefault="00B150E4" w:rsidP="00444D1B">
            <w:pPr>
              <w:pStyle w:val="Tabletext"/>
              <w:rPr>
                <w:b/>
              </w:rPr>
            </w:pPr>
            <w:r>
              <w:rPr>
                <w:b/>
              </w:rPr>
              <w:t>CC</w:t>
            </w:r>
            <w:r w:rsidR="0092045B" w:rsidRPr="00B150E4">
              <w:rPr>
                <w:b/>
              </w:rPr>
              <w:t>, %(n/N)</w:t>
            </w:r>
          </w:p>
        </w:tc>
        <w:tc>
          <w:tcPr>
            <w:tcW w:w="652" w:type="pct"/>
          </w:tcPr>
          <w:p w:rsidR="0092045B" w:rsidRPr="00B150E4" w:rsidRDefault="00B150E4" w:rsidP="00444D1B">
            <w:pPr>
              <w:pStyle w:val="Tabletext"/>
              <w:rPr>
                <w:b/>
              </w:rPr>
            </w:pPr>
            <w:r>
              <w:rPr>
                <w:b/>
              </w:rPr>
              <w:t>CC</w:t>
            </w:r>
            <w:r w:rsidR="0092045B" w:rsidRPr="00B150E4">
              <w:rPr>
                <w:b/>
              </w:rPr>
              <w:t>, %(n/N)</w:t>
            </w:r>
          </w:p>
        </w:tc>
        <w:tc>
          <w:tcPr>
            <w:tcW w:w="665" w:type="pct"/>
          </w:tcPr>
          <w:p w:rsidR="0092045B" w:rsidRPr="00B150E4" w:rsidRDefault="0092045B" w:rsidP="00444D1B">
            <w:pPr>
              <w:pStyle w:val="Tabletext"/>
              <w:rPr>
                <w:b/>
              </w:rPr>
            </w:pPr>
            <w:r w:rsidRPr="00B150E4">
              <w:rPr>
                <w:b/>
              </w:rPr>
              <w:t>Cell filtration LBC, %(n/N)</w:t>
            </w:r>
          </w:p>
        </w:tc>
        <w:tc>
          <w:tcPr>
            <w:tcW w:w="600" w:type="pct"/>
          </w:tcPr>
          <w:p w:rsidR="0092045B" w:rsidRPr="00B150E4" w:rsidRDefault="0092045B" w:rsidP="00275488">
            <w:pPr>
              <w:pStyle w:val="Tabletext"/>
              <w:rPr>
                <w:b/>
              </w:rPr>
            </w:pPr>
            <w:r w:rsidRPr="00B150E4">
              <w:rPr>
                <w:b/>
              </w:rPr>
              <w:t>Treatment effect O</w:t>
            </w:r>
            <w:r w:rsidR="00275488" w:rsidRPr="00B150E4">
              <w:rPr>
                <w:b/>
              </w:rPr>
              <w:t>R (</w:t>
            </w:r>
            <w:r w:rsidR="005E0D57">
              <w:rPr>
                <w:b/>
              </w:rPr>
              <w:t>95% CI</w:t>
            </w:r>
            <w:r w:rsidR="00275488" w:rsidRPr="00B150E4">
              <w:rPr>
                <w:b/>
              </w:rPr>
              <w:t>)</w:t>
            </w:r>
          </w:p>
        </w:tc>
        <w:tc>
          <w:tcPr>
            <w:tcW w:w="526" w:type="pct"/>
            <w:vMerge/>
          </w:tcPr>
          <w:p w:rsidR="0092045B" w:rsidRPr="00B150E4" w:rsidRDefault="0092045B" w:rsidP="00444D1B">
            <w:pPr>
              <w:pStyle w:val="Tabletext"/>
              <w:rPr>
                <w:b/>
              </w:rPr>
            </w:pPr>
          </w:p>
        </w:tc>
      </w:tr>
      <w:tr w:rsidR="00AE2E20" w:rsidTr="00B150E4">
        <w:tc>
          <w:tcPr>
            <w:tcW w:w="515" w:type="pct"/>
          </w:tcPr>
          <w:p w:rsidR="00AE2E20" w:rsidRDefault="00AE2E20" w:rsidP="00444D1B">
            <w:pPr>
              <w:pStyle w:val="Tabletext"/>
            </w:pPr>
            <w:r>
              <w:t>Beerman</w:t>
            </w:r>
          </w:p>
        </w:tc>
        <w:tc>
          <w:tcPr>
            <w:tcW w:w="641" w:type="pct"/>
          </w:tcPr>
          <w:p w:rsidR="00AE2E20" w:rsidRDefault="00AE2E20" w:rsidP="00444D1B">
            <w:pPr>
              <w:pStyle w:val="Tabletext"/>
            </w:pPr>
            <w:r w:rsidRPr="001A0BB9">
              <w:t xml:space="preserve">0.15 </w:t>
            </w:r>
            <w:r>
              <w:br/>
            </w:r>
            <w:r w:rsidRPr="001A0BB9">
              <w:t>(0.11, 0.21)</w:t>
            </w:r>
          </w:p>
        </w:tc>
        <w:tc>
          <w:tcPr>
            <w:tcW w:w="641" w:type="pct"/>
          </w:tcPr>
          <w:p w:rsidR="00AE2E20" w:rsidRDefault="00AE2E20" w:rsidP="00444D1B">
            <w:pPr>
              <w:pStyle w:val="Tabletext"/>
            </w:pPr>
            <w:r w:rsidRPr="001A0BB9">
              <w:t>0.1% (46/35315)</w:t>
            </w:r>
          </w:p>
        </w:tc>
        <w:tc>
          <w:tcPr>
            <w:tcW w:w="759" w:type="pct"/>
          </w:tcPr>
          <w:p w:rsidR="00AE2E20" w:rsidRDefault="00AE2E20" w:rsidP="00444D1B">
            <w:pPr>
              <w:pStyle w:val="Tabletext"/>
            </w:pPr>
            <w:r w:rsidRPr="001A0BB9">
              <w:t>0.9% (435/51132)</w:t>
            </w:r>
          </w:p>
        </w:tc>
        <w:tc>
          <w:tcPr>
            <w:tcW w:w="652" w:type="pct"/>
          </w:tcPr>
          <w:p w:rsidR="00AE2E20" w:rsidRDefault="00AE2E20" w:rsidP="00444D1B">
            <w:pPr>
              <w:pStyle w:val="Tabletext"/>
            </w:pPr>
          </w:p>
        </w:tc>
        <w:tc>
          <w:tcPr>
            <w:tcW w:w="665" w:type="pct"/>
          </w:tcPr>
          <w:p w:rsidR="00AE2E20" w:rsidRDefault="00AE2E20" w:rsidP="00444D1B">
            <w:pPr>
              <w:pStyle w:val="Tabletext"/>
            </w:pPr>
          </w:p>
        </w:tc>
        <w:tc>
          <w:tcPr>
            <w:tcW w:w="600" w:type="pct"/>
          </w:tcPr>
          <w:p w:rsidR="00AE2E20" w:rsidRDefault="00AE2E20" w:rsidP="00444D1B">
            <w:pPr>
              <w:pStyle w:val="Tabletext"/>
            </w:pPr>
          </w:p>
        </w:tc>
        <w:tc>
          <w:tcPr>
            <w:tcW w:w="526" w:type="pct"/>
            <w:vMerge w:val="restart"/>
          </w:tcPr>
          <w:p w:rsidR="00AE2E20" w:rsidRDefault="00D33C7B" w:rsidP="00444D1B">
            <w:pPr>
              <w:pStyle w:val="Tabletext"/>
            </w:pPr>
            <w:r>
              <w:t>0.3586 (0.19, 0.69), P</w:t>
            </w:r>
            <w:r w:rsidR="00AE2E20" w:rsidRPr="001A0BB9">
              <w:t>=0.0022</w:t>
            </w:r>
          </w:p>
        </w:tc>
      </w:tr>
      <w:tr w:rsidR="00AE2E20" w:rsidTr="00B150E4">
        <w:tc>
          <w:tcPr>
            <w:tcW w:w="515" w:type="pct"/>
          </w:tcPr>
          <w:p w:rsidR="00AE2E20" w:rsidRDefault="00AE2E20" w:rsidP="00444D1B">
            <w:pPr>
              <w:pStyle w:val="Tabletext"/>
            </w:pPr>
            <w:r>
              <w:t>Strander</w:t>
            </w:r>
          </w:p>
        </w:tc>
        <w:tc>
          <w:tcPr>
            <w:tcW w:w="641" w:type="pct"/>
          </w:tcPr>
          <w:p w:rsidR="00AE2E20" w:rsidRDefault="00AE2E20" w:rsidP="00444D1B">
            <w:pPr>
              <w:pStyle w:val="Tabletext"/>
            </w:pPr>
          </w:p>
        </w:tc>
        <w:tc>
          <w:tcPr>
            <w:tcW w:w="641" w:type="pct"/>
          </w:tcPr>
          <w:p w:rsidR="00AE2E20" w:rsidRDefault="00AE2E20" w:rsidP="00444D1B">
            <w:pPr>
              <w:pStyle w:val="Tabletext"/>
            </w:pPr>
          </w:p>
        </w:tc>
        <w:tc>
          <w:tcPr>
            <w:tcW w:w="759" w:type="pct"/>
          </w:tcPr>
          <w:p w:rsidR="00AE2E20" w:rsidRDefault="00AE2E20" w:rsidP="00444D1B">
            <w:pPr>
              <w:pStyle w:val="Tabletext"/>
            </w:pPr>
          </w:p>
        </w:tc>
        <w:tc>
          <w:tcPr>
            <w:tcW w:w="652" w:type="pct"/>
          </w:tcPr>
          <w:p w:rsidR="00AE2E20" w:rsidRDefault="00AE2E20" w:rsidP="00444D1B">
            <w:pPr>
              <w:pStyle w:val="Tabletext"/>
            </w:pPr>
            <w:r w:rsidRPr="001A0BB9">
              <w:t>0.7% (62/8810)</w:t>
            </w:r>
          </w:p>
        </w:tc>
        <w:tc>
          <w:tcPr>
            <w:tcW w:w="665" w:type="pct"/>
          </w:tcPr>
          <w:p w:rsidR="00AE2E20" w:rsidRDefault="00AE2E20" w:rsidP="00444D1B">
            <w:pPr>
              <w:pStyle w:val="Tabletext"/>
            </w:pPr>
            <w:r w:rsidRPr="001A0BB9">
              <w:t>0.3% (14/4674)</w:t>
            </w:r>
          </w:p>
        </w:tc>
        <w:tc>
          <w:tcPr>
            <w:tcW w:w="600" w:type="pct"/>
          </w:tcPr>
          <w:p w:rsidR="00AE2E20" w:rsidRDefault="00AE2E20" w:rsidP="00444D1B">
            <w:pPr>
              <w:pStyle w:val="Tabletext"/>
            </w:pPr>
            <w:r w:rsidRPr="001A0BB9">
              <w:t xml:space="preserve">0.42 </w:t>
            </w:r>
            <w:r>
              <w:br/>
            </w:r>
            <w:r w:rsidRPr="001A0BB9">
              <w:t>(0.24, 0.76)</w:t>
            </w:r>
          </w:p>
        </w:tc>
        <w:tc>
          <w:tcPr>
            <w:tcW w:w="526" w:type="pct"/>
            <w:vMerge/>
          </w:tcPr>
          <w:p w:rsidR="00AE2E20" w:rsidRDefault="00AE2E20" w:rsidP="00444D1B">
            <w:pPr>
              <w:pStyle w:val="Tabletext"/>
            </w:pPr>
          </w:p>
        </w:tc>
      </w:tr>
      <w:tr w:rsidR="00F57598" w:rsidTr="00B150E4">
        <w:tc>
          <w:tcPr>
            <w:tcW w:w="515" w:type="pct"/>
          </w:tcPr>
          <w:p w:rsidR="00F57598" w:rsidRDefault="00F57598" w:rsidP="00444D1B">
            <w:pPr>
              <w:pStyle w:val="Tabletext"/>
            </w:pPr>
            <w:r>
              <w:t>Source</w:t>
            </w:r>
          </w:p>
        </w:tc>
        <w:tc>
          <w:tcPr>
            <w:tcW w:w="2041" w:type="pct"/>
            <w:gridSpan w:val="3"/>
          </w:tcPr>
          <w:p w:rsidR="00F57598" w:rsidRDefault="00D33C7B" w:rsidP="0062762B">
            <w:pPr>
              <w:pStyle w:val="Tabletext"/>
            </w:pPr>
            <w:r>
              <w:t xml:space="preserve">Beerman </w:t>
            </w:r>
            <w:r w:rsidR="00F57598" w:rsidRPr="0092045B">
              <w:t>2009</w:t>
            </w:r>
            <w:r>
              <w:t xml:space="preserve"> </w:t>
            </w:r>
            <w:r w:rsidR="00F57598" w:rsidRPr="0092045B">
              <w:t>p. 574</w:t>
            </w:r>
            <w:r w:rsidR="00A826EF">
              <w:t xml:space="preserve">, </w:t>
            </w:r>
            <w:r w:rsidR="00B150E4">
              <w:t>A</w:t>
            </w:r>
            <w:r w:rsidR="00A826EF" w:rsidRPr="00A826EF">
              <w:t xml:space="preserve">ttachment </w:t>
            </w:r>
            <w:r w:rsidR="005F6015">
              <w:t>4</w:t>
            </w:r>
            <w:r w:rsidR="00A826EF" w:rsidRPr="00A826EF">
              <w:t xml:space="preserve"> </w:t>
            </w:r>
          </w:p>
        </w:tc>
        <w:tc>
          <w:tcPr>
            <w:tcW w:w="2444" w:type="pct"/>
            <w:gridSpan w:val="4"/>
          </w:tcPr>
          <w:p w:rsidR="00F57598" w:rsidRDefault="00D33C7B" w:rsidP="0062762B">
            <w:pPr>
              <w:pStyle w:val="Tabletext"/>
            </w:pPr>
            <w:r>
              <w:t xml:space="preserve">Strander </w:t>
            </w:r>
            <w:r w:rsidR="00F57598" w:rsidRPr="0092045B">
              <w:t>2007 Table 2, p.287</w:t>
            </w:r>
            <w:r w:rsidR="00A826EF">
              <w:t xml:space="preserve">, </w:t>
            </w:r>
            <w:r w:rsidR="00B150E4">
              <w:t>A</w:t>
            </w:r>
            <w:r w:rsidR="00A826EF" w:rsidRPr="00A826EF">
              <w:t xml:space="preserve">ttachment </w:t>
            </w:r>
            <w:r w:rsidR="005F6015">
              <w:t>4</w:t>
            </w:r>
            <w:r w:rsidR="00A826EF" w:rsidRPr="00A826EF">
              <w:t xml:space="preserve"> </w:t>
            </w:r>
          </w:p>
        </w:tc>
      </w:tr>
    </w:tbl>
    <w:p w:rsidR="005316A8" w:rsidRDefault="005316A8" w:rsidP="005316A8">
      <w:pPr>
        <w:pStyle w:val="Tabletext"/>
      </w:pPr>
      <w:r>
        <w:t>Abbreviations: CC, conventional cytology; CI, confidence interval; LBC, liquid-based cytology; OR, odds ratio</w:t>
      </w:r>
      <w:r w:rsidR="0011397F">
        <w:br/>
      </w:r>
      <w:proofErr w:type="gramStart"/>
      <w:r w:rsidR="0011397F" w:rsidRPr="00D44FAE">
        <w:t>An</w:t>
      </w:r>
      <w:proofErr w:type="gramEnd"/>
      <w:r w:rsidR="0011397F" w:rsidRPr="00D44FAE">
        <w:t xml:space="preserve"> </w:t>
      </w:r>
      <w:r w:rsidR="0011397F">
        <w:t xml:space="preserve">indirect </w:t>
      </w:r>
      <w:r w:rsidR="0011397F" w:rsidRPr="00D44FAE">
        <w:t>OR &lt;1 indicates</w:t>
      </w:r>
      <w:r w:rsidR="0011397F">
        <w:t xml:space="preserve"> performance of cell enrichment LBC is better than cell filtration LBC</w:t>
      </w:r>
    </w:p>
    <w:p w:rsidR="006E7CD1" w:rsidRDefault="00082522" w:rsidP="00082522">
      <w:pPr>
        <w:pStyle w:val="Heading40"/>
      </w:pPr>
      <w:r>
        <w:t>Test yield</w:t>
      </w:r>
    </w:p>
    <w:p w:rsidR="008B2437" w:rsidRDefault="00D33C7B" w:rsidP="008B2437">
      <w:r>
        <w:t>A cytologic finding only, without a reference method is</w:t>
      </w:r>
      <w:r w:rsidR="008B2437">
        <w:t xml:space="preserve"> a quite </w:t>
      </w:r>
      <w:r>
        <w:t xml:space="preserve">an </w:t>
      </w:r>
      <w:r w:rsidR="008B2437">
        <w:t>inaccu</w:t>
      </w:r>
      <w:r w:rsidR="008B2437" w:rsidRPr="008B2437">
        <w:t>rate measure of true disease status</w:t>
      </w:r>
      <w:r w:rsidR="008B2437">
        <w:t xml:space="preserve"> (Strander 2007). </w:t>
      </w:r>
      <w:r w:rsidR="00015B26">
        <w:t>However</w:t>
      </w:r>
      <w:r w:rsidR="00BA16C6">
        <w:t>,</w:t>
      </w:r>
      <w:r w:rsidR="00015B26">
        <w:t xml:space="preserve"> in line with the DAP required </w:t>
      </w:r>
      <w:proofErr w:type="gramStart"/>
      <w:r w:rsidR="00015B26">
        <w:t>outcomes</w:t>
      </w:r>
      <w:r>
        <w:t>,</w:t>
      </w:r>
      <w:proofErr w:type="gramEnd"/>
      <w:r w:rsidR="00015B26">
        <w:t xml:space="preserve"> </w:t>
      </w:r>
      <w:r w:rsidR="008B2437">
        <w:t xml:space="preserve">the rates of cytological detection </w:t>
      </w:r>
      <w:r w:rsidR="00E601A4">
        <w:t xml:space="preserve">are presented </w:t>
      </w:r>
      <w:r w:rsidR="00067180">
        <w:t>f</w:t>
      </w:r>
      <w:r w:rsidR="00E601A4">
        <w:t xml:space="preserve">irst by </w:t>
      </w:r>
      <w:r w:rsidR="00067180">
        <w:t xml:space="preserve">individual </w:t>
      </w:r>
      <w:r w:rsidR="00E601A4">
        <w:t xml:space="preserve">study </w:t>
      </w:r>
      <w:r w:rsidR="00067180">
        <w:t>followed by a meta-analysis</w:t>
      </w:r>
      <w:r w:rsidR="0088798F">
        <w:t xml:space="preserve"> of data for </w:t>
      </w:r>
      <w:r w:rsidR="0088798F">
        <w:lastRenderedPageBreak/>
        <w:t>each cytological outcome.</w:t>
      </w:r>
      <w:r w:rsidR="00C568E5">
        <w:t xml:space="preserve"> The rates of unsatisfactory slides reported for each arm of each stu</w:t>
      </w:r>
      <w:r>
        <w:t>dy is not reported within the test yield outcome as it is reported as unsatisfactory slide</w:t>
      </w:r>
      <w:r w:rsidR="00C568E5">
        <w:t xml:space="preserve"> outcome. </w:t>
      </w:r>
    </w:p>
    <w:p w:rsidR="001D2B10" w:rsidRPr="00D33C7B" w:rsidRDefault="002561B1" w:rsidP="00D33C7B">
      <w:pPr>
        <w:pStyle w:val="Heading50"/>
      </w:pPr>
      <w:r w:rsidRPr="00B150E4">
        <w:t xml:space="preserve">Cell enrichment LBC </w:t>
      </w:r>
      <w:r w:rsidR="003954A4" w:rsidRPr="00B150E4">
        <w:t>vs.</w:t>
      </w:r>
      <w:r w:rsidRPr="00B150E4">
        <w:t xml:space="preserve"> </w:t>
      </w:r>
      <w:r w:rsidR="00D33C7B">
        <w:t>CC</w:t>
      </w:r>
    </w:p>
    <w:p w:rsidR="00DF3F71" w:rsidRDefault="00D33C7B" w:rsidP="00B150E4">
      <w:r>
        <w:t>In Beerman 2009</w:t>
      </w:r>
      <w:r w:rsidR="00DF3F71" w:rsidRPr="00B150E4">
        <w:t xml:space="preserve">, </w:t>
      </w:r>
      <w:r w:rsidR="00C568E5" w:rsidRPr="00B150E4">
        <w:t>t</w:t>
      </w:r>
      <w:r w:rsidR="00DF3F71" w:rsidRPr="00B150E4">
        <w:t xml:space="preserve">he percentage of satisfactory specimens containing endocervical cells was higher in </w:t>
      </w:r>
      <w:r w:rsidR="00C568E5" w:rsidRPr="00B150E4">
        <w:t>cell enrichment LBC</w:t>
      </w:r>
      <w:r w:rsidR="00DF3F71" w:rsidRPr="00B150E4">
        <w:t xml:space="preserve"> compared </w:t>
      </w:r>
      <w:r w:rsidR="00C568E5" w:rsidRPr="00B150E4">
        <w:t xml:space="preserve">to </w:t>
      </w:r>
      <w:r>
        <w:t>CC</w:t>
      </w:r>
      <w:r w:rsidR="00C568E5" w:rsidRPr="00B150E4">
        <w:t xml:space="preserve"> screening</w:t>
      </w:r>
      <w:r>
        <w:t xml:space="preserve"> (89.01% vs. 86.17%, P</w:t>
      </w:r>
      <w:r w:rsidR="00B150E4">
        <w:t xml:space="preserve"> </w:t>
      </w:r>
      <w:r w:rsidR="00DF3F71" w:rsidRPr="00B150E4">
        <w:t>&lt;</w:t>
      </w:r>
      <w:r w:rsidR="00B150E4">
        <w:t xml:space="preserve"> </w:t>
      </w:r>
      <w:r w:rsidR="00DF3F71" w:rsidRPr="00B150E4">
        <w:t>0.0001</w:t>
      </w:r>
      <w:r>
        <w:t xml:space="preserve">; </w:t>
      </w:r>
      <w:r w:rsidR="00086C77">
        <w:fldChar w:fldCharType="begin"/>
      </w:r>
      <w:r w:rsidR="00086C77">
        <w:instrText xml:space="preserve"> REF _Ref334006555 \h  \* MERGEFORMAT </w:instrText>
      </w:r>
      <w:r w:rsidR="00086C77">
        <w:fldChar w:fldCharType="separate"/>
      </w:r>
      <w:r w:rsidR="003361A8">
        <w:t>Table 32</w:t>
      </w:r>
      <w:r w:rsidR="00086C77">
        <w:fldChar w:fldCharType="end"/>
      </w:r>
      <w:r w:rsidR="00454F3B" w:rsidRPr="00B150E4">
        <w:t>)</w:t>
      </w:r>
      <w:r w:rsidR="00DF3F71" w:rsidRPr="00B150E4">
        <w:t>. Significantly more samp</w:t>
      </w:r>
      <w:r>
        <w:t xml:space="preserve">les were classified as ASCUS </w:t>
      </w:r>
      <w:r w:rsidR="008162C6" w:rsidRPr="00B150E4">
        <w:t xml:space="preserve">with </w:t>
      </w:r>
      <w:r w:rsidR="00A3729C" w:rsidRPr="00B150E4">
        <w:t>c</w:t>
      </w:r>
      <w:r w:rsidR="008162C6" w:rsidRPr="00B150E4">
        <w:t>ell enrichment</w:t>
      </w:r>
      <w:r w:rsidR="008162C6">
        <w:t xml:space="preserve"> LBC</w:t>
      </w:r>
      <w:r w:rsidR="00DF3F71" w:rsidRPr="00DF3F71">
        <w:t xml:space="preserve"> than </w:t>
      </w:r>
      <w:r w:rsidR="008162C6">
        <w:t>with</w:t>
      </w:r>
      <w:r w:rsidR="00DF3F71">
        <w:t xml:space="preserve"> </w:t>
      </w:r>
      <w:r>
        <w:t>CC</w:t>
      </w:r>
      <w:r w:rsidR="00DF3F71" w:rsidRPr="00DF3F71">
        <w:t xml:space="preserve"> (2.07%</w:t>
      </w:r>
      <w:r>
        <w:t xml:space="preserve"> </w:t>
      </w:r>
      <w:r w:rsidR="00DF3F71" w:rsidRPr="00DF3F71">
        <w:t>vs. 0.87%;</w:t>
      </w:r>
      <w:r>
        <w:t xml:space="preserve"> P </w:t>
      </w:r>
      <w:r w:rsidR="00DF3F71">
        <w:t>&lt;</w:t>
      </w:r>
      <w:r>
        <w:t xml:space="preserve"> </w:t>
      </w:r>
      <w:r w:rsidR="00DF3F71" w:rsidRPr="00DF3F71">
        <w:t>0.0001), while the percentages of LSIL and HSIL lesions and</w:t>
      </w:r>
      <w:r w:rsidR="00DF3F71">
        <w:t xml:space="preserve"> </w:t>
      </w:r>
      <w:r w:rsidR="00DF3F71" w:rsidRPr="00DF3F71">
        <w:t>(either adeno-, or squamous cell) carcinoma were similar between the</w:t>
      </w:r>
      <w:r w:rsidR="00DF3F71">
        <w:t xml:space="preserve"> </w:t>
      </w:r>
      <w:r>
        <w:t>cohorts</w:t>
      </w:r>
      <w:r w:rsidR="00A3729C">
        <w:t>.</w:t>
      </w:r>
    </w:p>
    <w:p w:rsidR="002561B1" w:rsidRDefault="002561B1" w:rsidP="002561B1">
      <w:pPr>
        <w:pStyle w:val="Caption"/>
      </w:pPr>
      <w:bookmarkStart w:id="312" w:name="_Ref334006555"/>
      <w:bookmarkStart w:id="313" w:name="_Toc331766461"/>
      <w:bookmarkStart w:id="314" w:name="_Toc335665998"/>
      <w:bookmarkStart w:id="315" w:name="_Toc337546969"/>
      <w:r>
        <w:t xml:space="preserve">Table </w:t>
      </w:r>
      <w:fldSimple w:instr=" SEQ Table \* ARABIC ">
        <w:r w:rsidR="003361A8">
          <w:rPr>
            <w:noProof/>
          </w:rPr>
          <w:t>32</w:t>
        </w:r>
      </w:fldSimple>
      <w:bookmarkEnd w:id="312"/>
      <w:r w:rsidR="00B150E4">
        <w:tab/>
        <w:t>Test</w:t>
      </w:r>
      <w:r w:rsidR="005316A8">
        <w:t xml:space="preserve"> yield comparison (by cytology)</w:t>
      </w:r>
      <w:r w:rsidR="00BA16C6">
        <w:t>—</w:t>
      </w:r>
      <w:r w:rsidR="00B150E4">
        <w:t xml:space="preserve">CC versus </w:t>
      </w:r>
      <w:r w:rsidR="00D33C7B">
        <w:t>cell enrichment LBC</w:t>
      </w:r>
      <w:r w:rsidR="005316A8">
        <w:t>:</w:t>
      </w:r>
      <w:r w:rsidR="00B150E4">
        <w:t xml:space="preserve"> Beerman </w:t>
      </w:r>
      <w:r>
        <w:t>2009</w:t>
      </w:r>
      <w:bookmarkEnd w:id="313"/>
      <w:bookmarkEnd w:id="314"/>
      <w:bookmarkEnd w:id="31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8"/>
        <w:gridCol w:w="2454"/>
        <w:gridCol w:w="2325"/>
        <w:gridCol w:w="1727"/>
      </w:tblGrid>
      <w:tr w:rsidR="002561B1" w:rsidRPr="00B150E4" w:rsidTr="00B150E4">
        <w:tc>
          <w:tcPr>
            <w:tcW w:w="1387" w:type="pct"/>
          </w:tcPr>
          <w:p w:rsidR="002561B1" w:rsidRPr="00B150E4" w:rsidRDefault="002561B1" w:rsidP="002561B1">
            <w:pPr>
              <w:pStyle w:val="Tabletext"/>
              <w:rPr>
                <w:b/>
              </w:rPr>
            </w:pPr>
          </w:p>
        </w:tc>
        <w:tc>
          <w:tcPr>
            <w:tcW w:w="1363" w:type="pct"/>
          </w:tcPr>
          <w:p w:rsidR="002561B1" w:rsidRPr="00B150E4" w:rsidRDefault="002561B1" w:rsidP="002561B1">
            <w:pPr>
              <w:pStyle w:val="Tabletext"/>
              <w:rPr>
                <w:b/>
              </w:rPr>
            </w:pPr>
            <w:r w:rsidRPr="00B150E4">
              <w:rPr>
                <w:b/>
              </w:rPr>
              <w:t>Conventional N=51,132</w:t>
            </w:r>
          </w:p>
        </w:tc>
        <w:tc>
          <w:tcPr>
            <w:tcW w:w="1291" w:type="pct"/>
          </w:tcPr>
          <w:p w:rsidR="002561B1" w:rsidRPr="00B150E4" w:rsidRDefault="00920E83" w:rsidP="002561B1">
            <w:pPr>
              <w:pStyle w:val="Tabletext"/>
              <w:rPr>
                <w:b/>
              </w:rPr>
            </w:pPr>
            <w:r w:rsidRPr="00B150E4">
              <w:rPr>
                <w:b/>
              </w:rPr>
              <w:t>LBC</w:t>
            </w:r>
            <w:r w:rsidR="002561B1" w:rsidRPr="00B150E4">
              <w:rPr>
                <w:b/>
              </w:rPr>
              <w:t xml:space="preserve"> N=35,315</w:t>
            </w:r>
          </w:p>
        </w:tc>
        <w:tc>
          <w:tcPr>
            <w:tcW w:w="959" w:type="pct"/>
          </w:tcPr>
          <w:p w:rsidR="002561B1" w:rsidRPr="00B150E4" w:rsidRDefault="00B150E4" w:rsidP="002561B1">
            <w:pPr>
              <w:pStyle w:val="Tabletext"/>
              <w:rPr>
                <w:b/>
              </w:rPr>
            </w:pPr>
            <w:r>
              <w:rPr>
                <w:b/>
              </w:rPr>
              <w:t xml:space="preserve">P </w:t>
            </w:r>
            <w:r w:rsidR="002561B1" w:rsidRPr="00B150E4">
              <w:rPr>
                <w:b/>
              </w:rPr>
              <w:t>value</w:t>
            </w:r>
            <w:r w:rsidR="002561B1" w:rsidRPr="00B150E4">
              <w:rPr>
                <w:b/>
                <w:vertAlign w:val="superscript"/>
              </w:rPr>
              <w:t>a</w:t>
            </w:r>
          </w:p>
        </w:tc>
      </w:tr>
      <w:tr w:rsidR="002561B1" w:rsidRPr="00B150E4" w:rsidTr="00B150E4">
        <w:tc>
          <w:tcPr>
            <w:tcW w:w="1387" w:type="pct"/>
          </w:tcPr>
          <w:p w:rsidR="002561B1" w:rsidRPr="00B150E4" w:rsidRDefault="002561B1" w:rsidP="002561B1">
            <w:pPr>
              <w:pStyle w:val="Tabletext"/>
              <w:rPr>
                <w:b/>
              </w:rPr>
            </w:pPr>
          </w:p>
        </w:tc>
        <w:tc>
          <w:tcPr>
            <w:tcW w:w="1363" w:type="pct"/>
          </w:tcPr>
          <w:p w:rsidR="002561B1" w:rsidRPr="00B150E4" w:rsidRDefault="002561B1" w:rsidP="002561B1">
            <w:pPr>
              <w:pStyle w:val="Tabletext"/>
              <w:rPr>
                <w:b/>
              </w:rPr>
            </w:pPr>
            <w:proofErr w:type="gramStart"/>
            <w:r w:rsidRPr="00B150E4">
              <w:rPr>
                <w:b/>
              </w:rPr>
              <w:t>n</w:t>
            </w:r>
            <w:proofErr w:type="gramEnd"/>
            <w:r w:rsidRPr="00B150E4">
              <w:rPr>
                <w:b/>
              </w:rPr>
              <w:t xml:space="preserve"> (%)</w:t>
            </w:r>
          </w:p>
        </w:tc>
        <w:tc>
          <w:tcPr>
            <w:tcW w:w="1291" w:type="pct"/>
          </w:tcPr>
          <w:p w:rsidR="002561B1" w:rsidRPr="00B150E4" w:rsidRDefault="002561B1" w:rsidP="002561B1">
            <w:pPr>
              <w:pStyle w:val="Tabletext"/>
              <w:rPr>
                <w:b/>
              </w:rPr>
            </w:pPr>
            <w:proofErr w:type="gramStart"/>
            <w:r w:rsidRPr="00B150E4">
              <w:rPr>
                <w:b/>
              </w:rPr>
              <w:t>n</w:t>
            </w:r>
            <w:proofErr w:type="gramEnd"/>
            <w:r w:rsidRPr="00B150E4">
              <w:rPr>
                <w:b/>
              </w:rPr>
              <w:t xml:space="preserve"> (%)</w:t>
            </w:r>
          </w:p>
        </w:tc>
        <w:tc>
          <w:tcPr>
            <w:tcW w:w="959" w:type="pct"/>
          </w:tcPr>
          <w:p w:rsidR="002561B1" w:rsidRPr="00B150E4" w:rsidRDefault="002561B1" w:rsidP="002561B1">
            <w:pPr>
              <w:pStyle w:val="Tabletext"/>
              <w:rPr>
                <w:b/>
              </w:rPr>
            </w:pPr>
          </w:p>
        </w:tc>
      </w:tr>
      <w:tr w:rsidR="002561B1" w:rsidTr="00B150E4">
        <w:tc>
          <w:tcPr>
            <w:tcW w:w="1387" w:type="pct"/>
          </w:tcPr>
          <w:p w:rsidR="002561B1" w:rsidRDefault="002561B1" w:rsidP="002561B1">
            <w:pPr>
              <w:pStyle w:val="Tabletext"/>
            </w:pPr>
            <w:r>
              <w:t>Within normal limits</w:t>
            </w:r>
          </w:p>
        </w:tc>
        <w:tc>
          <w:tcPr>
            <w:tcW w:w="1363" w:type="pct"/>
          </w:tcPr>
          <w:p w:rsidR="002561B1" w:rsidRDefault="002561B1" w:rsidP="002561B1">
            <w:pPr>
              <w:pStyle w:val="Tabletext"/>
            </w:pPr>
            <w:r>
              <w:t>49856 (97.47)</w:t>
            </w:r>
          </w:p>
        </w:tc>
        <w:tc>
          <w:tcPr>
            <w:tcW w:w="1291" w:type="pct"/>
          </w:tcPr>
          <w:p w:rsidR="002561B1" w:rsidRDefault="002561B1" w:rsidP="002561B1">
            <w:pPr>
              <w:pStyle w:val="Tabletext"/>
            </w:pPr>
            <w:r>
              <w:t>34219 (96.9)</w:t>
            </w:r>
          </w:p>
        </w:tc>
        <w:tc>
          <w:tcPr>
            <w:tcW w:w="959" w:type="pct"/>
          </w:tcPr>
          <w:p w:rsidR="002561B1" w:rsidRDefault="002561B1" w:rsidP="002561B1">
            <w:pPr>
              <w:pStyle w:val="Tabletext"/>
            </w:pPr>
            <w:r>
              <w:t>&lt;0.0001</w:t>
            </w:r>
          </w:p>
        </w:tc>
      </w:tr>
      <w:tr w:rsidR="002561B1" w:rsidTr="00B150E4">
        <w:tc>
          <w:tcPr>
            <w:tcW w:w="1387" w:type="pct"/>
          </w:tcPr>
          <w:p w:rsidR="002561B1" w:rsidRDefault="002561B1" w:rsidP="002561B1">
            <w:pPr>
              <w:pStyle w:val="Tabletext"/>
            </w:pPr>
            <w:r>
              <w:t>Abnormal (ASCUS or higher)</w:t>
            </w:r>
          </w:p>
        </w:tc>
        <w:tc>
          <w:tcPr>
            <w:tcW w:w="1363" w:type="pct"/>
          </w:tcPr>
          <w:p w:rsidR="002561B1" w:rsidRDefault="002561B1" w:rsidP="002561B1">
            <w:pPr>
              <w:pStyle w:val="Tabletext"/>
            </w:pPr>
            <w:r>
              <w:t>845 (1.65)</w:t>
            </w:r>
          </w:p>
        </w:tc>
        <w:tc>
          <w:tcPr>
            <w:tcW w:w="1291" w:type="pct"/>
          </w:tcPr>
          <w:p w:rsidR="002561B1" w:rsidRDefault="002561B1" w:rsidP="002561B1">
            <w:pPr>
              <w:pStyle w:val="Tabletext"/>
            </w:pPr>
            <w:r>
              <w:t>1052 (2.98)</w:t>
            </w:r>
          </w:p>
        </w:tc>
        <w:tc>
          <w:tcPr>
            <w:tcW w:w="959" w:type="pct"/>
          </w:tcPr>
          <w:p w:rsidR="002561B1" w:rsidRDefault="002561B1" w:rsidP="002561B1">
            <w:pPr>
              <w:pStyle w:val="Tabletext"/>
            </w:pPr>
            <w:r>
              <w:t>&lt;0.0001</w:t>
            </w:r>
          </w:p>
        </w:tc>
      </w:tr>
      <w:tr w:rsidR="002561B1" w:rsidTr="00B150E4">
        <w:tc>
          <w:tcPr>
            <w:tcW w:w="1387" w:type="pct"/>
          </w:tcPr>
          <w:p w:rsidR="002561B1" w:rsidRDefault="002561B1" w:rsidP="002561B1">
            <w:pPr>
              <w:pStyle w:val="Tabletext"/>
            </w:pPr>
            <w:r>
              <w:t>-ASCUS</w:t>
            </w:r>
          </w:p>
        </w:tc>
        <w:tc>
          <w:tcPr>
            <w:tcW w:w="1363" w:type="pct"/>
          </w:tcPr>
          <w:p w:rsidR="002561B1" w:rsidRDefault="002561B1" w:rsidP="002561B1">
            <w:pPr>
              <w:pStyle w:val="Tabletext"/>
            </w:pPr>
            <w:r>
              <w:t>443 (0.87)</w:t>
            </w:r>
          </w:p>
        </w:tc>
        <w:tc>
          <w:tcPr>
            <w:tcW w:w="1291" w:type="pct"/>
          </w:tcPr>
          <w:p w:rsidR="002561B1" w:rsidRDefault="002561B1" w:rsidP="002561B1">
            <w:pPr>
              <w:pStyle w:val="Tabletext"/>
            </w:pPr>
            <w:r>
              <w:t>730 (2.07)</w:t>
            </w:r>
          </w:p>
        </w:tc>
        <w:tc>
          <w:tcPr>
            <w:tcW w:w="959" w:type="pct"/>
          </w:tcPr>
          <w:p w:rsidR="002561B1" w:rsidRDefault="002561B1" w:rsidP="002561B1">
            <w:pPr>
              <w:pStyle w:val="Tabletext"/>
            </w:pPr>
            <w:r>
              <w:t>&lt;0.0001</w:t>
            </w:r>
          </w:p>
        </w:tc>
      </w:tr>
      <w:tr w:rsidR="002561B1" w:rsidTr="00B150E4">
        <w:tc>
          <w:tcPr>
            <w:tcW w:w="1387" w:type="pct"/>
          </w:tcPr>
          <w:p w:rsidR="002561B1" w:rsidRDefault="002561B1" w:rsidP="002561B1">
            <w:pPr>
              <w:pStyle w:val="Tabletext"/>
            </w:pPr>
            <w:r>
              <w:t>-LSIL</w:t>
            </w:r>
          </w:p>
        </w:tc>
        <w:tc>
          <w:tcPr>
            <w:tcW w:w="1363" w:type="pct"/>
          </w:tcPr>
          <w:p w:rsidR="002561B1" w:rsidRDefault="002561B1" w:rsidP="002561B1">
            <w:pPr>
              <w:pStyle w:val="Tabletext"/>
            </w:pPr>
            <w:r>
              <w:t>110 (0.22)</w:t>
            </w:r>
          </w:p>
        </w:tc>
        <w:tc>
          <w:tcPr>
            <w:tcW w:w="1291" w:type="pct"/>
          </w:tcPr>
          <w:p w:rsidR="002561B1" w:rsidRDefault="002561B1" w:rsidP="002561B1">
            <w:pPr>
              <w:pStyle w:val="Tabletext"/>
            </w:pPr>
            <w:r>
              <w:t>94 (0.27)</w:t>
            </w:r>
          </w:p>
        </w:tc>
        <w:tc>
          <w:tcPr>
            <w:tcW w:w="959" w:type="pct"/>
          </w:tcPr>
          <w:p w:rsidR="002561B1" w:rsidRDefault="002561B1" w:rsidP="002561B1">
            <w:pPr>
              <w:pStyle w:val="Tabletext"/>
            </w:pPr>
            <w:r>
              <w:t>0.1284</w:t>
            </w:r>
          </w:p>
        </w:tc>
      </w:tr>
      <w:tr w:rsidR="002561B1" w:rsidTr="00B150E4">
        <w:tc>
          <w:tcPr>
            <w:tcW w:w="1387" w:type="pct"/>
          </w:tcPr>
          <w:p w:rsidR="002561B1" w:rsidRDefault="002561B1" w:rsidP="002561B1">
            <w:pPr>
              <w:pStyle w:val="Tabletext"/>
            </w:pPr>
            <w:r>
              <w:t>-HSIL</w:t>
            </w:r>
          </w:p>
        </w:tc>
        <w:tc>
          <w:tcPr>
            <w:tcW w:w="1363" w:type="pct"/>
          </w:tcPr>
          <w:p w:rsidR="002561B1" w:rsidRDefault="002561B1" w:rsidP="002561B1">
            <w:pPr>
              <w:pStyle w:val="Tabletext"/>
            </w:pPr>
            <w:r>
              <w:t>288 (0.56)</w:t>
            </w:r>
          </w:p>
        </w:tc>
        <w:tc>
          <w:tcPr>
            <w:tcW w:w="1291" w:type="pct"/>
          </w:tcPr>
          <w:p w:rsidR="002561B1" w:rsidRDefault="002561B1" w:rsidP="002561B1">
            <w:pPr>
              <w:pStyle w:val="Tabletext"/>
            </w:pPr>
            <w:r>
              <w:t>226 (0.64)</w:t>
            </w:r>
          </w:p>
        </w:tc>
        <w:tc>
          <w:tcPr>
            <w:tcW w:w="959" w:type="pct"/>
          </w:tcPr>
          <w:p w:rsidR="002561B1" w:rsidRDefault="002561B1" w:rsidP="002561B1">
            <w:pPr>
              <w:pStyle w:val="Tabletext"/>
            </w:pPr>
            <w:r>
              <w:t>0.1493</w:t>
            </w:r>
          </w:p>
        </w:tc>
      </w:tr>
      <w:tr w:rsidR="002561B1" w:rsidTr="00B150E4">
        <w:tc>
          <w:tcPr>
            <w:tcW w:w="1387" w:type="pct"/>
          </w:tcPr>
          <w:p w:rsidR="002561B1" w:rsidRDefault="002561B1" w:rsidP="002561B1">
            <w:pPr>
              <w:pStyle w:val="Tabletext"/>
            </w:pPr>
            <w:r>
              <w:t>Squamous cell carcinoma</w:t>
            </w:r>
          </w:p>
        </w:tc>
        <w:tc>
          <w:tcPr>
            <w:tcW w:w="1363" w:type="pct"/>
          </w:tcPr>
          <w:p w:rsidR="002561B1" w:rsidRDefault="002561B1" w:rsidP="002561B1">
            <w:pPr>
              <w:pStyle w:val="Tabletext"/>
            </w:pPr>
            <w:r>
              <w:t>4 (0.008)</w:t>
            </w:r>
          </w:p>
        </w:tc>
        <w:tc>
          <w:tcPr>
            <w:tcW w:w="1291" w:type="pct"/>
          </w:tcPr>
          <w:p w:rsidR="002561B1" w:rsidRDefault="002561B1" w:rsidP="002561B1">
            <w:pPr>
              <w:pStyle w:val="Tabletext"/>
            </w:pPr>
            <w:r>
              <w:t>2 (0.006)</w:t>
            </w:r>
          </w:p>
        </w:tc>
        <w:tc>
          <w:tcPr>
            <w:tcW w:w="959" w:type="pct"/>
          </w:tcPr>
          <w:p w:rsidR="002561B1" w:rsidRDefault="002561B1" w:rsidP="002561B1">
            <w:pPr>
              <w:pStyle w:val="Tabletext"/>
            </w:pPr>
            <w:r>
              <w:t>0.2068</w:t>
            </w:r>
          </w:p>
        </w:tc>
      </w:tr>
      <w:tr w:rsidR="002561B1" w:rsidTr="00B150E4">
        <w:tc>
          <w:tcPr>
            <w:tcW w:w="1387" w:type="pct"/>
          </w:tcPr>
          <w:p w:rsidR="002561B1" w:rsidRDefault="002561B1" w:rsidP="002561B1">
            <w:pPr>
              <w:pStyle w:val="Tabletext"/>
            </w:pPr>
            <w:r>
              <w:t>Endocervical cells</w:t>
            </w:r>
          </w:p>
        </w:tc>
        <w:tc>
          <w:tcPr>
            <w:tcW w:w="1363" w:type="pct"/>
          </w:tcPr>
          <w:p w:rsidR="002561B1" w:rsidRDefault="002561B1" w:rsidP="002561B1">
            <w:pPr>
              <w:pStyle w:val="Tabletext"/>
            </w:pPr>
            <w:r>
              <w:t>44411 (86.17)</w:t>
            </w:r>
          </w:p>
        </w:tc>
        <w:tc>
          <w:tcPr>
            <w:tcW w:w="1291" w:type="pct"/>
          </w:tcPr>
          <w:p w:rsidR="002561B1" w:rsidRDefault="002561B1" w:rsidP="002561B1">
            <w:pPr>
              <w:pStyle w:val="Tabletext"/>
            </w:pPr>
            <w:r>
              <w:t>32328 (89.01)</w:t>
            </w:r>
          </w:p>
        </w:tc>
        <w:tc>
          <w:tcPr>
            <w:tcW w:w="959" w:type="pct"/>
          </w:tcPr>
          <w:p w:rsidR="002561B1" w:rsidRDefault="002561B1" w:rsidP="002561B1">
            <w:pPr>
              <w:pStyle w:val="Tabletext"/>
            </w:pPr>
            <w:r>
              <w:t>&lt;0.0001</w:t>
            </w:r>
            <w:r w:rsidRPr="00767F7A">
              <w:rPr>
                <w:vertAlign w:val="superscript"/>
              </w:rPr>
              <w:t>b</w:t>
            </w:r>
          </w:p>
        </w:tc>
      </w:tr>
      <w:tr w:rsidR="002561B1" w:rsidTr="00B150E4">
        <w:tc>
          <w:tcPr>
            <w:tcW w:w="5000" w:type="pct"/>
            <w:gridSpan w:val="4"/>
          </w:tcPr>
          <w:p w:rsidR="002561B1" w:rsidRDefault="002561B1" w:rsidP="002561B1">
            <w:pPr>
              <w:pStyle w:val="Tabletext"/>
            </w:pPr>
            <w:r>
              <w:t xml:space="preserve">Source Beerman </w:t>
            </w:r>
            <w:r w:rsidR="005E0D57">
              <w:t xml:space="preserve"> </w:t>
            </w:r>
            <w:r>
              <w:t xml:space="preserve"> 2009 Table 2</w:t>
            </w:r>
          </w:p>
        </w:tc>
      </w:tr>
    </w:tbl>
    <w:p w:rsidR="002561B1" w:rsidRDefault="002561B1" w:rsidP="001310A0">
      <w:pPr>
        <w:pStyle w:val="Tabletext"/>
      </w:pPr>
      <w:r>
        <w:t xml:space="preserve">Abbreviations: AGUS, atypical glandular cells of undetermined significance; ASCUS, atypical cells of undetermined significance; </w:t>
      </w:r>
      <w:r w:rsidR="005316A8">
        <w:t xml:space="preserve">CC, conventional cytology; </w:t>
      </w:r>
      <w:r>
        <w:t xml:space="preserve">HSIL, high-grade squamous intraepithelial lesion; </w:t>
      </w:r>
      <w:r w:rsidR="005316A8">
        <w:t xml:space="preserve">LBC, liquid-based cytology; </w:t>
      </w:r>
      <w:r>
        <w:t xml:space="preserve">LSIL, low grade </w:t>
      </w:r>
      <w:r w:rsidR="00D33C7B">
        <w:t>squamous intraepithelial lesion</w:t>
      </w:r>
    </w:p>
    <w:p w:rsidR="002561B1" w:rsidRDefault="001310A0" w:rsidP="00AB012A">
      <w:pPr>
        <w:pStyle w:val="Tabletext"/>
        <w:numPr>
          <w:ilvl w:val="0"/>
          <w:numId w:val="33"/>
        </w:numPr>
      </w:pPr>
      <w:r>
        <w:t xml:space="preserve">P </w:t>
      </w:r>
      <w:r w:rsidR="002561B1">
        <w:t>value was given by Cochran-Mantel-Haenszel test controlling for abnormal cytology (ASCUS, LSIL, HSIL)</w:t>
      </w:r>
    </w:p>
    <w:p w:rsidR="002561B1" w:rsidRDefault="001310A0" w:rsidP="00AB012A">
      <w:pPr>
        <w:pStyle w:val="Tabletext"/>
        <w:numPr>
          <w:ilvl w:val="0"/>
          <w:numId w:val="33"/>
        </w:numPr>
      </w:pPr>
      <w:r>
        <w:t xml:space="preserve">P </w:t>
      </w:r>
      <w:r w:rsidR="002561B1">
        <w:t>v</w:t>
      </w:r>
      <w:r>
        <w:t>alue determined using Chi²</w:t>
      </w:r>
      <w:r w:rsidR="002561B1">
        <w:t xml:space="preserve"> test</w:t>
      </w:r>
    </w:p>
    <w:p w:rsidR="002561B1" w:rsidRDefault="002561B1" w:rsidP="001310A0"/>
    <w:p w:rsidR="00B2023E" w:rsidRDefault="00B2023E" w:rsidP="00B150E4">
      <w:r w:rsidRPr="00B2023E">
        <w:t xml:space="preserve">In the </w:t>
      </w:r>
      <w:r>
        <w:t>RODEO</w:t>
      </w:r>
      <w:r w:rsidRPr="00B2023E">
        <w:t xml:space="preserve"> study, the percentage of </w:t>
      </w:r>
      <w:r>
        <w:t>normal</w:t>
      </w:r>
      <w:r w:rsidRPr="00B2023E">
        <w:t xml:space="preserve"> </w:t>
      </w:r>
      <w:r w:rsidR="00FA4E1A">
        <w:t xml:space="preserve">or negative </w:t>
      </w:r>
      <w:r w:rsidRPr="00B2023E">
        <w:t xml:space="preserve">specimens was </w:t>
      </w:r>
      <w:r w:rsidR="00FA4E1A">
        <w:t>lowe</w:t>
      </w:r>
      <w:r w:rsidRPr="00B2023E">
        <w:t xml:space="preserve">r in the </w:t>
      </w:r>
      <w:r w:rsidR="00A3729C">
        <w:t xml:space="preserve">cell enrichment LBC </w:t>
      </w:r>
      <w:r w:rsidRPr="00B2023E">
        <w:t xml:space="preserve">cohort compared </w:t>
      </w:r>
      <w:r w:rsidR="00C568E5">
        <w:t xml:space="preserve">to </w:t>
      </w:r>
      <w:r w:rsidR="00D33C7B">
        <w:t>CC</w:t>
      </w:r>
      <w:r w:rsidR="00C568E5" w:rsidRPr="00C568E5">
        <w:t xml:space="preserve"> screening</w:t>
      </w:r>
      <w:r w:rsidR="00FA4E1A">
        <w:t xml:space="preserve"> (97.9</w:t>
      </w:r>
      <w:r w:rsidRPr="00B2023E">
        <w:t xml:space="preserve">% vs. </w:t>
      </w:r>
      <w:r w:rsidR="00FA4E1A">
        <w:t>98.9%</w:t>
      </w:r>
      <w:r w:rsidR="00D33C7B">
        <w:t xml:space="preserve">; </w:t>
      </w:r>
      <w:r w:rsidR="00086C77">
        <w:fldChar w:fldCharType="begin"/>
      </w:r>
      <w:r w:rsidR="00086C77">
        <w:instrText xml:space="preserve"> REF _Ref334006536 \h  \* MERGEFORMAT </w:instrText>
      </w:r>
      <w:r w:rsidR="00086C77">
        <w:fldChar w:fldCharType="separate"/>
      </w:r>
      <w:r w:rsidR="003361A8">
        <w:t xml:space="preserve">Table </w:t>
      </w:r>
      <w:r w:rsidR="003361A8">
        <w:rPr>
          <w:noProof/>
        </w:rPr>
        <w:t>33</w:t>
      </w:r>
      <w:r w:rsidR="00086C77">
        <w:fldChar w:fldCharType="end"/>
      </w:r>
      <w:r w:rsidR="00454F3B">
        <w:t>)</w:t>
      </w:r>
      <w:r w:rsidRPr="00B2023E">
        <w:t xml:space="preserve">. Significantly more samples were classified as </w:t>
      </w:r>
      <w:r w:rsidR="00D33C7B">
        <w:t xml:space="preserve">ASCUS </w:t>
      </w:r>
      <w:r w:rsidR="002E25FB">
        <w:t>with cell enrichment LBC</w:t>
      </w:r>
      <w:r w:rsidR="002E25FB" w:rsidRPr="00DF3F71">
        <w:t xml:space="preserve"> than </w:t>
      </w:r>
      <w:r w:rsidR="002E25FB">
        <w:t xml:space="preserve">with </w:t>
      </w:r>
      <w:r w:rsidR="00D33C7B">
        <w:t>CC</w:t>
      </w:r>
      <w:r w:rsidR="002E25FB">
        <w:t xml:space="preserve"> (</w:t>
      </w:r>
      <w:r w:rsidR="002E25FB" w:rsidRPr="00DF3F71">
        <w:t>0</w:t>
      </w:r>
      <w:r w:rsidR="002E25FB">
        <w:t>.</w:t>
      </w:r>
      <w:r w:rsidR="002E25FB" w:rsidRPr="00DF3F71">
        <w:t>7%</w:t>
      </w:r>
      <w:r w:rsidR="00B8642E">
        <w:t xml:space="preserve"> </w:t>
      </w:r>
      <w:r w:rsidR="002E25FB" w:rsidRPr="00DF3F71">
        <w:t>vs. 0.</w:t>
      </w:r>
      <w:r w:rsidR="002E25FB">
        <w:t>1</w:t>
      </w:r>
      <w:r w:rsidR="002E25FB" w:rsidRPr="00DF3F71">
        <w:t>%;</w:t>
      </w:r>
      <w:r w:rsidR="00D33C7B">
        <w:t xml:space="preserve"> P </w:t>
      </w:r>
      <w:r w:rsidR="002E25FB">
        <w:t>&lt;</w:t>
      </w:r>
      <w:r w:rsidR="00D33C7B">
        <w:t xml:space="preserve"> </w:t>
      </w:r>
      <w:r w:rsidR="002E25FB">
        <w:t>0.0</w:t>
      </w:r>
      <w:r w:rsidR="002E25FB" w:rsidRPr="00DF3F71">
        <w:t xml:space="preserve">1) </w:t>
      </w:r>
      <w:r w:rsidR="002E25FB">
        <w:t>as well as more LSIL (</w:t>
      </w:r>
      <w:r w:rsidR="002E25FB" w:rsidRPr="00DF3F71">
        <w:t>0</w:t>
      </w:r>
      <w:r w:rsidR="002E25FB">
        <w:t>.</w:t>
      </w:r>
      <w:r w:rsidR="002E25FB" w:rsidRPr="00DF3F71">
        <w:t>7%</w:t>
      </w:r>
      <w:r w:rsidR="00B8642E">
        <w:t xml:space="preserve"> </w:t>
      </w:r>
      <w:r w:rsidR="002E25FB" w:rsidRPr="00DF3F71">
        <w:t>vs. 0.</w:t>
      </w:r>
      <w:r w:rsidR="002E25FB">
        <w:t>3</w:t>
      </w:r>
      <w:r w:rsidR="002E25FB" w:rsidRPr="00DF3F71">
        <w:t>%;</w:t>
      </w:r>
      <w:r w:rsidR="002E25FB">
        <w:t xml:space="preserve"> </w:t>
      </w:r>
      <w:r w:rsidR="00D33C7B">
        <w:t xml:space="preserve">P </w:t>
      </w:r>
      <w:r w:rsidR="002E25FB">
        <w:t>&lt;</w:t>
      </w:r>
      <w:r w:rsidR="00D33C7B">
        <w:t xml:space="preserve"> </w:t>
      </w:r>
      <w:r w:rsidR="002E25FB">
        <w:t>0.0</w:t>
      </w:r>
      <w:r w:rsidR="002E25FB" w:rsidRPr="00DF3F71">
        <w:t>1)</w:t>
      </w:r>
      <w:r w:rsidR="002E25FB">
        <w:t xml:space="preserve">, </w:t>
      </w:r>
      <w:r w:rsidR="002E25FB" w:rsidRPr="00DF3F71">
        <w:t>while the percentages of</w:t>
      </w:r>
      <w:r w:rsidR="002E25FB">
        <w:t xml:space="preserve"> HSIL was not significantly different</w:t>
      </w:r>
      <w:r w:rsidRPr="00B2023E">
        <w:t xml:space="preserve">. </w:t>
      </w:r>
      <w:r w:rsidR="00150FDA">
        <w:t>The authors report that despite the two fold increase in the number of HSIL cases reported with LBC (0.4%</w:t>
      </w:r>
      <w:r w:rsidR="00D33C7B">
        <w:t xml:space="preserve"> </w:t>
      </w:r>
      <w:r w:rsidR="00150FDA">
        <w:t>vs</w:t>
      </w:r>
      <w:r w:rsidR="00D33C7B">
        <w:t xml:space="preserve">. </w:t>
      </w:r>
      <w:r w:rsidR="00150FDA">
        <w:t xml:space="preserve">0.2%; </w:t>
      </w:r>
      <w:r w:rsidR="00D33C7B">
        <w:t>P</w:t>
      </w:r>
      <w:r w:rsidR="00150FDA">
        <w:t>=0.186) they did not reach significance due to s</w:t>
      </w:r>
      <w:r w:rsidR="00454F3B">
        <w:t>ample size. It appears that the study</w:t>
      </w:r>
      <w:r w:rsidR="00150FDA">
        <w:t xml:space="preserve"> therefore recruited 3799 more patients from the high risk cohort. </w:t>
      </w:r>
      <w:r w:rsidR="00454F3B">
        <w:t>S</w:t>
      </w:r>
      <w:r w:rsidR="00150FDA">
        <w:t xml:space="preserve">ignificantly </w:t>
      </w:r>
      <w:r w:rsidR="00AF0E0B" w:rsidRPr="00B2023E">
        <w:t xml:space="preserve">more samples were classified as </w:t>
      </w:r>
      <w:r w:rsidR="00AF0E0B">
        <w:t>abnormal</w:t>
      </w:r>
      <w:r w:rsidR="00AF0E0B" w:rsidRPr="00B2023E">
        <w:t xml:space="preserve"> in the </w:t>
      </w:r>
      <w:r w:rsidR="00454F3B">
        <w:t xml:space="preserve">cell enrichment </w:t>
      </w:r>
      <w:r w:rsidR="00AF0E0B">
        <w:t>LBC</w:t>
      </w:r>
      <w:r w:rsidR="00AF0E0B" w:rsidRPr="00B2023E">
        <w:t xml:space="preserve"> cohort than </w:t>
      </w:r>
      <w:r w:rsidR="00AF0E0B">
        <w:t xml:space="preserve">in the </w:t>
      </w:r>
      <w:r w:rsidR="002612AA">
        <w:t>CC</w:t>
      </w:r>
      <w:r w:rsidR="00454F3B">
        <w:t xml:space="preserve"> </w:t>
      </w:r>
      <w:r w:rsidR="00AF0E0B">
        <w:t>cohort. (22.1</w:t>
      </w:r>
      <w:r w:rsidR="00AF0E0B" w:rsidRPr="00B2023E">
        <w:t>% vs. 1</w:t>
      </w:r>
      <w:r w:rsidR="00AF0E0B">
        <w:t>8</w:t>
      </w:r>
      <w:r w:rsidR="00AF0E0B" w:rsidRPr="00B2023E">
        <w:t>.</w:t>
      </w:r>
      <w:r w:rsidR="00AF0E0B">
        <w:t xml:space="preserve">1%, </w:t>
      </w:r>
      <w:r w:rsidR="002612AA">
        <w:t>P</w:t>
      </w:r>
      <w:r w:rsidR="00AF0E0B">
        <w:t>=</w:t>
      </w:r>
      <w:r w:rsidR="00AF0E0B" w:rsidRPr="00B2023E">
        <w:t>0.00</w:t>
      </w:r>
      <w:r w:rsidR="00AF0E0B">
        <w:t xml:space="preserve">3), driven by significantly more cases of LSIL (4.9% </w:t>
      </w:r>
      <w:r w:rsidR="003954A4">
        <w:t>vs.</w:t>
      </w:r>
      <w:r w:rsidR="00AF0E0B">
        <w:t xml:space="preserve"> 2.6%; </w:t>
      </w:r>
      <w:r w:rsidR="002612AA">
        <w:t xml:space="preserve">P </w:t>
      </w:r>
      <w:r w:rsidR="00AF0E0B">
        <w:t>&lt;</w:t>
      </w:r>
      <w:r w:rsidR="002612AA">
        <w:t xml:space="preserve"> </w:t>
      </w:r>
      <w:r w:rsidR="00AF0E0B">
        <w:t xml:space="preserve">0.001) </w:t>
      </w:r>
      <w:r w:rsidRPr="00B2023E">
        <w:t>and HSIL (</w:t>
      </w:r>
      <w:r w:rsidR="00AF0E0B">
        <w:t xml:space="preserve">8.2% </w:t>
      </w:r>
      <w:r w:rsidR="003954A4">
        <w:t>vs.</w:t>
      </w:r>
      <w:r w:rsidR="00AF0E0B">
        <w:t xml:space="preserve"> 6.2%; </w:t>
      </w:r>
      <w:r w:rsidR="002612AA">
        <w:t>P</w:t>
      </w:r>
      <w:r w:rsidR="00AF0E0B">
        <w:t>=0.017).</w:t>
      </w:r>
    </w:p>
    <w:p w:rsidR="002E25FB" w:rsidRDefault="002612AA" w:rsidP="00B150E4">
      <w:r>
        <w:lastRenderedPageBreak/>
        <w:t>It wa</w:t>
      </w:r>
      <w:r w:rsidR="002E25FB">
        <w:t>s noted that the total number of cases calculated based on percentage of AS</w:t>
      </w:r>
      <w:r>
        <w:t>CUS, LSIL and HSIL reported did</w:t>
      </w:r>
      <w:r w:rsidR="002E25FB">
        <w:t xml:space="preserve"> not equal the total number of abnormal cases reported, and the abstract reports that no invasive cancer was detected. It is uncertain whether the remaining abnormal cases might reflect glandular changes or </w:t>
      </w:r>
      <w:r>
        <w:t>otherwise, nonetheless there were</w:t>
      </w:r>
      <w:r w:rsidR="002E25FB">
        <w:t xml:space="preserve"> a significantly increased number of abnormal cases reported in the cell enrichment LBC cohort</w:t>
      </w:r>
      <w:r w:rsidR="002E25FB" w:rsidRPr="00B2023E">
        <w:t xml:space="preserve"> driven by an increase in the percentage of ASCUS </w:t>
      </w:r>
      <w:r w:rsidR="002E25FB">
        <w:t>and LSIL</w:t>
      </w:r>
      <w:r w:rsidR="002E25FB" w:rsidRPr="00B2023E">
        <w:t xml:space="preserve"> compared</w:t>
      </w:r>
      <w:r w:rsidR="002E25FB">
        <w:t xml:space="preserve"> to the </w:t>
      </w:r>
      <w:r>
        <w:t>CC</w:t>
      </w:r>
      <w:r w:rsidR="002E25FB">
        <w:t xml:space="preserve"> cohort.</w:t>
      </w:r>
    </w:p>
    <w:p w:rsidR="002561B1" w:rsidRDefault="002561B1" w:rsidP="002561B1">
      <w:pPr>
        <w:pStyle w:val="Caption"/>
      </w:pPr>
      <w:bookmarkStart w:id="316" w:name="_Ref334006536"/>
      <w:bookmarkStart w:id="317" w:name="_Toc331766462"/>
      <w:bookmarkStart w:id="318" w:name="_Toc335665999"/>
      <w:bookmarkStart w:id="319" w:name="_Toc337546970"/>
      <w:r>
        <w:t xml:space="preserve">Table </w:t>
      </w:r>
      <w:fldSimple w:instr=" SEQ Table \* ARABIC ">
        <w:r w:rsidR="003361A8">
          <w:rPr>
            <w:noProof/>
          </w:rPr>
          <w:t>33</w:t>
        </w:r>
      </w:fldSimple>
      <w:bookmarkEnd w:id="316"/>
      <w:r>
        <w:tab/>
        <w:t>Tes</w:t>
      </w:r>
      <w:r w:rsidR="00B150E4">
        <w:t>t yield compar</w:t>
      </w:r>
      <w:r w:rsidR="00BA16C6">
        <w:t>ison (by cytology)—</w:t>
      </w:r>
      <w:r w:rsidR="00B150E4">
        <w:t>CC versus LBC (</w:t>
      </w:r>
      <w:r w:rsidR="002612AA">
        <w:t>cell enrichment</w:t>
      </w:r>
      <w:r w:rsidR="005316A8">
        <w:t>):</w:t>
      </w:r>
      <w:r>
        <w:t xml:space="preserve"> ROD</w:t>
      </w:r>
      <w:r w:rsidR="00B150E4">
        <w:t xml:space="preserve">EO study (Longatto-Filho </w:t>
      </w:r>
      <w:r>
        <w:t>2011</w:t>
      </w:r>
      <w:r w:rsidR="00B150E4">
        <w:t xml:space="preserve">; Fregnani </w:t>
      </w:r>
      <w:r>
        <w:t>2012)</w:t>
      </w:r>
      <w:bookmarkEnd w:id="317"/>
      <w:bookmarkEnd w:id="318"/>
      <w:bookmarkEnd w:id="3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34"/>
        <w:gridCol w:w="2570"/>
        <w:gridCol w:w="2127"/>
        <w:gridCol w:w="2373"/>
      </w:tblGrid>
      <w:tr w:rsidR="00260E6C" w:rsidRPr="00B150E4" w:rsidTr="009E346E">
        <w:tc>
          <w:tcPr>
            <w:tcW w:w="1074" w:type="pct"/>
          </w:tcPr>
          <w:p w:rsidR="00260E6C" w:rsidRPr="00B150E4" w:rsidRDefault="00260E6C" w:rsidP="002561B1">
            <w:pPr>
              <w:pStyle w:val="Tabletext"/>
              <w:rPr>
                <w:b/>
              </w:rPr>
            </w:pPr>
          </w:p>
        </w:tc>
        <w:tc>
          <w:tcPr>
            <w:tcW w:w="1427" w:type="pct"/>
          </w:tcPr>
          <w:p w:rsidR="00260E6C" w:rsidRPr="00B150E4" w:rsidRDefault="00260E6C" w:rsidP="002561B1">
            <w:pPr>
              <w:pStyle w:val="Tabletext"/>
              <w:rPr>
                <w:b/>
              </w:rPr>
            </w:pPr>
            <w:r>
              <w:rPr>
                <w:b/>
              </w:rPr>
              <w:t>CC</w:t>
            </w:r>
            <w:r w:rsidRPr="00B150E4">
              <w:rPr>
                <w:b/>
              </w:rPr>
              <w:t xml:space="preserve"> N=6047</w:t>
            </w:r>
          </w:p>
        </w:tc>
        <w:tc>
          <w:tcPr>
            <w:tcW w:w="1181" w:type="pct"/>
          </w:tcPr>
          <w:p w:rsidR="00260E6C" w:rsidRPr="00B150E4" w:rsidRDefault="00260E6C" w:rsidP="002561B1">
            <w:pPr>
              <w:pStyle w:val="Tabletext"/>
              <w:rPr>
                <w:b/>
              </w:rPr>
            </w:pPr>
            <w:r w:rsidRPr="00B150E4">
              <w:rPr>
                <w:b/>
              </w:rPr>
              <w:t>LBC N=6001</w:t>
            </w:r>
          </w:p>
        </w:tc>
        <w:tc>
          <w:tcPr>
            <w:tcW w:w="1319" w:type="pct"/>
          </w:tcPr>
          <w:p w:rsidR="00260E6C" w:rsidRPr="00B150E4" w:rsidRDefault="00260E6C" w:rsidP="002561B1">
            <w:pPr>
              <w:pStyle w:val="Tabletext"/>
              <w:rPr>
                <w:b/>
              </w:rPr>
            </w:pPr>
            <w:r>
              <w:rPr>
                <w:b/>
              </w:rPr>
              <w:t xml:space="preserve">P </w:t>
            </w:r>
            <w:r w:rsidRPr="00B150E4">
              <w:rPr>
                <w:b/>
              </w:rPr>
              <w:t>value</w:t>
            </w:r>
            <w:r>
              <w:rPr>
                <w:b/>
                <w:vertAlign w:val="superscript"/>
              </w:rPr>
              <w:t>b</w:t>
            </w:r>
          </w:p>
        </w:tc>
      </w:tr>
      <w:tr w:rsidR="00260E6C" w:rsidRPr="00B150E4" w:rsidTr="009E346E">
        <w:tc>
          <w:tcPr>
            <w:tcW w:w="1074" w:type="pct"/>
          </w:tcPr>
          <w:p w:rsidR="00260E6C" w:rsidRPr="00B150E4" w:rsidRDefault="00260E6C" w:rsidP="002561B1">
            <w:pPr>
              <w:pStyle w:val="Tabletext"/>
              <w:rPr>
                <w:b/>
              </w:rPr>
            </w:pPr>
          </w:p>
        </w:tc>
        <w:tc>
          <w:tcPr>
            <w:tcW w:w="1427" w:type="pct"/>
          </w:tcPr>
          <w:p w:rsidR="00260E6C" w:rsidRPr="00B150E4" w:rsidRDefault="00260E6C" w:rsidP="00867CC2">
            <w:pPr>
              <w:pStyle w:val="Tabletext"/>
              <w:rPr>
                <w:b/>
              </w:rPr>
            </w:pPr>
            <w:proofErr w:type="gramStart"/>
            <w:r w:rsidRPr="00B150E4">
              <w:rPr>
                <w:b/>
              </w:rPr>
              <w:t>n</w:t>
            </w:r>
            <w:proofErr w:type="gramEnd"/>
            <w:r w:rsidRPr="00B150E4">
              <w:rPr>
                <w:b/>
              </w:rPr>
              <w:t xml:space="preserve"> (%)</w:t>
            </w:r>
          </w:p>
        </w:tc>
        <w:tc>
          <w:tcPr>
            <w:tcW w:w="1181" w:type="pct"/>
          </w:tcPr>
          <w:p w:rsidR="00260E6C" w:rsidRPr="00B150E4" w:rsidRDefault="00260E6C" w:rsidP="002561B1">
            <w:pPr>
              <w:pStyle w:val="Tabletext"/>
              <w:rPr>
                <w:b/>
              </w:rPr>
            </w:pPr>
            <w:proofErr w:type="gramStart"/>
            <w:r w:rsidRPr="00B150E4">
              <w:rPr>
                <w:b/>
              </w:rPr>
              <w:t>n</w:t>
            </w:r>
            <w:proofErr w:type="gramEnd"/>
            <w:r w:rsidRPr="00B150E4">
              <w:rPr>
                <w:b/>
              </w:rPr>
              <w:t xml:space="preserve"> (%)</w:t>
            </w:r>
          </w:p>
        </w:tc>
        <w:tc>
          <w:tcPr>
            <w:tcW w:w="1319" w:type="pct"/>
          </w:tcPr>
          <w:p w:rsidR="00260E6C" w:rsidRPr="00B150E4" w:rsidRDefault="00260E6C" w:rsidP="002561B1">
            <w:pPr>
              <w:pStyle w:val="Tabletext"/>
              <w:rPr>
                <w:b/>
              </w:rPr>
            </w:pPr>
          </w:p>
        </w:tc>
      </w:tr>
      <w:tr w:rsidR="00260E6C" w:rsidTr="009E346E">
        <w:tc>
          <w:tcPr>
            <w:tcW w:w="1074" w:type="pct"/>
          </w:tcPr>
          <w:p w:rsidR="00260E6C" w:rsidRDefault="00260E6C" w:rsidP="002561B1">
            <w:pPr>
              <w:pStyle w:val="Tabletext"/>
            </w:pPr>
            <w:r>
              <w:t>Normal</w:t>
            </w:r>
          </w:p>
        </w:tc>
        <w:tc>
          <w:tcPr>
            <w:tcW w:w="1427" w:type="pct"/>
          </w:tcPr>
          <w:p w:rsidR="00260E6C" w:rsidRDefault="00260E6C" w:rsidP="002561B1">
            <w:pPr>
              <w:pStyle w:val="Tabletext"/>
            </w:pPr>
            <w:r>
              <w:t>5981 (98.9)</w:t>
            </w:r>
          </w:p>
        </w:tc>
        <w:tc>
          <w:tcPr>
            <w:tcW w:w="1181" w:type="pct"/>
          </w:tcPr>
          <w:p w:rsidR="00260E6C" w:rsidRDefault="00260E6C" w:rsidP="002561B1">
            <w:pPr>
              <w:pStyle w:val="Tabletext"/>
            </w:pPr>
            <w:r>
              <w:t>5872 (97.9)</w:t>
            </w:r>
          </w:p>
        </w:tc>
        <w:tc>
          <w:tcPr>
            <w:tcW w:w="1319" w:type="pct"/>
          </w:tcPr>
          <w:p w:rsidR="00260E6C" w:rsidRDefault="00260E6C" w:rsidP="002561B1">
            <w:pPr>
              <w:pStyle w:val="Tabletext"/>
            </w:pPr>
            <w:r>
              <w:t>NR</w:t>
            </w:r>
          </w:p>
        </w:tc>
      </w:tr>
      <w:tr w:rsidR="00260E6C" w:rsidTr="009E346E">
        <w:tc>
          <w:tcPr>
            <w:tcW w:w="1074" w:type="pct"/>
          </w:tcPr>
          <w:p w:rsidR="00260E6C" w:rsidRDefault="00260E6C" w:rsidP="002561B1">
            <w:pPr>
              <w:pStyle w:val="Tabletext"/>
            </w:pPr>
            <w:r>
              <w:t>Abnormal cases</w:t>
            </w:r>
          </w:p>
        </w:tc>
        <w:tc>
          <w:tcPr>
            <w:tcW w:w="1427" w:type="pct"/>
          </w:tcPr>
          <w:p w:rsidR="00260E6C" w:rsidRDefault="00260E6C" w:rsidP="002561B1">
            <w:pPr>
              <w:pStyle w:val="Tabletext"/>
            </w:pPr>
            <w:r>
              <w:t>61 (1.0)</w:t>
            </w:r>
          </w:p>
        </w:tc>
        <w:tc>
          <w:tcPr>
            <w:tcW w:w="1181" w:type="pct"/>
          </w:tcPr>
          <w:p w:rsidR="00260E6C" w:rsidRDefault="00260E6C" w:rsidP="002561B1">
            <w:pPr>
              <w:pStyle w:val="Tabletext"/>
            </w:pPr>
            <w:r>
              <w:t>127 (2.1)</w:t>
            </w:r>
          </w:p>
        </w:tc>
        <w:tc>
          <w:tcPr>
            <w:tcW w:w="1319" w:type="pct"/>
          </w:tcPr>
          <w:p w:rsidR="00260E6C" w:rsidRDefault="00260E6C" w:rsidP="002561B1">
            <w:pPr>
              <w:pStyle w:val="Tabletext"/>
            </w:pPr>
            <w:r>
              <w:t>0.001</w:t>
            </w:r>
          </w:p>
        </w:tc>
      </w:tr>
      <w:tr w:rsidR="00260E6C" w:rsidTr="009E346E">
        <w:tc>
          <w:tcPr>
            <w:tcW w:w="1074" w:type="pct"/>
          </w:tcPr>
          <w:p w:rsidR="00260E6C" w:rsidRDefault="00260E6C" w:rsidP="002561B1">
            <w:pPr>
              <w:pStyle w:val="Tabletext"/>
            </w:pPr>
            <w:r>
              <w:t>ASCUS</w:t>
            </w:r>
          </w:p>
        </w:tc>
        <w:tc>
          <w:tcPr>
            <w:tcW w:w="1427" w:type="pct"/>
          </w:tcPr>
          <w:p w:rsidR="00260E6C" w:rsidRDefault="00260E6C" w:rsidP="002561B1">
            <w:pPr>
              <w:pStyle w:val="Tabletext"/>
            </w:pPr>
            <w:r>
              <w:t>6</w:t>
            </w:r>
            <w:r w:rsidRPr="00F937ED">
              <w:rPr>
                <w:vertAlign w:val="superscript"/>
              </w:rPr>
              <w:t>a</w:t>
            </w:r>
            <w:r>
              <w:t xml:space="preserve"> (0.1)</w:t>
            </w:r>
          </w:p>
        </w:tc>
        <w:tc>
          <w:tcPr>
            <w:tcW w:w="1181" w:type="pct"/>
          </w:tcPr>
          <w:p w:rsidR="00260E6C" w:rsidRDefault="00260E6C" w:rsidP="002561B1">
            <w:pPr>
              <w:pStyle w:val="Tabletext"/>
            </w:pPr>
            <w:r>
              <w:t>42</w:t>
            </w:r>
            <w:r w:rsidRPr="00F937ED">
              <w:rPr>
                <w:vertAlign w:val="superscript"/>
              </w:rPr>
              <w:t>a</w:t>
            </w:r>
            <w:r>
              <w:t xml:space="preserve"> (0.7)</w:t>
            </w:r>
          </w:p>
        </w:tc>
        <w:tc>
          <w:tcPr>
            <w:tcW w:w="1319" w:type="pct"/>
          </w:tcPr>
          <w:p w:rsidR="00260E6C" w:rsidRDefault="00260E6C" w:rsidP="002561B1">
            <w:pPr>
              <w:pStyle w:val="Tabletext"/>
            </w:pPr>
            <w:r>
              <w:t>&lt;0.001</w:t>
            </w:r>
          </w:p>
        </w:tc>
      </w:tr>
      <w:tr w:rsidR="00260E6C" w:rsidTr="009E346E">
        <w:tc>
          <w:tcPr>
            <w:tcW w:w="1074" w:type="pct"/>
          </w:tcPr>
          <w:p w:rsidR="00260E6C" w:rsidRDefault="00260E6C" w:rsidP="002561B1">
            <w:pPr>
              <w:pStyle w:val="Tabletext"/>
            </w:pPr>
            <w:r>
              <w:t>LSIL</w:t>
            </w:r>
          </w:p>
        </w:tc>
        <w:tc>
          <w:tcPr>
            <w:tcW w:w="1427" w:type="pct"/>
          </w:tcPr>
          <w:p w:rsidR="00260E6C" w:rsidRDefault="00260E6C" w:rsidP="002561B1">
            <w:pPr>
              <w:pStyle w:val="Tabletext"/>
            </w:pPr>
            <w:r>
              <w:t>18</w:t>
            </w:r>
            <w:r w:rsidRPr="00F937ED">
              <w:rPr>
                <w:vertAlign w:val="superscript"/>
              </w:rPr>
              <w:t>a</w:t>
            </w:r>
            <w:r>
              <w:t xml:space="preserve"> (0.3)</w:t>
            </w:r>
          </w:p>
        </w:tc>
        <w:tc>
          <w:tcPr>
            <w:tcW w:w="1181" w:type="pct"/>
          </w:tcPr>
          <w:p w:rsidR="00260E6C" w:rsidRDefault="00260E6C" w:rsidP="002561B1">
            <w:pPr>
              <w:pStyle w:val="Tabletext"/>
            </w:pPr>
            <w:r>
              <w:t>42</w:t>
            </w:r>
            <w:r w:rsidRPr="00F937ED">
              <w:rPr>
                <w:vertAlign w:val="superscript"/>
              </w:rPr>
              <w:t>a</w:t>
            </w:r>
            <w:r>
              <w:t xml:space="preserve"> (0.7)</w:t>
            </w:r>
          </w:p>
        </w:tc>
        <w:tc>
          <w:tcPr>
            <w:tcW w:w="1319" w:type="pct"/>
          </w:tcPr>
          <w:p w:rsidR="00260E6C" w:rsidRDefault="00260E6C" w:rsidP="002561B1">
            <w:pPr>
              <w:pStyle w:val="Tabletext"/>
            </w:pPr>
            <w:r>
              <w:t>&lt;0.001</w:t>
            </w:r>
          </w:p>
        </w:tc>
      </w:tr>
      <w:tr w:rsidR="00260E6C" w:rsidTr="009E346E">
        <w:tc>
          <w:tcPr>
            <w:tcW w:w="1074" w:type="pct"/>
          </w:tcPr>
          <w:p w:rsidR="00260E6C" w:rsidRDefault="00260E6C" w:rsidP="002561B1">
            <w:pPr>
              <w:pStyle w:val="Tabletext"/>
            </w:pPr>
            <w:r>
              <w:t>HSIL</w:t>
            </w:r>
          </w:p>
        </w:tc>
        <w:tc>
          <w:tcPr>
            <w:tcW w:w="1427" w:type="pct"/>
          </w:tcPr>
          <w:p w:rsidR="00260E6C" w:rsidRDefault="00260E6C" w:rsidP="002561B1">
            <w:pPr>
              <w:pStyle w:val="Tabletext"/>
            </w:pPr>
            <w:r>
              <w:t>12</w:t>
            </w:r>
            <w:r w:rsidRPr="00F937ED">
              <w:rPr>
                <w:vertAlign w:val="superscript"/>
              </w:rPr>
              <w:t>a</w:t>
            </w:r>
            <w:r>
              <w:t xml:space="preserve"> (0.2)</w:t>
            </w:r>
          </w:p>
        </w:tc>
        <w:tc>
          <w:tcPr>
            <w:tcW w:w="1181" w:type="pct"/>
          </w:tcPr>
          <w:p w:rsidR="00260E6C" w:rsidRDefault="00260E6C" w:rsidP="002561B1">
            <w:pPr>
              <w:pStyle w:val="Tabletext"/>
            </w:pPr>
            <w:r>
              <w:t>24</w:t>
            </w:r>
            <w:r w:rsidRPr="00F937ED">
              <w:rPr>
                <w:vertAlign w:val="superscript"/>
              </w:rPr>
              <w:t>a</w:t>
            </w:r>
            <w:r>
              <w:t xml:space="preserve"> (0.4)</w:t>
            </w:r>
          </w:p>
        </w:tc>
        <w:tc>
          <w:tcPr>
            <w:tcW w:w="1319" w:type="pct"/>
          </w:tcPr>
          <w:p w:rsidR="00260E6C" w:rsidRDefault="00260E6C" w:rsidP="002561B1">
            <w:pPr>
              <w:pStyle w:val="Tabletext"/>
            </w:pPr>
            <w:r>
              <w:t>0.186</w:t>
            </w:r>
          </w:p>
        </w:tc>
      </w:tr>
      <w:tr w:rsidR="002E25FB" w:rsidRPr="00B150E4" w:rsidTr="00B150E4">
        <w:tc>
          <w:tcPr>
            <w:tcW w:w="5000" w:type="pct"/>
            <w:gridSpan w:val="4"/>
          </w:tcPr>
          <w:p w:rsidR="002E25FB" w:rsidRPr="00B150E4" w:rsidRDefault="002E25FB" w:rsidP="002561B1">
            <w:pPr>
              <w:pStyle w:val="Tabletext"/>
              <w:rPr>
                <w:b/>
              </w:rPr>
            </w:pPr>
            <w:r w:rsidRPr="00B150E4">
              <w:rPr>
                <w:b/>
              </w:rPr>
              <w:t>Screening in high risk population</w:t>
            </w:r>
          </w:p>
        </w:tc>
      </w:tr>
      <w:tr w:rsidR="00260E6C" w:rsidTr="009E346E">
        <w:tc>
          <w:tcPr>
            <w:tcW w:w="1074" w:type="pct"/>
          </w:tcPr>
          <w:p w:rsidR="00260E6C" w:rsidRDefault="00260E6C" w:rsidP="002561B1">
            <w:pPr>
              <w:pStyle w:val="Tabletext"/>
            </w:pPr>
          </w:p>
        </w:tc>
        <w:tc>
          <w:tcPr>
            <w:tcW w:w="1427" w:type="pct"/>
          </w:tcPr>
          <w:p w:rsidR="00260E6C" w:rsidRDefault="00260E6C" w:rsidP="002561B1">
            <w:pPr>
              <w:pStyle w:val="Tabletext"/>
            </w:pPr>
            <w:r>
              <w:t>Conventional N=1755</w:t>
            </w:r>
          </w:p>
        </w:tc>
        <w:tc>
          <w:tcPr>
            <w:tcW w:w="1181" w:type="pct"/>
          </w:tcPr>
          <w:p w:rsidR="00260E6C" w:rsidRDefault="00260E6C" w:rsidP="002561B1">
            <w:pPr>
              <w:pStyle w:val="Tabletext"/>
            </w:pPr>
            <w:r>
              <w:t>LBC N=2044</w:t>
            </w:r>
          </w:p>
        </w:tc>
        <w:tc>
          <w:tcPr>
            <w:tcW w:w="1319" w:type="pct"/>
          </w:tcPr>
          <w:p w:rsidR="00260E6C" w:rsidRDefault="00260E6C" w:rsidP="002561B1">
            <w:pPr>
              <w:pStyle w:val="Tabletext"/>
            </w:pPr>
          </w:p>
        </w:tc>
      </w:tr>
      <w:tr w:rsidR="00260E6C" w:rsidTr="009E346E">
        <w:tc>
          <w:tcPr>
            <w:tcW w:w="1074" w:type="pct"/>
          </w:tcPr>
          <w:p w:rsidR="00260E6C" w:rsidRDefault="00260E6C" w:rsidP="002561B1">
            <w:pPr>
              <w:pStyle w:val="Tabletext"/>
            </w:pPr>
            <w:r>
              <w:t>Abnormal</w:t>
            </w:r>
          </w:p>
        </w:tc>
        <w:tc>
          <w:tcPr>
            <w:tcW w:w="1427" w:type="pct"/>
          </w:tcPr>
          <w:p w:rsidR="00260E6C" w:rsidRDefault="00260E6C" w:rsidP="002561B1">
            <w:pPr>
              <w:pStyle w:val="Tabletext"/>
            </w:pPr>
            <w:r>
              <w:t>314 (18.1)</w:t>
            </w:r>
          </w:p>
        </w:tc>
        <w:tc>
          <w:tcPr>
            <w:tcW w:w="1181" w:type="pct"/>
          </w:tcPr>
          <w:p w:rsidR="00260E6C" w:rsidRDefault="00260E6C" w:rsidP="002561B1">
            <w:pPr>
              <w:pStyle w:val="Tabletext"/>
            </w:pPr>
            <w:r>
              <w:t>447(22.1)</w:t>
            </w:r>
          </w:p>
        </w:tc>
        <w:tc>
          <w:tcPr>
            <w:tcW w:w="1319" w:type="pct"/>
          </w:tcPr>
          <w:p w:rsidR="00260E6C" w:rsidRDefault="00260E6C" w:rsidP="002561B1">
            <w:pPr>
              <w:pStyle w:val="Tabletext"/>
            </w:pPr>
            <w:r>
              <w:t>0.003</w:t>
            </w:r>
          </w:p>
        </w:tc>
      </w:tr>
      <w:tr w:rsidR="00260E6C" w:rsidTr="009E346E">
        <w:tc>
          <w:tcPr>
            <w:tcW w:w="1074" w:type="pct"/>
          </w:tcPr>
          <w:p w:rsidR="00260E6C" w:rsidRDefault="00260E6C" w:rsidP="002561B1">
            <w:pPr>
              <w:pStyle w:val="Tabletext"/>
            </w:pPr>
            <w:r>
              <w:t>LSIL</w:t>
            </w:r>
          </w:p>
        </w:tc>
        <w:tc>
          <w:tcPr>
            <w:tcW w:w="1427" w:type="pct"/>
          </w:tcPr>
          <w:p w:rsidR="00260E6C" w:rsidRDefault="00260E6C" w:rsidP="002561B1">
            <w:pPr>
              <w:pStyle w:val="Tabletext"/>
            </w:pPr>
            <w:r>
              <w:t>46 (2.6)</w:t>
            </w:r>
          </w:p>
        </w:tc>
        <w:tc>
          <w:tcPr>
            <w:tcW w:w="1181" w:type="pct"/>
          </w:tcPr>
          <w:p w:rsidR="00260E6C" w:rsidRDefault="00260E6C" w:rsidP="002561B1">
            <w:pPr>
              <w:pStyle w:val="Tabletext"/>
            </w:pPr>
            <w:r>
              <w:t>100 (4.9)</w:t>
            </w:r>
          </w:p>
        </w:tc>
        <w:tc>
          <w:tcPr>
            <w:tcW w:w="1319" w:type="pct"/>
          </w:tcPr>
          <w:p w:rsidR="00260E6C" w:rsidRDefault="00260E6C" w:rsidP="002561B1">
            <w:pPr>
              <w:pStyle w:val="Tabletext"/>
            </w:pPr>
            <w:r>
              <w:t>&lt;0.001</w:t>
            </w:r>
          </w:p>
        </w:tc>
      </w:tr>
      <w:tr w:rsidR="00260E6C" w:rsidTr="009E346E">
        <w:tc>
          <w:tcPr>
            <w:tcW w:w="1074" w:type="pct"/>
          </w:tcPr>
          <w:p w:rsidR="00260E6C" w:rsidRDefault="00260E6C" w:rsidP="002561B1">
            <w:pPr>
              <w:pStyle w:val="Tabletext"/>
            </w:pPr>
            <w:r>
              <w:t>HSIL</w:t>
            </w:r>
          </w:p>
        </w:tc>
        <w:tc>
          <w:tcPr>
            <w:tcW w:w="1427" w:type="pct"/>
          </w:tcPr>
          <w:p w:rsidR="00260E6C" w:rsidRDefault="00260E6C" w:rsidP="00AF0E0B">
            <w:pPr>
              <w:pStyle w:val="Tabletext"/>
            </w:pPr>
            <w:r>
              <w:t>109 (6.2)</w:t>
            </w:r>
          </w:p>
        </w:tc>
        <w:tc>
          <w:tcPr>
            <w:tcW w:w="1181" w:type="pct"/>
          </w:tcPr>
          <w:p w:rsidR="00260E6C" w:rsidRDefault="00260E6C" w:rsidP="005111A1">
            <w:pPr>
              <w:pStyle w:val="Tabletext"/>
            </w:pPr>
            <w:r>
              <w:t>168 (8.2)</w:t>
            </w:r>
          </w:p>
        </w:tc>
        <w:tc>
          <w:tcPr>
            <w:tcW w:w="1319" w:type="pct"/>
          </w:tcPr>
          <w:p w:rsidR="00260E6C" w:rsidRDefault="00260E6C" w:rsidP="002561B1">
            <w:pPr>
              <w:pStyle w:val="Tabletext"/>
            </w:pPr>
            <w:r>
              <w:t>0.017</w:t>
            </w:r>
          </w:p>
        </w:tc>
      </w:tr>
      <w:tr w:rsidR="002561B1" w:rsidRPr="00055DE8" w:rsidTr="00B150E4">
        <w:tc>
          <w:tcPr>
            <w:tcW w:w="5000" w:type="pct"/>
            <w:gridSpan w:val="4"/>
          </w:tcPr>
          <w:p w:rsidR="002561B1" w:rsidRPr="00055DE8" w:rsidRDefault="00B150E4" w:rsidP="002561B1">
            <w:pPr>
              <w:pStyle w:val="Tabletext"/>
            </w:pPr>
            <w:r>
              <w:t xml:space="preserve">Source: Longatto-Filho </w:t>
            </w:r>
            <w:r w:rsidR="002561B1">
              <w:t>2011</w:t>
            </w:r>
            <w:r>
              <w:t xml:space="preserve">; Fregnani </w:t>
            </w:r>
            <w:r w:rsidR="002561B1">
              <w:t>2012</w:t>
            </w:r>
          </w:p>
        </w:tc>
      </w:tr>
    </w:tbl>
    <w:p w:rsidR="002561B1" w:rsidRDefault="002561B1" w:rsidP="001310A0">
      <w:pPr>
        <w:pStyle w:val="Tabletext"/>
      </w:pPr>
      <w:r>
        <w:t xml:space="preserve">Abbreviations: ASCUS, atypical cells of undetermined significance; </w:t>
      </w:r>
      <w:r w:rsidR="005316A8">
        <w:t xml:space="preserve">CC, conventional cytology; </w:t>
      </w:r>
      <w:r w:rsidR="00275488">
        <w:t xml:space="preserve">CI, confidence interval; </w:t>
      </w:r>
      <w:r>
        <w:t xml:space="preserve">HSIL, high-grade squamous intraepithelial lesion; </w:t>
      </w:r>
      <w:r w:rsidR="005316A8">
        <w:t xml:space="preserve">LBC, liquid-based cytology; </w:t>
      </w:r>
      <w:r>
        <w:t>LSIL, low grade squamous intraepithelial lesion; NR, not reported</w:t>
      </w:r>
    </w:p>
    <w:p w:rsidR="002561B1" w:rsidRDefault="002561B1" w:rsidP="00AB012A">
      <w:pPr>
        <w:pStyle w:val="Tabletext"/>
        <w:numPr>
          <w:ilvl w:val="0"/>
          <w:numId w:val="34"/>
        </w:numPr>
      </w:pPr>
      <w:r>
        <w:t>n value back calculated from percentages presented in both</w:t>
      </w:r>
      <w:r w:rsidRPr="00055DE8">
        <w:rPr>
          <w:b/>
        </w:rPr>
        <w:t xml:space="preserve"> </w:t>
      </w:r>
      <w:r w:rsidR="002612AA">
        <w:t xml:space="preserve">Longatto-Filho 2011 and Fregnani </w:t>
      </w:r>
      <w:r>
        <w:t>2011</w:t>
      </w:r>
    </w:p>
    <w:p w:rsidR="00275488" w:rsidRDefault="00275488" w:rsidP="00AB012A">
      <w:pPr>
        <w:pStyle w:val="Tabletext"/>
        <w:numPr>
          <w:ilvl w:val="0"/>
          <w:numId w:val="34"/>
        </w:numPr>
      </w:pPr>
      <w:r>
        <w:t xml:space="preserve">Extracted from the publication </w:t>
      </w:r>
    </w:p>
    <w:p w:rsidR="00B150E4" w:rsidRPr="002561B1" w:rsidRDefault="00B150E4" w:rsidP="001310A0"/>
    <w:p w:rsidR="002561B1" w:rsidRPr="002612AA" w:rsidRDefault="002561B1" w:rsidP="002612AA">
      <w:pPr>
        <w:pStyle w:val="Heading50"/>
      </w:pPr>
      <w:r w:rsidRPr="00B150E4">
        <w:t xml:space="preserve">Cell filtration LBC </w:t>
      </w:r>
      <w:r w:rsidR="003954A4" w:rsidRPr="00B150E4">
        <w:t>vs.</w:t>
      </w:r>
      <w:r w:rsidRPr="00B150E4">
        <w:t xml:space="preserve"> </w:t>
      </w:r>
      <w:r w:rsidR="002612AA">
        <w:t>CC</w:t>
      </w:r>
    </w:p>
    <w:p w:rsidR="0090540A" w:rsidRPr="0090540A" w:rsidRDefault="00B150E4" w:rsidP="006B1477">
      <w:r>
        <w:t xml:space="preserve">Ronco 2006a and Ronco </w:t>
      </w:r>
      <w:r w:rsidR="0090540A" w:rsidRPr="0090540A">
        <w:t>2006b represent two cohorts from the same RCT, the New Technologies for Cervical Cancer screening</w:t>
      </w:r>
      <w:r w:rsidR="002612AA">
        <w:t xml:space="preserve"> (NTCC), 25 to </w:t>
      </w:r>
      <w:r w:rsidR="0090540A" w:rsidRPr="0090540A">
        <w:t>34</w:t>
      </w:r>
      <w:r w:rsidR="002612AA">
        <w:t xml:space="preserve"> </w:t>
      </w:r>
      <w:r w:rsidR="0090540A" w:rsidRPr="0090540A">
        <w:t>y</w:t>
      </w:r>
      <w:r w:rsidR="002612AA">
        <w:t xml:space="preserve">ears </w:t>
      </w:r>
      <w:r w:rsidR="0090540A" w:rsidRPr="0090540A">
        <w:t>o</w:t>
      </w:r>
      <w:r w:rsidR="002612AA">
        <w:t xml:space="preserve">f age and 35 to </w:t>
      </w:r>
      <w:r w:rsidR="0090540A" w:rsidRPr="0090540A">
        <w:t>60</w:t>
      </w:r>
      <w:r w:rsidR="002612AA">
        <w:t xml:space="preserve"> years</w:t>
      </w:r>
      <w:r w:rsidR="0090540A" w:rsidRPr="0090540A">
        <w:t>, respectiv</w:t>
      </w:r>
      <w:r w:rsidR="0097007E">
        <w:t>ely.</w:t>
      </w:r>
      <w:r w:rsidR="002612AA">
        <w:t xml:space="preserve"> The difference between the </w:t>
      </w:r>
      <w:r w:rsidR="0097007E">
        <w:t>subgroups</w:t>
      </w:r>
      <w:r w:rsidR="002612AA">
        <w:t xml:space="preserve"> was</w:t>
      </w:r>
      <w:r w:rsidR="0090540A" w:rsidRPr="0090540A">
        <w:t xml:space="preserve"> the means with which cytology results were followed up</w:t>
      </w:r>
      <w:r w:rsidR="0097007E">
        <w:t xml:space="preserve"> to ascertain those with cervical neoplasia</w:t>
      </w:r>
      <w:r w:rsidR="00C568E5">
        <w:t xml:space="preserve"> (</w:t>
      </w:r>
      <w:r w:rsidR="00C568E5" w:rsidRPr="007476F2">
        <w:t xml:space="preserve">discussed in section </w:t>
      </w:r>
      <w:r w:rsidR="007476F2" w:rsidRPr="007476F2">
        <w:t>B.3</w:t>
      </w:r>
      <w:r w:rsidR="00C568E5" w:rsidRPr="007476F2">
        <w:t>)</w:t>
      </w:r>
      <w:r w:rsidR="008C42CB" w:rsidRPr="007476F2">
        <w:t>.</w:t>
      </w:r>
      <w:r w:rsidR="00B93154">
        <w:t xml:space="preserve"> </w:t>
      </w:r>
      <w:r w:rsidR="006B1477">
        <w:t xml:space="preserve">Another difference </w:t>
      </w:r>
      <w:r w:rsidR="00C57B41">
        <w:t xml:space="preserve">within the study was that </w:t>
      </w:r>
      <w:r w:rsidR="00454F3B">
        <w:t>the cell filtration LBC specimen underwent testing for HPV</w:t>
      </w:r>
      <w:r w:rsidR="006B1477">
        <w:t xml:space="preserve">. </w:t>
      </w:r>
      <w:r w:rsidR="00C57B41">
        <w:t>A</w:t>
      </w:r>
      <w:r w:rsidR="00454F3B">
        <w:t>lthough slides were read without knowledge of the results for HPV testing</w:t>
      </w:r>
      <w:r w:rsidR="00C57B41">
        <w:t xml:space="preserve"> there is an uneven b</w:t>
      </w:r>
      <w:r w:rsidR="002612AA">
        <w:t>ias introduced regarding follow-</w:t>
      </w:r>
      <w:r w:rsidR="00C57B41">
        <w:t>up practices for the LBC arm of the study.</w:t>
      </w:r>
    </w:p>
    <w:p w:rsidR="0090540A" w:rsidRDefault="006B1477" w:rsidP="006B1477">
      <w:r>
        <w:t>Ronco</w:t>
      </w:r>
      <w:r w:rsidR="002612AA">
        <w:t xml:space="preserve"> 2007</w:t>
      </w:r>
      <w:r w:rsidR="0090540A" w:rsidRPr="0090540A">
        <w:t xml:space="preserve"> present</w:t>
      </w:r>
      <w:r w:rsidR="002612AA">
        <w:t>s</w:t>
      </w:r>
      <w:r w:rsidR="0090540A" w:rsidRPr="0090540A">
        <w:t xml:space="preserve"> analyses that did not consider the results of cytological and histological tests that were carried out because of a positive</w:t>
      </w:r>
      <w:r w:rsidR="00C57B41">
        <w:t xml:space="preserve"> HPV</w:t>
      </w:r>
      <w:r w:rsidR="0090540A" w:rsidRPr="0090540A">
        <w:t xml:space="preserve"> test result in the presence of normal cytology. </w:t>
      </w:r>
      <w:r w:rsidR="0090540A" w:rsidRPr="0090540A">
        <w:lastRenderedPageBreak/>
        <w:t>These tests would not have been carried out if cytology alone was used. The authors report results for both cohorts</w:t>
      </w:r>
      <w:r w:rsidR="002A4898">
        <w:t xml:space="preserve"> (</w:t>
      </w:r>
      <w:r w:rsidR="002612AA">
        <w:t xml:space="preserve">25 to </w:t>
      </w:r>
      <w:r w:rsidR="002A4898" w:rsidRPr="0090540A">
        <w:t>34</w:t>
      </w:r>
      <w:r w:rsidR="002612AA">
        <w:t xml:space="preserve"> years and 35 to </w:t>
      </w:r>
      <w:r w:rsidR="002A4898" w:rsidRPr="0090540A">
        <w:t>60</w:t>
      </w:r>
      <w:r w:rsidR="002612AA">
        <w:t xml:space="preserve"> years</w:t>
      </w:r>
      <w:r w:rsidR="002A4898">
        <w:t>)</w:t>
      </w:r>
      <w:r w:rsidR="00C568E5">
        <w:t xml:space="preserve"> combined which are presented below. </w:t>
      </w:r>
    </w:p>
    <w:p w:rsidR="00094A30" w:rsidRDefault="00094A30" w:rsidP="006B1477">
      <w:r w:rsidRPr="00094A30">
        <w:t xml:space="preserve">The proportion of women with </w:t>
      </w:r>
      <w:r w:rsidR="00C57B41">
        <w:t>ASCUS</w:t>
      </w:r>
      <w:r w:rsidRPr="00094A30">
        <w:t xml:space="preserve"> or </w:t>
      </w:r>
      <w:r w:rsidR="00C57B41">
        <w:t>AGUS, LSIL and HSIL+</w:t>
      </w:r>
      <w:r w:rsidRPr="00094A30">
        <w:t xml:space="preserve"> was significantly</w:t>
      </w:r>
      <w:r>
        <w:t xml:space="preserve"> </w:t>
      </w:r>
      <w:r w:rsidRPr="00094A30">
        <w:t xml:space="preserve">increased </w:t>
      </w:r>
      <w:r w:rsidR="001B5C13" w:rsidRPr="0098473A">
        <w:t>with</w:t>
      </w:r>
      <w:r w:rsidR="00C57B41">
        <w:t xml:space="preserve"> cell filtration LBC </w:t>
      </w:r>
      <w:r w:rsidRPr="00094A30">
        <w:t>(</w:t>
      </w:r>
      <w:r w:rsidR="00086C77">
        <w:fldChar w:fldCharType="begin"/>
      </w:r>
      <w:r w:rsidR="00086C77">
        <w:instrText xml:space="preserve"> REF _Ref332833991 \h  \* MERGEFORMAT </w:instrText>
      </w:r>
      <w:r w:rsidR="00086C77">
        <w:fldChar w:fldCharType="separate"/>
      </w:r>
      <w:r w:rsidR="003361A8">
        <w:t>Table 34</w:t>
      </w:r>
      <w:r w:rsidR="00086C77">
        <w:fldChar w:fldCharType="end"/>
      </w:r>
      <w:r w:rsidRPr="00094A30">
        <w:t>).</w:t>
      </w:r>
      <w:r>
        <w:t xml:space="preserve"> </w:t>
      </w:r>
      <w:r w:rsidRPr="00094A30">
        <w:t xml:space="preserve">The increase in </w:t>
      </w:r>
      <w:r w:rsidR="00C57B41">
        <w:t>ASCUS</w:t>
      </w:r>
      <w:r w:rsidR="00C57B41" w:rsidRPr="00094A30">
        <w:t xml:space="preserve"> or </w:t>
      </w:r>
      <w:r w:rsidR="00C57B41">
        <w:t>AGUS</w:t>
      </w:r>
      <w:r w:rsidR="00C57B41" w:rsidRPr="00094A30">
        <w:t xml:space="preserve"> </w:t>
      </w:r>
      <w:r w:rsidR="00C57B41">
        <w:t xml:space="preserve">associated with cell filtration LBC </w:t>
      </w:r>
      <w:r w:rsidRPr="00094A30">
        <w:t>was larger</w:t>
      </w:r>
      <w:r>
        <w:t xml:space="preserve"> </w:t>
      </w:r>
      <w:r w:rsidR="002612AA">
        <w:t xml:space="preserve">in women aged 25 to </w:t>
      </w:r>
      <w:r w:rsidRPr="00094A30">
        <w:t xml:space="preserve">34 </w:t>
      </w:r>
      <w:r w:rsidR="002612AA">
        <w:t xml:space="preserve">years </w:t>
      </w:r>
      <w:r w:rsidRPr="00094A30">
        <w:t xml:space="preserve">(relative frequency 1.92, </w:t>
      </w:r>
      <w:r w:rsidR="00C57B41">
        <w:t>95%</w:t>
      </w:r>
      <w:r w:rsidR="002612AA">
        <w:t xml:space="preserve"> </w:t>
      </w:r>
      <w:r w:rsidR="00C57B41">
        <w:t xml:space="preserve">CI </w:t>
      </w:r>
      <w:r w:rsidRPr="00094A30">
        <w:t>1.56 to 2.36</w:t>
      </w:r>
      <w:r w:rsidR="002612AA">
        <w:t>, P</w:t>
      </w:r>
      <w:r w:rsidR="00C57B41">
        <w:t>=0.0199</w:t>
      </w:r>
      <w:r w:rsidRPr="00094A30">
        <w:t>) than in</w:t>
      </w:r>
      <w:r>
        <w:t xml:space="preserve"> </w:t>
      </w:r>
      <w:r w:rsidR="002612AA">
        <w:t xml:space="preserve">women aged 35 to </w:t>
      </w:r>
      <w:r w:rsidRPr="00094A30">
        <w:t xml:space="preserve">60 </w:t>
      </w:r>
      <w:r w:rsidR="002612AA">
        <w:t xml:space="preserve">years </w:t>
      </w:r>
      <w:r w:rsidRPr="00094A30">
        <w:t xml:space="preserve">(1.44, </w:t>
      </w:r>
      <w:r w:rsidR="00C57B41">
        <w:t>95%</w:t>
      </w:r>
      <w:r w:rsidR="002612AA">
        <w:t xml:space="preserve"> </w:t>
      </w:r>
      <w:r w:rsidR="00C57B41">
        <w:t xml:space="preserve">CI </w:t>
      </w:r>
      <w:r w:rsidRPr="00094A30">
        <w:t>1.27 to 1.64).</w:t>
      </w:r>
    </w:p>
    <w:p w:rsidR="00C57B41" w:rsidRDefault="00C57B41" w:rsidP="006B1477">
      <w:r w:rsidRPr="00D409E1">
        <w:t>Test findings for glandular lesions were only</w:t>
      </w:r>
      <w:r>
        <w:t xml:space="preserve"> </w:t>
      </w:r>
      <w:r w:rsidRPr="00D409E1">
        <w:t>reported as a combined category of ASCUS-</w:t>
      </w:r>
      <w:r>
        <w:t>or AGUS</w:t>
      </w:r>
      <w:r w:rsidRPr="00D409E1">
        <w:t>, so glandular test results could not be</w:t>
      </w:r>
      <w:r>
        <w:t xml:space="preserve"> </w:t>
      </w:r>
      <w:r w:rsidRPr="00D409E1">
        <w:t>separated from squamous findings.</w:t>
      </w:r>
    </w:p>
    <w:p w:rsidR="002561B1" w:rsidRDefault="002561B1" w:rsidP="002561B1">
      <w:pPr>
        <w:pStyle w:val="Caption"/>
      </w:pPr>
      <w:bookmarkStart w:id="320" w:name="_Ref332833991"/>
      <w:bookmarkStart w:id="321" w:name="_Toc331766465"/>
      <w:bookmarkStart w:id="322" w:name="_Toc335666000"/>
      <w:bookmarkStart w:id="323" w:name="_Toc337546971"/>
      <w:r>
        <w:t xml:space="preserve">Table </w:t>
      </w:r>
      <w:fldSimple w:instr=" SEQ Table \* ARABIC ">
        <w:r w:rsidR="003361A8">
          <w:rPr>
            <w:noProof/>
          </w:rPr>
          <w:t>34</w:t>
        </w:r>
      </w:fldSimple>
      <w:bookmarkEnd w:id="320"/>
      <w:r w:rsidR="006B1477">
        <w:tab/>
        <w:t>Test y</w:t>
      </w:r>
      <w:r>
        <w:t>ield compar</w:t>
      </w:r>
      <w:r w:rsidR="00BA16C6">
        <w:t>ison (by cytology)—</w:t>
      </w:r>
      <w:r w:rsidR="006B1477">
        <w:t>CC versus</w:t>
      </w:r>
      <w:r w:rsidR="002612AA">
        <w:t xml:space="preserve"> cell filtration LBC</w:t>
      </w:r>
      <w:r w:rsidR="006B1477">
        <w:t xml:space="preserve">, </w:t>
      </w:r>
      <w:r>
        <w:t>NTC</w:t>
      </w:r>
      <w:r w:rsidR="006B1477">
        <w:t>C trial age 24 to 60 years</w:t>
      </w:r>
      <w:r w:rsidR="005316A8">
        <w:t>:</w:t>
      </w:r>
      <w:r w:rsidR="002612AA">
        <w:t xml:space="preserve"> </w:t>
      </w:r>
      <w:r w:rsidR="006B1477">
        <w:t xml:space="preserve">Ronco </w:t>
      </w:r>
      <w:r>
        <w:t>2007</w:t>
      </w:r>
      <w:bookmarkEnd w:id="321"/>
      <w:bookmarkEnd w:id="322"/>
      <w:bookmarkEnd w:id="32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1781"/>
        <w:gridCol w:w="1808"/>
        <w:gridCol w:w="2409"/>
      </w:tblGrid>
      <w:tr w:rsidR="002561B1" w:rsidRPr="006B1477" w:rsidTr="006B1477">
        <w:tc>
          <w:tcPr>
            <w:tcW w:w="1669" w:type="pct"/>
          </w:tcPr>
          <w:p w:rsidR="002561B1" w:rsidRPr="006B1477" w:rsidRDefault="002561B1" w:rsidP="002561B1">
            <w:pPr>
              <w:pStyle w:val="Tabletext"/>
              <w:rPr>
                <w:b/>
              </w:rPr>
            </w:pPr>
          </w:p>
        </w:tc>
        <w:tc>
          <w:tcPr>
            <w:tcW w:w="989" w:type="pct"/>
          </w:tcPr>
          <w:p w:rsidR="002561B1" w:rsidRPr="006B1477" w:rsidRDefault="006B1477" w:rsidP="002561B1">
            <w:pPr>
              <w:pStyle w:val="Tabletext"/>
              <w:rPr>
                <w:b/>
              </w:rPr>
            </w:pPr>
            <w:r>
              <w:rPr>
                <w:b/>
              </w:rPr>
              <w:t xml:space="preserve">CC </w:t>
            </w:r>
            <w:r w:rsidR="002561B1" w:rsidRPr="006B1477">
              <w:rPr>
                <w:b/>
              </w:rPr>
              <w:t>N=22,466</w:t>
            </w:r>
          </w:p>
        </w:tc>
        <w:tc>
          <w:tcPr>
            <w:tcW w:w="1004" w:type="pct"/>
          </w:tcPr>
          <w:p w:rsidR="002561B1" w:rsidRPr="006B1477" w:rsidRDefault="00920E83" w:rsidP="002561B1">
            <w:pPr>
              <w:pStyle w:val="Tabletext"/>
              <w:rPr>
                <w:b/>
              </w:rPr>
            </w:pPr>
            <w:r w:rsidRPr="006B1477">
              <w:rPr>
                <w:b/>
              </w:rPr>
              <w:t>LBC</w:t>
            </w:r>
            <w:r w:rsidR="002561B1" w:rsidRPr="006B1477">
              <w:rPr>
                <w:b/>
              </w:rPr>
              <w:t xml:space="preserve"> N=22,708</w:t>
            </w:r>
          </w:p>
        </w:tc>
        <w:tc>
          <w:tcPr>
            <w:tcW w:w="1339" w:type="pct"/>
          </w:tcPr>
          <w:p w:rsidR="002561B1" w:rsidRPr="006B1477" w:rsidRDefault="002561B1" w:rsidP="002561B1">
            <w:pPr>
              <w:pStyle w:val="Tabletext"/>
              <w:rPr>
                <w:b/>
              </w:rPr>
            </w:pPr>
            <w:r w:rsidRPr="006B1477">
              <w:rPr>
                <w:b/>
              </w:rPr>
              <w:t xml:space="preserve">Relative frequency </w:t>
            </w:r>
            <w:r w:rsidR="005316A8">
              <w:rPr>
                <w:b/>
              </w:rPr>
              <w:br/>
            </w:r>
            <w:r w:rsidRPr="006B1477">
              <w:rPr>
                <w:b/>
              </w:rPr>
              <w:t>(95%</w:t>
            </w:r>
            <w:r w:rsidR="005316A8">
              <w:rPr>
                <w:b/>
              </w:rPr>
              <w:t xml:space="preserve"> </w:t>
            </w:r>
            <w:r w:rsidRPr="006B1477">
              <w:rPr>
                <w:b/>
              </w:rPr>
              <w:t>CI)</w:t>
            </w:r>
            <w:r w:rsidRPr="006B1477">
              <w:rPr>
                <w:b/>
                <w:vertAlign w:val="superscript"/>
              </w:rPr>
              <w:t>a</w:t>
            </w:r>
          </w:p>
        </w:tc>
      </w:tr>
      <w:tr w:rsidR="002561B1" w:rsidRPr="006B1477" w:rsidTr="006B1477">
        <w:tc>
          <w:tcPr>
            <w:tcW w:w="1669" w:type="pct"/>
          </w:tcPr>
          <w:p w:rsidR="002561B1" w:rsidRPr="006B1477" w:rsidRDefault="002561B1" w:rsidP="002561B1">
            <w:pPr>
              <w:pStyle w:val="Tabletext"/>
              <w:rPr>
                <w:b/>
              </w:rPr>
            </w:pPr>
          </w:p>
        </w:tc>
        <w:tc>
          <w:tcPr>
            <w:tcW w:w="989" w:type="pct"/>
          </w:tcPr>
          <w:p w:rsidR="002561B1" w:rsidRPr="006B1477" w:rsidRDefault="002561B1" w:rsidP="002561B1">
            <w:pPr>
              <w:pStyle w:val="Tabletext"/>
              <w:rPr>
                <w:b/>
              </w:rPr>
            </w:pPr>
            <w:proofErr w:type="gramStart"/>
            <w:r w:rsidRPr="006B1477">
              <w:rPr>
                <w:b/>
              </w:rPr>
              <w:t>n</w:t>
            </w:r>
            <w:proofErr w:type="gramEnd"/>
            <w:r w:rsidRPr="006B1477">
              <w:rPr>
                <w:b/>
              </w:rPr>
              <w:t xml:space="preserve"> (%)</w:t>
            </w:r>
          </w:p>
        </w:tc>
        <w:tc>
          <w:tcPr>
            <w:tcW w:w="1004" w:type="pct"/>
          </w:tcPr>
          <w:p w:rsidR="002561B1" w:rsidRPr="006B1477" w:rsidRDefault="002561B1" w:rsidP="002561B1">
            <w:pPr>
              <w:pStyle w:val="Tabletext"/>
              <w:rPr>
                <w:b/>
              </w:rPr>
            </w:pPr>
            <w:proofErr w:type="gramStart"/>
            <w:r w:rsidRPr="006B1477">
              <w:rPr>
                <w:b/>
              </w:rPr>
              <w:t>n</w:t>
            </w:r>
            <w:proofErr w:type="gramEnd"/>
            <w:r w:rsidRPr="006B1477">
              <w:rPr>
                <w:b/>
              </w:rPr>
              <w:t xml:space="preserve"> (%)</w:t>
            </w:r>
          </w:p>
        </w:tc>
        <w:tc>
          <w:tcPr>
            <w:tcW w:w="1339" w:type="pct"/>
          </w:tcPr>
          <w:p w:rsidR="002561B1" w:rsidRPr="006B1477" w:rsidRDefault="002561B1" w:rsidP="002561B1">
            <w:pPr>
              <w:pStyle w:val="Tabletext"/>
              <w:rPr>
                <w:b/>
              </w:rPr>
            </w:pPr>
          </w:p>
        </w:tc>
      </w:tr>
      <w:tr w:rsidR="002561B1" w:rsidTr="006B1477">
        <w:tc>
          <w:tcPr>
            <w:tcW w:w="1669" w:type="pct"/>
          </w:tcPr>
          <w:p w:rsidR="002561B1" w:rsidRDefault="002561B1" w:rsidP="002561B1">
            <w:pPr>
              <w:pStyle w:val="Tabletext"/>
            </w:pPr>
            <w:r>
              <w:t>ASCUS or AGUS</w:t>
            </w:r>
          </w:p>
        </w:tc>
        <w:tc>
          <w:tcPr>
            <w:tcW w:w="989" w:type="pct"/>
          </w:tcPr>
          <w:p w:rsidR="002561B1" w:rsidRDefault="002561B1" w:rsidP="002561B1">
            <w:pPr>
              <w:pStyle w:val="Tabletext"/>
            </w:pPr>
            <w:r>
              <w:t>514 (2.29)</w:t>
            </w:r>
          </w:p>
        </w:tc>
        <w:tc>
          <w:tcPr>
            <w:tcW w:w="1004" w:type="pct"/>
          </w:tcPr>
          <w:p w:rsidR="002561B1" w:rsidRDefault="002561B1" w:rsidP="002561B1">
            <w:pPr>
              <w:pStyle w:val="Tabletext"/>
            </w:pPr>
            <w:r>
              <w:t>815 (3.59)</w:t>
            </w:r>
          </w:p>
        </w:tc>
        <w:tc>
          <w:tcPr>
            <w:tcW w:w="1339" w:type="pct"/>
          </w:tcPr>
          <w:p w:rsidR="002561B1" w:rsidRDefault="00E64881" w:rsidP="00E64881">
            <w:pPr>
              <w:pStyle w:val="Tabletext"/>
            </w:pPr>
            <w:r>
              <w:t>1.57(1.41 ,</w:t>
            </w:r>
            <w:r w:rsidR="002561B1">
              <w:t>1.75)</w:t>
            </w:r>
          </w:p>
        </w:tc>
      </w:tr>
      <w:tr w:rsidR="002561B1" w:rsidTr="006B1477">
        <w:tc>
          <w:tcPr>
            <w:tcW w:w="1669" w:type="pct"/>
          </w:tcPr>
          <w:p w:rsidR="002561B1" w:rsidRPr="00665F85" w:rsidRDefault="002561B1" w:rsidP="002561B1">
            <w:pPr>
              <w:pStyle w:val="Tabletext"/>
              <w:rPr>
                <w:i/>
              </w:rPr>
            </w:pPr>
            <w:r w:rsidRPr="00665F85">
              <w:rPr>
                <w:i/>
              </w:rPr>
              <w:t>ASCUS or AGUS</w:t>
            </w:r>
            <w:r w:rsidR="002612AA">
              <w:rPr>
                <w:i/>
              </w:rPr>
              <w:t xml:space="preserve"> (25 to </w:t>
            </w:r>
            <w:r>
              <w:rPr>
                <w:i/>
              </w:rPr>
              <w:t>34</w:t>
            </w:r>
            <w:r w:rsidR="002612AA">
              <w:rPr>
                <w:i/>
              </w:rPr>
              <w:t xml:space="preserve"> years</w:t>
            </w:r>
            <w:r>
              <w:rPr>
                <w:i/>
              </w:rPr>
              <w:t>)</w:t>
            </w:r>
          </w:p>
        </w:tc>
        <w:tc>
          <w:tcPr>
            <w:tcW w:w="989" w:type="pct"/>
          </w:tcPr>
          <w:p w:rsidR="002561B1" w:rsidRPr="00665F85" w:rsidRDefault="002561B1" w:rsidP="002561B1">
            <w:pPr>
              <w:pStyle w:val="Tabletext"/>
              <w:rPr>
                <w:i/>
              </w:rPr>
            </w:pPr>
            <w:r w:rsidRPr="00665F85">
              <w:rPr>
                <w:i/>
              </w:rPr>
              <w:t>NR</w:t>
            </w:r>
          </w:p>
        </w:tc>
        <w:tc>
          <w:tcPr>
            <w:tcW w:w="1004" w:type="pct"/>
          </w:tcPr>
          <w:p w:rsidR="002561B1" w:rsidRPr="00665F85" w:rsidRDefault="002561B1" w:rsidP="002561B1">
            <w:pPr>
              <w:pStyle w:val="Tabletext"/>
              <w:rPr>
                <w:i/>
              </w:rPr>
            </w:pPr>
            <w:r w:rsidRPr="00665F85">
              <w:rPr>
                <w:i/>
              </w:rPr>
              <w:t>NR</w:t>
            </w:r>
          </w:p>
        </w:tc>
        <w:tc>
          <w:tcPr>
            <w:tcW w:w="1339" w:type="pct"/>
          </w:tcPr>
          <w:p w:rsidR="002561B1" w:rsidRPr="00665F85" w:rsidRDefault="00E64881" w:rsidP="00E64881">
            <w:pPr>
              <w:pStyle w:val="Tabletext"/>
              <w:rPr>
                <w:i/>
              </w:rPr>
            </w:pPr>
            <w:r>
              <w:rPr>
                <w:i/>
              </w:rPr>
              <w:t>1.92 (1.56,</w:t>
            </w:r>
            <w:r w:rsidR="002612AA">
              <w:rPr>
                <w:i/>
              </w:rPr>
              <w:t xml:space="preserve"> 2.36) (P</w:t>
            </w:r>
            <w:r w:rsidR="002561B1" w:rsidRPr="00665F85">
              <w:rPr>
                <w:i/>
              </w:rPr>
              <w:t>=0.0199)</w:t>
            </w:r>
          </w:p>
        </w:tc>
      </w:tr>
      <w:tr w:rsidR="002561B1" w:rsidTr="006B1477">
        <w:tc>
          <w:tcPr>
            <w:tcW w:w="1669" w:type="pct"/>
          </w:tcPr>
          <w:p w:rsidR="002561B1" w:rsidRPr="00665F85" w:rsidRDefault="002561B1" w:rsidP="002561B1">
            <w:pPr>
              <w:pStyle w:val="Tabletext"/>
              <w:rPr>
                <w:i/>
              </w:rPr>
            </w:pPr>
            <w:r w:rsidRPr="00665F85">
              <w:rPr>
                <w:i/>
              </w:rPr>
              <w:t>ASCUS or AGUS</w:t>
            </w:r>
            <w:r w:rsidR="002612AA">
              <w:rPr>
                <w:i/>
              </w:rPr>
              <w:t xml:space="preserve"> (35 to </w:t>
            </w:r>
            <w:r>
              <w:rPr>
                <w:i/>
              </w:rPr>
              <w:t>60</w:t>
            </w:r>
            <w:r w:rsidR="002612AA">
              <w:rPr>
                <w:i/>
              </w:rPr>
              <w:t xml:space="preserve"> years</w:t>
            </w:r>
            <w:r>
              <w:rPr>
                <w:i/>
              </w:rPr>
              <w:t>)</w:t>
            </w:r>
          </w:p>
        </w:tc>
        <w:tc>
          <w:tcPr>
            <w:tcW w:w="989" w:type="pct"/>
          </w:tcPr>
          <w:p w:rsidR="002561B1" w:rsidRPr="00665F85" w:rsidRDefault="002561B1" w:rsidP="002561B1">
            <w:pPr>
              <w:pStyle w:val="Tabletext"/>
              <w:rPr>
                <w:i/>
              </w:rPr>
            </w:pPr>
            <w:r w:rsidRPr="00665F85">
              <w:rPr>
                <w:i/>
              </w:rPr>
              <w:t>NR</w:t>
            </w:r>
          </w:p>
        </w:tc>
        <w:tc>
          <w:tcPr>
            <w:tcW w:w="1004" w:type="pct"/>
          </w:tcPr>
          <w:p w:rsidR="002561B1" w:rsidRPr="00665F85" w:rsidRDefault="002561B1" w:rsidP="002561B1">
            <w:pPr>
              <w:pStyle w:val="Tabletext"/>
              <w:rPr>
                <w:i/>
              </w:rPr>
            </w:pPr>
            <w:r w:rsidRPr="00665F85">
              <w:rPr>
                <w:i/>
              </w:rPr>
              <w:t>NR</w:t>
            </w:r>
          </w:p>
        </w:tc>
        <w:tc>
          <w:tcPr>
            <w:tcW w:w="1339" w:type="pct"/>
          </w:tcPr>
          <w:p w:rsidR="002561B1" w:rsidRPr="00665F85" w:rsidRDefault="002561B1" w:rsidP="00E64881">
            <w:pPr>
              <w:pStyle w:val="Tabletext"/>
              <w:rPr>
                <w:i/>
              </w:rPr>
            </w:pPr>
            <w:r w:rsidRPr="00665F85">
              <w:rPr>
                <w:i/>
              </w:rPr>
              <w:t>1.44 (1.27</w:t>
            </w:r>
            <w:r w:rsidR="00E64881">
              <w:rPr>
                <w:i/>
              </w:rPr>
              <w:t>,</w:t>
            </w:r>
            <w:r w:rsidRPr="00665F85">
              <w:rPr>
                <w:i/>
              </w:rPr>
              <w:t xml:space="preserve"> 1.64)</w:t>
            </w:r>
          </w:p>
        </w:tc>
      </w:tr>
      <w:tr w:rsidR="002561B1" w:rsidTr="006B1477">
        <w:tc>
          <w:tcPr>
            <w:tcW w:w="1669" w:type="pct"/>
          </w:tcPr>
          <w:p w:rsidR="002561B1" w:rsidRDefault="002561B1" w:rsidP="002561B1">
            <w:pPr>
              <w:pStyle w:val="Tabletext"/>
            </w:pPr>
            <w:r>
              <w:t>-LSIL</w:t>
            </w:r>
          </w:p>
        </w:tc>
        <w:tc>
          <w:tcPr>
            <w:tcW w:w="989" w:type="pct"/>
          </w:tcPr>
          <w:p w:rsidR="002561B1" w:rsidRDefault="002561B1" w:rsidP="002561B1">
            <w:pPr>
              <w:pStyle w:val="Tabletext"/>
            </w:pPr>
            <w:r>
              <w:t>283 (1.26)</w:t>
            </w:r>
          </w:p>
        </w:tc>
        <w:tc>
          <w:tcPr>
            <w:tcW w:w="1004" w:type="pct"/>
          </w:tcPr>
          <w:p w:rsidR="002561B1" w:rsidRDefault="002561B1" w:rsidP="002561B1">
            <w:pPr>
              <w:pStyle w:val="Tabletext"/>
            </w:pPr>
            <w:r>
              <w:t>527 (2.32)</w:t>
            </w:r>
          </w:p>
        </w:tc>
        <w:tc>
          <w:tcPr>
            <w:tcW w:w="1339" w:type="pct"/>
          </w:tcPr>
          <w:p w:rsidR="002561B1" w:rsidRDefault="002561B1" w:rsidP="00E64881">
            <w:pPr>
              <w:pStyle w:val="Tabletext"/>
            </w:pPr>
            <w:r>
              <w:t>1.84(1.6</w:t>
            </w:r>
            <w:r w:rsidR="00E64881">
              <w:t xml:space="preserve">0, </w:t>
            </w:r>
            <w:r>
              <w:t>2.13)</w:t>
            </w:r>
          </w:p>
        </w:tc>
      </w:tr>
      <w:tr w:rsidR="002561B1" w:rsidTr="006B1477">
        <w:tc>
          <w:tcPr>
            <w:tcW w:w="1669" w:type="pct"/>
          </w:tcPr>
          <w:p w:rsidR="002561B1" w:rsidRDefault="002561B1" w:rsidP="002561B1">
            <w:pPr>
              <w:pStyle w:val="Tabletext"/>
            </w:pPr>
            <w:r>
              <w:t>-HSIL+</w:t>
            </w:r>
          </w:p>
        </w:tc>
        <w:tc>
          <w:tcPr>
            <w:tcW w:w="989" w:type="pct"/>
          </w:tcPr>
          <w:p w:rsidR="002561B1" w:rsidRDefault="002561B1" w:rsidP="002561B1">
            <w:pPr>
              <w:pStyle w:val="Tabletext"/>
            </w:pPr>
            <w:r>
              <w:t>58 (0.26)</w:t>
            </w:r>
          </w:p>
        </w:tc>
        <w:tc>
          <w:tcPr>
            <w:tcW w:w="1004" w:type="pct"/>
          </w:tcPr>
          <w:p w:rsidR="002561B1" w:rsidRDefault="002561B1" w:rsidP="002561B1">
            <w:pPr>
              <w:pStyle w:val="Tabletext"/>
            </w:pPr>
            <w:r>
              <w:t>92 (0.41)</w:t>
            </w:r>
          </w:p>
        </w:tc>
        <w:tc>
          <w:tcPr>
            <w:tcW w:w="1339" w:type="pct"/>
          </w:tcPr>
          <w:p w:rsidR="002561B1" w:rsidRDefault="002561B1" w:rsidP="00E64881">
            <w:pPr>
              <w:pStyle w:val="Tabletext"/>
            </w:pPr>
            <w:r>
              <w:t>1.57(1.13</w:t>
            </w:r>
            <w:r w:rsidR="00E64881">
              <w:t>,</w:t>
            </w:r>
            <w:r>
              <w:t xml:space="preserve"> 2.18)</w:t>
            </w:r>
          </w:p>
        </w:tc>
      </w:tr>
      <w:tr w:rsidR="0090540A" w:rsidTr="006B1477">
        <w:tc>
          <w:tcPr>
            <w:tcW w:w="5000" w:type="pct"/>
            <w:gridSpan w:val="4"/>
          </w:tcPr>
          <w:p w:rsidR="0090540A" w:rsidRDefault="002612AA" w:rsidP="002561B1">
            <w:pPr>
              <w:pStyle w:val="Tabletext"/>
            </w:pPr>
            <w:r>
              <w:t xml:space="preserve">Source: Ronco </w:t>
            </w:r>
            <w:r w:rsidR="0090540A">
              <w:t>2007 Table 1, Table 2 p.3</w:t>
            </w:r>
          </w:p>
        </w:tc>
      </w:tr>
    </w:tbl>
    <w:p w:rsidR="002561B1" w:rsidRDefault="002561B1" w:rsidP="001310A0">
      <w:pPr>
        <w:pStyle w:val="Tabletext"/>
      </w:pPr>
      <w:r>
        <w:t>Abbreviations: AGUS, atypical glandular cells of undetermined significance; ASCUS, atypical cells of undetermined significance; CI, confidence interval; HSIL, high-grade squamous intraepithelial lesion; LSIL, low grade squamous intraepithelial lesion.</w:t>
      </w:r>
    </w:p>
    <w:p w:rsidR="002561B1" w:rsidRDefault="002561B1" w:rsidP="00AB012A">
      <w:pPr>
        <w:pStyle w:val="Tabletext"/>
        <w:numPr>
          <w:ilvl w:val="0"/>
          <w:numId w:val="35"/>
        </w:numPr>
      </w:pPr>
      <w:r>
        <w:t xml:space="preserve">Ratio of percentages. </w:t>
      </w:r>
      <w:r w:rsidR="00920E83">
        <w:t>LBC</w:t>
      </w:r>
      <w:r>
        <w:t xml:space="preserve"> comp</w:t>
      </w:r>
      <w:r w:rsidR="001310A0">
        <w:t>ared with conventional cytology</w:t>
      </w:r>
    </w:p>
    <w:p w:rsidR="002561B1" w:rsidRDefault="002561B1" w:rsidP="002561B1"/>
    <w:p w:rsidR="0022199E" w:rsidRDefault="00EB64FD" w:rsidP="006B1477">
      <w:r>
        <w:t xml:space="preserve">In the </w:t>
      </w:r>
      <w:r w:rsidR="002A5763" w:rsidRPr="002A5763">
        <w:t xml:space="preserve">NETHCON trial </w:t>
      </w:r>
      <w:r w:rsidR="002A5763">
        <w:t xml:space="preserve">reported by </w:t>
      </w:r>
      <w:r w:rsidR="002612AA">
        <w:t>Siebers 2008,</w:t>
      </w:r>
      <w:r w:rsidR="002A5763">
        <w:t xml:space="preserve"> </w:t>
      </w:r>
      <w:r>
        <w:t>t</w:t>
      </w:r>
      <w:r w:rsidR="0022199E">
        <w:t>he number of practices</w:t>
      </w:r>
      <w:r w:rsidR="002A5763">
        <w:t xml:space="preserve"> in the trial</w:t>
      </w:r>
      <w:r w:rsidR="0022199E">
        <w:t xml:space="preserve"> was evenly distributed over the two study arms (122 in the </w:t>
      </w:r>
      <w:r w:rsidR="008C42CB">
        <w:t>LBC</w:t>
      </w:r>
      <w:r w:rsidR="0022199E">
        <w:t xml:space="preserve"> arm and 124 in the </w:t>
      </w:r>
      <w:r w:rsidR="002612AA">
        <w:t>CC</w:t>
      </w:r>
      <w:r w:rsidR="0022199E">
        <w:t xml:space="preserve"> arm). However, the overall distribution of </w:t>
      </w:r>
      <w:r w:rsidR="002612AA">
        <w:t>participants between the</w:t>
      </w:r>
      <w:r w:rsidR="0022199E">
        <w:t xml:space="preserve"> study arms was unbalanced, with more samples examined in the</w:t>
      </w:r>
      <w:r>
        <w:t xml:space="preserve"> cell filtration </w:t>
      </w:r>
      <w:r w:rsidR="008C42CB">
        <w:t>LBC</w:t>
      </w:r>
      <w:r w:rsidR="002A5763">
        <w:t xml:space="preserve"> arm (n=</w:t>
      </w:r>
      <w:r w:rsidR="0022199E">
        <w:t>49,</w:t>
      </w:r>
      <w:r w:rsidR="002A5763">
        <w:t xml:space="preserve">222) than in the </w:t>
      </w:r>
      <w:r w:rsidR="002612AA">
        <w:t>CC</w:t>
      </w:r>
      <w:r>
        <w:t xml:space="preserve"> </w:t>
      </w:r>
      <w:r w:rsidR="002A5763">
        <w:t>arm (n=</w:t>
      </w:r>
      <w:r w:rsidR="0022199E">
        <w:t xml:space="preserve">40,562). This was mainly caused by an uneven distribution of </w:t>
      </w:r>
      <w:r w:rsidR="00920E83">
        <w:t>LBC</w:t>
      </w:r>
      <w:r w:rsidR="0022199E">
        <w:t xml:space="preserve"> and </w:t>
      </w:r>
      <w:r w:rsidR="002612AA">
        <w:t>CC</w:t>
      </w:r>
      <w:r w:rsidR="0022199E">
        <w:t xml:space="preserve"> slides at </w:t>
      </w:r>
      <w:r w:rsidR="00B11D81">
        <w:t xml:space="preserve">one </w:t>
      </w:r>
      <w:r w:rsidR="0022199E">
        <w:t xml:space="preserve">site (57.7% </w:t>
      </w:r>
      <w:r w:rsidR="00920E83">
        <w:t>LBC</w:t>
      </w:r>
      <w:r w:rsidR="0022199E">
        <w:t xml:space="preserve"> compared with 42.3% </w:t>
      </w:r>
      <w:r w:rsidR="002612AA">
        <w:t>CC</w:t>
      </w:r>
      <w:r w:rsidR="0022199E">
        <w:t>),</w:t>
      </w:r>
      <w:r w:rsidR="00B11D81">
        <w:t xml:space="preserve"> </w:t>
      </w:r>
      <w:r w:rsidR="0022199E">
        <w:t>due to allocation, by chance, of six large</w:t>
      </w:r>
      <w:r w:rsidR="00B11D81">
        <w:t xml:space="preserve"> </w:t>
      </w:r>
      <w:r w:rsidR="0022199E">
        <w:t>(n</w:t>
      </w:r>
      <w:r w:rsidR="002A5763">
        <w:t>=</w:t>
      </w:r>
      <w:r w:rsidR="00920E83">
        <w:t xml:space="preserve">1,000) practices to LBC </w:t>
      </w:r>
      <w:r w:rsidR="0022199E">
        <w:t>compared with</w:t>
      </w:r>
      <w:r w:rsidR="00B11D81">
        <w:t xml:space="preserve"> </w:t>
      </w:r>
      <w:r w:rsidR="0022199E">
        <w:t xml:space="preserve">only one to the </w:t>
      </w:r>
      <w:r w:rsidR="002612AA">
        <w:t xml:space="preserve">CC </w:t>
      </w:r>
      <w:r w:rsidR="0022199E">
        <w:t>arm.</w:t>
      </w:r>
      <w:r>
        <w:t xml:space="preserve"> To adjust for potentially confoundi</w:t>
      </w:r>
      <w:r w:rsidR="002612AA">
        <w:t>ng variables (age, site, urbanis</w:t>
      </w:r>
      <w:r>
        <w:t xml:space="preserve">ation level, and experience with </w:t>
      </w:r>
      <w:r w:rsidR="00920E83">
        <w:t>LBC</w:t>
      </w:r>
      <w:r>
        <w:t xml:space="preserve">) a logistic regression was used to compare study arms. </w:t>
      </w:r>
    </w:p>
    <w:p w:rsidR="006E5A20" w:rsidRDefault="006E5A20" w:rsidP="006B1477">
      <w:r>
        <w:t xml:space="preserve">The proportion of slides that were classified as normal was not </w:t>
      </w:r>
      <w:r w:rsidR="002612AA">
        <w:t>reported for the NETHCON trial.</w:t>
      </w:r>
      <w:r>
        <w:t xml:space="preserve"> However</w:t>
      </w:r>
      <w:r w:rsidR="002612AA">
        <w:t>,</w:t>
      </w:r>
      <w:r>
        <w:t xml:space="preserve"> given </w:t>
      </w:r>
      <w:r w:rsidR="002612AA">
        <w:t xml:space="preserve">that </w:t>
      </w:r>
      <w:r>
        <w:t>a</w:t>
      </w:r>
      <w:r w:rsidR="002612AA">
        <w:t>ll slides would be classified to</w:t>
      </w:r>
      <w:r>
        <w:t xml:space="preserve"> one of five categories (uns</w:t>
      </w:r>
      <w:r w:rsidR="002612AA">
        <w:t>atisfactory, normal, ASCUS+AGUS</w:t>
      </w:r>
      <w:r>
        <w:t xml:space="preserve">, LSIL and HSIL+) the number was estimated by summing the proportions of </w:t>
      </w:r>
      <w:r>
        <w:lastRenderedPageBreak/>
        <w:t>reported slides and subtracting from 100 (i.e. 100-[%</w:t>
      </w:r>
      <w:r w:rsidRPr="00344F05">
        <w:t xml:space="preserve"> </w:t>
      </w:r>
      <w:r>
        <w:t>unsatisfactory+% ASCUS+AGUS +% LSIL +%HSIL+]).</w:t>
      </w:r>
    </w:p>
    <w:p w:rsidR="00B11D81" w:rsidRDefault="00873A41" w:rsidP="006B1477">
      <w:r>
        <w:t xml:space="preserve">Based on the </w:t>
      </w:r>
      <w:r w:rsidR="00EB64FD">
        <w:t xml:space="preserve">95% confidence interval around the crude and </w:t>
      </w:r>
      <w:r>
        <w:t>adjusted OR</w:t>
      </w:r>
      <w:r w:rsidR="00B11D81">
        <w:t xml:space="preserve">, </w:t>
      </w:r>
      <w:r w:rsidR="00EB64FD">
        <w:t xml:space="preserve">there was no significant difference between the </w:t>
      </w:r>
      <w:r w:rsidR="003954A4">
        <w:t>proportions</w:t>
      </w:r>
      <w:r w:rsidR="00EB64FD">
        <w:t xml:space="preserve"> of slides in each cytological </w:t>
      </w:r>
      <w:r w:rsidR="00B11D81">
        <w:t>categor</w:t>
      </w:r>
      <w:r w:rsidR="00EB64FD">
        <w:t>y</w:t>
      </w:r>
      <w:r w:rsidR="002612AA">
        <w:t xml:space="preserve"> between the </w:t>
      </w:r>
      <w:r w:rsidR="00B11D81">
        <w:t>study arms</w:t>
      </w:r>
      <w:r w:rsidR="00EB64FD">
        <w:t xml:space="preserve"> (</w:t>
      </w:r>
      <w:r w:rsidR="00086C77">
        <w:fldChar w:fldCharType="begin"/>
      </w:r>
      <w:r w:rsidR="00086C77">
        <w:instrText xml:space="preserve"> REF _Ref332791707 \h  \* MERGEFORMAT </w:instrText>
      </w:r>
      <w:r w:rsidR="00086C77">
        <w:fldChar w:fldCharType="separate"/>
      </w:r>
      <w:r w:rsidR="003361A8">
        <w:t xml:space="preserve">Table </w:t>
      </w:r>
      <w:r w:rsidR="003361A8">
        <w:rPr>
          <w:noProof/>
        </w:rPr>
        <w:t>35</w:t>
      </w:r>
      <w:r w:rsidR="00086C77">
        <w:fldChar w:fldCharType="end"/>
      </w:r>
      <w:r w:rsidR="00EB64FD">
        <w:t>)</w:t>
      </w:r>
      <w:r w:rsidR="00B11D81">
        <w:t xml:space="preserve">. </w:t>
      </w:r>
    </w:p>
    <w:p w:rsidR="00EB64FD" w:rsidRDefault="00EB64FD" w:rsidP="006B1477">
      <w:r w:rsidRPr="00D409E1">
        <w:t>Test findings for glandular lesions were only</w:t>
      </w:r>
      <w:r>
        <w:t xml:space="preserve"> </w:t>
      </w:r>
      <w:r w:rsidRPr="00D409E1">
        <w:t>reported as a combined category of ASCUS-</w:t>
      </w:r>
      <w:r>
        <w:t>or AGUS</w:t>
      </w:r>
      <w:r w:rsidRPr="00D409E1">
        <w:t>, so glandular test results could not be</w:t>
      </w:r>
      <w:r>
        <w:t xml:space="preserve"> </w:t>
      </w:r>
      <w:r w:rsidRPr="00D409E1">
        <w:t>separated from squamous findings.</w:t>
      </w:r>
    </w:p>
    <w:p w:rsidR="002561B1" w:rsidRDefault="002561B1" w:rsidP="002561B1">
      <w:pPr>
        <w:pStyle w:val="Caption"/>
      </w:pPr>
      <w:bookmarkStart w:id="324" w:name="_Ref332791707"/>
      <w:bookmarkStart w:id="325" w:name="_Toc331766466"/>
      <w:bookmarkStart w:id="326" w:name="_Toc335666001"/>
      <w:bookmarkStart w:id="327" w:name="_Toc337546972"/>
      <w:r>
        <w:t xml:space="preserve">Table </w:t>
      </w:r>
      <w:fldSimple w:instr=" SEQ Table \* ARABIC ">
        <w:r w:rsidR="003361A8">
          <w:rPr>
            <w:noProof/>
          </w:rPr>
          <w:t>35</w:t>
        </w:r>
      </w:fldSimple>
      <w:bookmarkEnd w:id="324"/>
      <w:r w:rsidR="006B1477">
        <w:tab/>
        <w:t>Test yield compari</w:t>
      </w:r>
      <w:r w:rsidR="00BA16C6">
        <w:t>son (by cytology)—</w:t>
      </w:r>
      <w:r w:rsidR="006B1477">
        <w:t>CC</w:t>
      </w:r>
      <w:r>
        <w:t xml:space="preserve"> ve</w:t>
      </w:r>
      <w:r w:rsidR="006B1477">
        <w:t xml:space="preserve">rsus </w:t>
      </w:r>
      <w:r w:rsidR="00E444BF">
        <w:t>cell filtration LBC</w:t>
      </w:r>
      <w:r w:rsidR="00BA16C6">
        <w:t>;</w:t>
      </w:r>
      <w:r w:rsidR="006B1477">
        <w:t xml:space="preserve"> NETHCON trial</w:t>
      </w:r>
      <w:r w:rsidR="00BA16C6">
        <w:t>,</w:t>
      </w:r>
      <w:r w:rsidR="00E444BF">
        <w:t xml:space="preserve"> </w:t>
      </w:r>
      <w:r w:rsidR="006B1477">
        <w:t xml:space="preserve">Siebers </w:t>
      </w:r>
      <w:r>
        <w:t>2008</w:t>
      </w:r>
      <w:bookmarkEnd w:id="325"/>
      <w:bookmarkEnd w:id="326"/>
      <w:bookmarkEnd w:id="327"/>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4"/>
        <w:gridCol w:w="1614"/>
        <w:gridCol w:w="1558"/>
        <w:gridCol w:w="1732"/>
        <w:gridCol w:w="1896"/>
      </w:tblGrid>
      <w:tr w:rsidR="002561B1" w:rsidRPr="006B1477" w:rsidTr="006B1477">
        <w:tc>
          <w:tcPr>
            <w:tcW w:w="1224" w:type="pct"/>
          </w:tcPr>
          <w:p w:rsidR="002561B1" w:rsidRPr="006B1477" w:rsidRDefault="002561B1" w:rsidP="002561B1">
            <w:pPr>
              <w:pStyle w:val="Tabletext"/>
              <w:rPr>
                <w:b/>
              </w:rPr>
            </w:pPr>
          </w:p>
        </w:tc>
        <w:tc>
          <w:tcPr>
            <w:tcW w:w="896" w:type="pct"/>
          </w:tcPr>
          <w:p w:rsidR="002561B1" w:rsidRPr="006B1477" w:rsidRDefault="006B1477" w:rsidP="002561B1">
            <w:pPr>
              <w:pStyle w:val="Tabletext"/>
              <w:rPr>
                <w:b/>
              </w:rPr>
            </w:pPr>
            <w:r>
              <w:rPr>
                <w:b/>
              </w:rPr>
              <w:t>CC</w:t>
            </w:r>
            <w:r w:rsidR="002561B1" w:rsidRPr="006B1477">
              <w:rPr>
                <w:b/>
              </w:rPr>
              <w:t xml:space="preserve"> N=39,010</w:t>
            </w:r>
          </w:p>
        </w:tc>
        <w:tc>
          <w:tcPr>
            <w:tcW w:w="865" w:type="pct"/>
          </w:tcPr>
          <w:p w:rsidR="002561B1" w:rsidRPr="006B1477" w:rsidRDefault="006B1477" w:rsidP="002561B1">
            <w:pPr>
              <w:pStyle w:val="Tabletext"/>
              <w:rPr>
                <w:b/>
              </w:rPr>
            </w:pPr>
            <w:r>
              <w:rPr>
                <w:b/>
              </w:rPr>
              <w:t xml:space="preserve">LBC </w:t>
            </w:r>
            <w:r w:rsidR="002561B1" w:rsidRPr="006B1477">
              <w:rPr>
                <w:b/>
              </w:rPr>
              <w:t>N=46,066</w:t>
            </w:r>
          </w:p>
        </w:tc>
        <w:tc>
          <w:tcPr>
            <w:tcW w:w="962" w:type="pct"/>
          </w:tcPr>
          <w:p w:rsidR="002561B1" w:rsidRPr="006B1477" w:rsidRDefault="002561B1" w:rsidP="002561B1">
            <w:pPr>
              <w:pStyle w:val="Tabletext"/>
              <w:rPr>
                <w:b/>
              </w:rPr>
            </w:pPr>
            <w:r w:rsidRPr="006B1477">
              <w:rPr>
                <w:b/>
              </w:rPr>
              <w:t>Crude OR (</w:t>
            </w:r>
            <w:r w:rsidR="005E0D57">
              <w:rPr>
                <w:b/>
              </w:rPr>
              <w:t>95% CI</w:t>
            </w:r>
            <w:r w:rsidRPr="006B1477">
              <w:rPr>
                <w:b/>
              </w:rPr>
              <w:t>)</w:t>
            </w:r>
            <w:r w:rsidRPr="006B1477">
              <w:rPr>
                <w:b/>
                <w:vertAlign w:val="superscript"/>
              </w:rPr>
              <w:t>a</w:t>
            </w:r>
          </w:p>
        </w:tc>
        <w:tc>
          <w:tcPr>
            <w:tcW w:w="1053" w:type="pct"/>
          </w:tcPr>
          <w:p w:rsidR="002561B1" w:rsidRPr="006B1477" w:rsidRDefault="002561B1" w:rsidP="002561B1">
            <w:pPr>
              <w:pStyle w:val="Tabletext"/>
              <w:rPr>
                <w:b/>
              </w:rPr>
            </w:pPr>
            <w:r w:rsidRPr="006B1477">
              <w:rPr>
                <w:b/>
              </w:rPr>
              <w:t>Adjusted OR (</w:t>
            </w:r>
            <w:r w:rsidR="005E0D57">
              <w:rPr>
                <w:b/>
              </w:rPr>
              <w:t>95% CI</w:t>
            </w:r>
            <w:r w:rsidRPr="006B1477">
              <w:rPr>
                <w:b/>
              </w:rPr>
              <w:t>)</w:t>
            </w:r>
            <w:r w:rsidRPr="006B1477">
              <w:rPr>
                <w:b/>
                <w:vertAlign w:val="superscript"/>
              </w:rPr>
              <w:t>b</w:t>
            </w:r>
          </w:p>
        </w:tc>
      </w:tr>
      <w:tr w:rsidR="002561B1" w:rsidRPr="006B1477" w:rsidTr="006B1477">
        <w:tc>
          <w:tcPr>
            <w:tcW w:w="1224" w:type="pct"/>
          </w:tcPr>
          <w:p w:rsidR="002561B1" w:rsidRPr="006B1477" w:rsidRDefault="002561B1" w:rsidP="002561B1">
            <w:pPr>
              <w:pStyle w:val="Tabletext"/>
              <w:rPr>
                <w:b/>
              </w:rPr>
            </w:pPr>
          </w:p>
        </w:tc>
        <w:tc>
          <w:tcPr>
            <w:tcW w:w="896" w:type="pct"/>
          </w:tcPr>
          <w:p w:rsidR="002561B1" w:rsidRPr="006B1477" w:rsidRDefault="002561B1" w:rsidP="002561B1">
            <w:pPr>
              <w:pStyle w:val="Tabletext"/>
              <w:rPr>
                <w:b/>
              </w:rPr>
            </w:pPr>
            <w:proofErr w:type="gramStart"/>
            <w:r w:rsidRPr="006B1477">
              <w:rPr>
                <w:b/>
              </w:rPr>
              <w:t>n</w:t>
            </w:r>
            <w:proofErr w:type="gramEnd"/>
            <w:r w:rsidRPr="006B1477">
              <w:rPr>
                <w:b/>
              </w:rPr>
              <w:t xml:space="preserve"> (%)</w:t>
            </w:r>
          </w:p>
        </w:tc>
        <w:tc>
          <w:tcPr>
            <w:tcW w:w="865" w:type="pct"/>
          </w:tcPr>
          <w:p w:rsidR="002561B1" w:rsidRPr="006B1477" w:rsidRDefault="002561B1" w:rsidP="002561B1">
            <w:pPr>
              <w:pStyle w:val="Tabletext"/>
              <w:rPr>
                <w:b/>
              </w:rPr>
            </w:pPr>
            <w:proofErr w:type="gramStart"/>
            <w:r w:rsidRPr="006B1477">
              <w:rPr>
                <w:b/>
              </w:rPr>
              <w:t>n</w:t>
            </w:r>
            <w:proofErr w:type="gramEnd"/>
            <w:r w:rsidRPr="006B1477">
              <w:rPr>
                <w:b/>
              </w:rPr>
              <w:t xml:space="preserve"> (%)</w:t>
            </w:r>
          </w:p>
        </w:tc>
        <w:tc>
          <w:tcPr>
            <w:tcW w:w="962" w:type="pct"/>
          </w:tcPr>
          <w:p w:rsidR="002561B1" w:rsidRPr="006B1477" w:rsidRDefault="002561B1" w:rsidP="002561B1">
            <w:pPr>
              <w:pStyle w:val="Tabletext"/>
              <w:rPr>
                <w:b/>
              </w:rPr>
            </w:pPr>
          </w:p>
        </w:tc>
        <w:tc>
          <w:tcPr>
            <w:tcW w:w="1053" w:type="pct"/>
          </w:tcPr>
          <w:p w:rsidR="002561B1" w:rsidRPr="006B1477" w:rsidRDefault="002561B1" w:rsidP="002561B1">
            <w:pPr>
              <w:pStyle w:val="Tabletext"/>
              <w:rPr>
                <w:b/>
              </w:rPr>
            </w:pPr>
          </w:p>
        </w:tc>
      </w:tr>
      <w:tr w:rsidR="006E5A20" w:rsidTr="006B1477">
        <w:tc>
          <w:tcPr>
            <w:tcW w:w="1224" w:type="pct"/>
          </w:tcPr>
          <w:p w:rsidR="006E5A20" w:rsidRDefault="006E5A20" w:rsidP="002561B1">
            <w:pPr>
              <w:pStyle w:val="Tabletext"/>
            </w:pPr>
            <w:r>
              <w:t>Normal</w:t>
            </w:r>
          </w:p>
        </w:tc>
        <w:tc>
          <w:tcPr>
            <w:tcW w:w="896" w:type="pct"/>
          </w:tcPr>
          <w:p w:rsidR="006E5A20" w:rsidRDefault="006E5A20" w:rsidP="000367FE">
            <w:pPr>
              <w:pStyle w:val="Tabletext"/>
            </w:pPr>
            <w:r>
              <w:t>37</w:t>
            </w:r>
            <w:r w:rsidR="000367FE">
              <w:t>477</w:t>
            </w:r>
            <w:r>
              <w:t xml:space="preserve"> (96.</w:t>
            </w:r>
            <w:r w:rsidR="000367FE">
              <w:t>07</w:t>
            </w:r>
            <w:r>
              <w:t>)</w:t>
            </w:r>
            <w:r w:rsidRPr="006E5A20">
              <w:rPr>
                <w:vertAlign w:val="superscript"/>
              </w:rPr>
              <w:t>c</w:t>
            </w:r>
          </w:p>
        </w:tc>
        <w:tc>
          <w:tcPr>
            <w:tcW w:w="865" w:type="pct"/>
          </w:tcPr>
          <w:p w:rsidR="006E5A20" w:rsidRDefault="006E5A20" w:rsidP="00F665F9">
            <w:pPr>
              <w:pStyle w:val="Tabletext"/>
            </w:pPr>
            <w:r>
              <w:t>44</w:t>
            </w:r>
            <w:r w:rsidR="00F665F9">
              <w:t>670</w:t>
            </w:r>
            <w:r>
              <w:t xml:space="preserve"> (96.</w:t>
            </w:r>
            <w:r w:rsidR="00F665F9">
              <w:t>96</w:t>
            </w:r>
            <w:r>
              <w:t>)</w:t>
            </w:r>
            <w:r w:rsidRPr="006E5A20">
              <w:rPr>
                <w:vertAlign w:val="superscript"/>
              </w:rPr>
              <w:t xml:space="preserve"> c</w:t>
            </w:r>
          </w:p>
        </w:tc>
        <w:tc>
          <w:tcPr>
            <w:tcW w:w="962" w:type="pct"/>
          </w:tcPr>
          <w:p w:rsidR="006E5A20" w:rsidRDefault="006E5A20" w:rsidP="00E64881">
            <w:pPr>
              <w:pStyle w:val="Tabletext"/>
            </w:pPr>
            <w:r>
              <w:t>NR</w:t>
            </w:r>
          </w:p>
        </w:tc>
        <w:tc>
          <w:tcPr>
            <w:tcW w:w="1053" w:type="pct"/>
          </w:tcPr>
          <w:p w:rsidR="006E5A20" w:rsidRDefault="006E5A20" w:rsidP="002561B1">
            <w:pPr>
              <w:pStyle w:val="Tabletext"/>
            </w:pPr>
            <w:r>
              <w:t>NR</w:t>
            </w:r>
          </w:p>
        </w:tc>
      </w:tr>
      <w:tr w:rsidR="002561B1" w:rsidTr="006B1477">
        <w:tc>
          <w:tcPr>
            <w:tcW w:w="1224" w:type="pct"/>
          </w:tcPr>
          <w:p w:rsidR="002561B1" w:rsidRDefault="002561B1" w:rsidP="002561B1">
            <w:pPr>
              <w:pStyle w:val="Tabletext"/>
            </w:pPr>
            <w:r>
              <w:t>ASCUS/atypical glandular cells</w:t>
            </w:r>
          </w:p>
        </w:tc>
        <w:tc>
          <w:tcPr>
            <w:tcW w:w="896" w:type="pct"/>
          </w:tcPr>
          <w:p w:rsidR="002561B1" w:rsidRDefault="002561B1" w:rsidP="002561B1">
            <w:pPr>
              <w:pStyle w:val="Tabletext"/>
            </w:pPr>
            <w:r>
              <w:t>700 (1.81)</w:t>
            </w:r>
          </w:p>
        </w:tc>
        <w:tc>
          <w:tcPr>
            <w:tcW w:w="865" w:type="pct"/>
          </w:tcPr>
          <w:p w:rsidR="002561B1" w:rsidRDefault="002561B1" w:rsidP="002561B1">
            <w:pPr>
              <w:pStyle w:val="Tabletext"/>
            </w:pPr>
            <w:r>
              <w:t>769 (1.67)</w:t>
            </w:r>
          </w:p>
        </w:tc>
        <w:tc>
          <w:tcPr>
            <w:tcW w:w="962" w:type="pct"/>
          </w:tcPr>
          <w:p w:rsidR="002561B1" w:rsidRDefault="00E64881" w:rsidP="00E64881">
            <w:pPr>
              <w:pStyle w:val="Tabletext"/>
            </w:pPr>
            <w:r>
              <w:t>0.92 (0.77,</w:t>
            </w:r>
            <w:r w:rsidR="002561B1">
              <w:t>1.10)</w:t>
            </w:r>
          </w:p>
        </w:tc>
        <w:tc>
          <w:tcPr>
            <w:tcW w:w="1053" w:type="pct"/>
          </w:tcPr>
          <w:p w:rsidR="002561B1" w:rsidRDefault="002561B1" w:rsidP="002561B1">
            <w:pPr>
              <w:pStyle w:val="Tabletext"/>
            </w:pPr>
            <w:r>
              <w:t>NR</w:t>
            </w:r>
          </w:p>
        </w:tc>
      </w:tr>
      <w:tr w:rsidR="002561B1" w:rsidTr="006B1477">
        <w:tc>
          <w:tcPr>
            <w:tcW w:w="1224" w:type="pct"/>
          </w:tcPr>
          <w:p w:rsidR="002561B1" w:rsidRDefault="002561B1" w:rsidP="002561B1">
            <w:pPr>
              <w:pStyle w:val="Tabletext"/>
            </w:pPr>
            <w:r>
              <w:t>LSIL</w:t>
            </w:r>
          </w:p>
        </w:tc>
        <w:tc>
          <w:tcPr>
            <w:tcW w:w="896" w:type="pct"/>
          </w:tcPr>
          <w:p w:rsidR="002561B1" w:rsidRDefault="002561B1" w:rsidP="002561B1">
            <w:pPr>
              <w:pStyle w:val="Tabletext"/>
            </w:pPr>
            <w:r>
              <w:t>154 (0.40)</w:t>
            </w:r>
          </w:p>
        </w:tc>
        <w:tc>
          <w:tcPr>
            <w:tcW w:w="865" w:type="pct"/>
          </w:tcPr>
          <w:p w:rsidR="002561B1" w:rsidRDefault="002561B1" w:rsidP="002561B1">
            <w:pPr>
              <w:pStyle w:val="Tabletext"/>
            </w:pPr>
            <w:r>
              <w:t>191 (0.42)</w:t>
            </w:r>
          </w:p>
        </w:tc>
        <w:tc>
          <w:tcPr>
            <w:tcW w:w="962" w:type="pct"/>
          </w:tcPr>
          <w:p w:rsidR="002561B1" w:rsidRDefault="00E64881" w:rsidP="002561B1">
            <w:pPr>
              <w:pStyle w:val="Tabletext"/>
            </w:pPr>
            <w:r>
              <w:t>1.04 (0.82,</w:t>
            </w:r>
            <w:r w:rsidR="00E444BF">
              <w:t xml:space="preserve"> </w:t>
            </w:r>
            <w:r w:rsidR="002561B1">
              <w:t>1.33)</w:t>
            </w:r>
          </w:p>
        </w:tc>
        <w:tc>
          <w:tcPr>
            <w:tcW w:w="1053" w:type="pct"/>
          </w:tcPr>
          <w:p w:rsidR="002561B1" w:rsidRDefault="002561B1" w:rsidP="002561B1">
            <w:pPr>
              <w:pStyle w:val="Tabletext"/>
            </w:pPr>
            <w:r>
              <w:t>NR</w:t>
            </w:r>
          </w:p>
        </w:tc>
      </w:tr>
      <w:tr w:rsidR="006E5A20" w:rsidTr="006B1477">
        <w:tc>
          <w:tcPr>
            <w:tcW w:w="1224" w:type="pct"/>
          </w:tcPr>
          <w:p w:rsidR="006E5A20" w:rsidRDefault="006E5A20" w:rsidP="00712499">
            <w:pPr>
              <w:pStyle w:val="Tabletext"/>
            </w:pPr>
            <w:r>
              <w:t>HSIL+</w:t>
            </w:r>
          </w:p>
        </w:tc>
        <w:tc>
          <w:tcPr>
            <w:tcW w:w="896" w:type="pct"/>
          </w:tcPr>
          <w:p w:rsidR="006E5A20" w:rsidRDefault="006E5A20" w:rsidP="00712499">
            <w:pPr>
              <w:pStyle w:val="Tabletext"/>
            </w:pPr>
            <w:r>
              <w:t>245 (0.64)</w:t>
            </w:r>
          </w:p>
        </w:tc>
        <w:tc>
          <w:tcPr>
            <w:tcW w:w="865" w:type="pct"/>
          </w:tcPr>
          <w:p w:rsidR="006E5A20" w:rsidRDefault="006E5A20" w:rsidP="00712499">
            <w:pPr>
              <w:pStyle w:val="Tabletext"/>
            </w:pPr>
            <w:r>
              <w:t>283 (0.62)</w:t>
            </w:r>
          </w:p>
        </w:tc>
        <w:tc>
          <w:tcPr>
            <w:tcW w:w="962" w:type="pct"/>
          </w:tcPr>
          <w:p w:rsidR="006E5A20" w:rsidRDefault="006E5A20" w:rsidP="00712499">
            <w:pPr>
              <w:pStyle w:val="Tabletext"/>
            </w:pPr>
            <w:r>
              <w:t>0.97 (0.77,</w:t>
            </w:r>
            <w:r w:rsidR="00E444BF">
              <w:t xml:space="preserve"> </w:t>
            </w:r>
            <w:r>
              <w:t>1.22)</w:t>
            </w:r>
          </w:p>
        </w:tc>
        <w:tc>
          <w:tcPr>
            <w:tcW w:w="1053" w:type="pct"/>
          </w:tcPr>
          <w:p w:rsidR="006E5A20" w:rsidRDefault="006E5A20" w:rsidP="00712499">
            <w:pPr>
              <w:pStyle w:val="Tabletext"/>
            </w:pPr>
            <w:r>
              <w:t>0.96 (0.79, 1.18)</w:t>
            </w:r>
          </w:p>
        </w:tc>
      </w:tr>
      <w:tr w:rsidR="002561B1" w:rsidTr="006B1477">
        <w:tc>
          <w:tcPr>
            <w:tcW w:w="1224" w:type="pct"/>
          </w:tcPr>
          <w:p w:rsidR="002561B1" w:rsidRDefault="002561B1" w:rsidP="002561B1">
            <w:pPr>
              <w:pStyle w:val="Tabletext"/>
            </w:pPr>
            <w:r>
              <w:t>ASCUS+</w:t>
            </w:r>
          </w:p>
        </w:tc>
        <w:tc>
          <w:tcPr>
            <w:tcW w:w="896" w:type="pct"/>
          </w:tcPr>
          <w:p w:rsidR="002561B1" w:rsidRDefault="002561B1" w:rsidP="002561B1">
            <w:pPr>
              <w:pStyle w:val="Tabletext"/>
            </w:pPr>
            <w:r>
              <w:t>1099 (2.85)</w:t>
            </w:r>
          </w:p>
        </w:tc>
        <w:tc>
          <w:tcPr>
            <w:tcW w:w="865" w:type="pct"/>
          </w:tcPr>
          <w:p w:rsidR="002561B1" w:rsidRDefault="002561B1" w:rsidP="002561B1">
            <w:pPr>
              <w:pStyle w:val="Tabletext"/>
            </w:pPr>
            <w:r>
              <w:t>1243 (2.71)</w:t>
            </w:r>
          </w:p>
        </w:tc>
        <w:tc>
          <w:tcPr>
            <w:tcW w:w="962" w:type="pct"/>
          </w:tcPr>
          <w:p w:rsidR="002561B1" w:rsidRDefault="00E64881" w:rsidP="002561B1">
            <w:pPr>
              <w:pStyle w:val="Tabletext"/>
            </w:pPr>
            <w:r>
              <w:t>0.95 (0.82,</w:t>
            </w:r>
            <w:r w:rsidR="00E444BF">
              <w:t xml:space="preserve"> </w:t>
            </w:r>
            <w:r w:rsidR="002561B1">
              <w:t>1.10)</w:t>
            </w:r>
          </w:p>
        </w:tc>
        <w:tc>
          <w:tcPr>
            <w:tcW w:w="1053" w:type="pct"/>
          </w:tcPr>
          <w:p w:rsidR="002561B1" w:rsidRDefault="002561B1" w:rsidP="00E64881">
            <w:pPr>
              <w:pStyle w:val="Tabletext"/>
            </w:pPr>
            <w:r>
              <w:t>0.97 (0.88</w:t>
            </w:r>
            <w:r w:rsidR="00E64881">
              <w:t>,</w:t>
            </w:r>
            <w:r>
              <w:t xml:space="preserve"> 1.07)</w:t>
            </w:r>
          </w:p>
        </w:tc>
      </w:tr>
      <w:tr w:rsidR="002561B1" w:rsidTr="006B1477">
        <w:tc>
          <w:tcPr>
            <w:tcW w:w="1224" w:type="pct"/>
          </w:tcPr>
          <w:p w:rsidR="002561B1" w:rsidRDefault="002561B1" w:rsidP="002561B1">
            <w:pPr>
              <w:pStyle w:val="Tabletext"/>
            </w:pPr>
            <w:r>
              <w:t>LSIL+</w:t>
            </w:r>
          </w:p>
        </w:tc>
        <w:tc>
          <w:tcPr>
            <w:tcW w:w="896" w:type="pct"/>
          </w:tcPr>
          <w:p w:rsidR="002561B1" w:rsidRDefault="002561B1" w:rsidP="002561B1">
            <w:pPr>
              <w:pStyle w:val="Tabletext"/>
            </w:pPr>
            <w:r>
              <w:t>399 (1.03)</w:t>
            </w:r>
          </w:p>
        </w:tc>
        <w:tc>
          <w:tcPr>
            <w:tcW w:w="865" w:type="pct"/>
          </w:tcPr>
          <w:p w:rsidR="002561B1" w:rsidRDefault="002561B1" w:rsidP="002561B1">
            <w:pPr>
              <w:pStyle w:val="Tabletext"/>
            </w:pPr>
            <w:r>
              <w:t>474 (1.03)</w:t>
            </w:r>
          </w:p>
        </w:tc>
        <w:tc>
          <w:tcPr>
            <w:tcW w:w="962" w:type="pct"/>
          </w:tcPr>
          <w:p w:rsidR="002561B1" w:rsidRDefault="00E64881" w:rsidP="002561B1">
            <w:pPr>
              <w:pStyle w:val="Tabletext"/>
            </w:pPr>
            <w:r>
              <w:t>1.00 (0.83,</w:t>
            </w:r>
            <w:r w:rsidR="00E444BF">
              <w:t xml:space="preserve"> </w:t>
            </w:r>
            <w:r w:rsidR="002561B1">
              <w:t>1.20)</w:t>
            </w:r>
          </w:p>
        </w:tc>
        <w:tc>
          <w:tcPr>
            <w:tcW w:w="1053" w:type="pct"/>
          </w:tcPr>
          <w:p w:rsidR="002561B1" w:rsidRDefault="00E64881" w:rsidP="00E64881">
            <w:pPr>
              <w:pStyle w:val="Tabletext"/>
            </w:pPr>
            <w:r>
              <w:t>0.98 (0.84,</w:t>
            </w:r>
            <w:r w:rsidR="002561B1">
              <w:t xml:space="preserve"> 1.15)</w:t>
            </w:r>
          </w:p>
        </w:tc>
      </w:tr>
      <w:tr w:rsidR="0090540A" w:rsidTr="006B1477">
        <w:tc>
          <w:tcPr>
            <w:tcW w:w="5000" w:type="pct"/>
            <w:gridSpan w:val="5"/>
          </w:tcPr>
          <w:p w:rsidR="0090540A" w:rsidRDefault="001310A0" w:rsidP="002561B1">
            <w:pPr>
              <w:pStyle w:val="Tabletext"/>
            </w:pPr>
            <w:r>
              <w:t xml:space="preserve">Source: Siebers </w:t>
            </w:r>
            <w:r w:rsidR="0090540A">
              <w:t>2008 Table 2 and Table 3</w:t>
            </w:r>
          </w:p>
        </w:tc>
      </w:tr>
    </w:tbl>
    <w:p w:rsidR="001310A0" w:rsidRDefault="002561B1" w:rsidP="001310A0">
      <w:pPr>
        <w:pStyle w:val="Tabletext"/>
      </w:pPr>
      <w:r>
        <w:t>Abbreviations: ASCUS, atypical cells of undetermined significance; ASCUS+,</w:t>
      </w:r>
      <w:r w:rsidRPr="000A4118">
        <w:t xml:space="preserve"> </w:t>
      </w:r>
      <w:r>
        <w:t xml:space="preserve">atypical cells of undetermined significance/atypical glandular cells or more severe; </w:t>
      </w:r>
      <w:r w:rsidR="00041A06">
        <w:t xml:space="preserve">CC, conventional cytology; </w:t>
      </w:r>
      <w:r>
        <w:t>CI, confidence interval; HSIL, high-grade squamous intraepithelial lesion; HSIL+,</w:t>
      </w:r>
      <w:r w:rsidRPr="000A4118">
        <w:t xml:space="preserve"> </w:t>
      </w:r>
      <w:r>
        <w:t xml:space="preserve">high-grade squamous intraepithelial lesion or more severe; </w:t>
      </w:r>
      <w:r w:rsidR="00041A06">
        <w:t xml:space="preserve">LBC, liquid-based cytology; </w:t>
      </w:r>
      <w:r>
        <w:t>LSIL, low grade squamous intraepithelial lesion; LSIL+, low grade squamous intraepithelial lesion or more severe; N</w:t>
      </w:r>
      <w:r w:rsidR="00041A06">
        <w:t>R, not reported; OR, odds ratio</w:t>
      </w:r>
      <w:r w:rsidR="0011397F">
        <w:br/>
      </w:r>
      <w:r w:rsidR="0011397F" w:rsidRPr="0011397F">
        <w:t>An OR &lt;1 indicates performance of LBC is better than CC</w:t>
      </w:r>
    </w:p>
    <w:p w:rsidR="002561B1" w:rsidRDefault="000367FE" w:rsidP="001310A0">
      <w:pPr>
        <w:pStyle w:val="Tabletext"/>
        <w:ind w:left="720" w:hanging="360"/>
      </w:pPr>
      <w:r>
        <w:t>a.</w:t>
      </w:r>
      <w:r>
        <w:tab/>
      </w:r>
      <w:r w:rsidR="002561B1">
        <w:t xml:space="preserve">Per-Protocol Analysis: crude rates of cytologic test positivity and unsatisfactory samples of </w:t>
      </w:r>
      <w:r w:rsidR="00E444BF">
        <w:t>LBC</w:t>
      </w:r>
      <w:r w:rsidR="002561B1">
        <w:t xml:space="preserve"> compared with conventional method by category of cytologic abnormality and unsatisfactory tests and odds ratios of </w:t>
      </w:r>
      <w:r w:rsidR="00920E83">
        <w:t>LBC</w:t>
      </w:r>
      <w:r w:rsidR="002561B1">
        <w:t xml:space="preserve"> compared with conventional cytology, taking the cluster design into account.</w:t>
      </w:r>
    </w:p>
    <w:p w:rsidR="002561B1" w:rsidRDefault="002561B1" w:rsidP="00AB012A">
      <w:pPr>
        <w:pStyle w:val="Tabletext"/>
        <w:numPr>
          <w:ilvl w:val="0"/>
          <w:numId w:val="35"/>
        </w:numPr>
      </w:pPr>
      <w:r>
        <w:t xml:space="preserve">Per-Protocol Analysis: Adjusted odd ratios taking the intracluster coefficient into account. </w:t>
      </w:r>
      <w:r w:rsidRPr="00B35F69">
        <w:t>Adjusted f</w:t>
      </w:r>
      <w:r w:rsidR="00041A06">
        <w:t>or age, study site, urbanis</w:t>
      </w:r>
      <w:r w:rsidRPr="00B35F69">
        <w:t>ation level and study period.</w:t>
      </w:r>
    </w:p>
    <w:p w:rsidR="006E5A20" w:rsidRDefault="006E5A20" w:rsidP="00AB012A">
      <w:pPr>
        <w:pStyle w:val="Tabletext"/>
        <w:numPr>
          <w:ilvl w:val="0"/>
          <w:numId w:val="35"/>
        </w:numPr>
      </w:pPr>
      <w:r>
        <w:t>T</w:t>
      </w:r>
      <w:r w:rsidRPr="006E5A20">
        <w:t>he number of normal slides was estimated as follows: 100-[% unsatisfactory+% ASCUS+AGUS +% LSIL +%</w:t>
      </w:r>
      <w:r w:rsidR="00BA16C6">
        <w:t xml:space="preserve"> </w:t>
      </w:r>
      <w:r w:rsidRPr="006E5A20">
        <w:t>HSIL+])</w:t>
      </w:r>
    </w:p>
    <w:p w:rsidR="002561B1" w:rsidRDefault="002561B1" w:rsidP="00E444BF"/>
    <w:p w:rsidR="00A138C4" w:rsidRDefault="006B1477" w:rsidP="006B1477">
      <w:r>
        <w:t xml:space="preserve">Strander </w:t>
      </w:r>
      <w:r w:rsidR="00E444BF">
        <w:t>2007</w:t>
      </w:r>
      <w:r w:rsidR="002A5763">
        <w:t xml:space="preserve"> reported on findings from </w:t>
      </w:r>
      <w:r w:rsidR="00A138C4">
        <w:t>13,484 smears entered into the</w:t>
      </w:r>
      <w:r w:rsidR="002A5763">
        <w:t>ir trial</w:t>
      </w:r>
      <w:r w:rsidR="00A138C4">
        <w:t xml:space="preserve"> (8810 </w:t>
      </w:r>
      <w:r w:rsidR="00E444BF">
        <w:t>CC</w:t>
      </w:r>
      <w:r w:rsidR="00A138C4">
        <w:t xml:space="preserve"> smears and 4674</w:t>
      </w:r>
      <w:r w:rsidR="007414C2">
        <w:t xml:space="preserve"> </w:t>
      </w:r>
      <w:r w:rsidR="009841B3">
        <w:t xml:space="preserve">cell filtration </w:t>
      </w:r>
      <w:r w:rsidR="00A138C4">
        <w:t>LBC samples). The</w:t>
      </w:r>
      <w:r w:rsidR="007414C2">
        <w:t xml:space="preserve">re was an </w:t>
      </w:r>
      <w:r w:rsidR="00A138C4">
        <w:t>uneven</w:t>
      </w:r>
      <w:r w:rsidR="007414C2">
        <w:t xml:space="preserve"> </w:t>
      </w:r>
      <w:r w:rsidR="00A138C4">
        <w:t>distribution of women</w:t>
      </w:r>
      <w:r>
        <w:t xml:space="preserve"> to both</w:t>
      </w:r>
      <w:r w:rsidR="00A138C4">
        <w:t xml:space="preserve"> methods</w:t>
      </w:r>
      <w:r w:rsidR="007414C2">
        <w:t xml:space="preserve"> for reasons discussed in </w:t>
      </w:r>
      <w:r w:rsidR="007414C2" w:rsidRPr="007476F2">
        <w:t xml:space="preserve">section </w:t>
      </w:r>
      <w:r w:rsidR="007476F2" w:rsidRPr="007476F2">
        <w:t>B</w:t>
      </w:r>
      <w:r w:rsidR="007476F2">
        <w:t>.3</w:t>
      </w:r>
      <w:r w:rsidR="007414C2">
        <w:t xml:space="preserve">. </w:t>
      </w:r>
      <w:r>
        <w:t>T</w:t>
      </w:r>
      <w:r w:rsidR="00A138C4">
        <w:t>hes</w:t>
      </w:r>
      <w:r w:rsidR="00E64881">
        <w:t>e aberrations occurred randomly</w:t>
      </w:r>
      <w:r w:rsidR="00A138C4">
        <w:t>.</w:t>
      </w:r>
    </w:p>
    <w:p w:rsidR="007414C2" w:rsidRDefault="00BA16C6" w:rsidP="006B1477">
      <w:r>
        <w:t>T</w:t>
      </w:r>
      <w:r w:rsidR="007414C2">
        <w:t>he</w:t>
      </w:r>
      <w:r w:rsidR="00223AA2">
        <w:t xml:space="preserve">re was no significant difference in the </w:t>
      </w:r>
      <w:r w:rsidR="007414C2">
        <w:t>ASCUS rate</w:t>
      </w:r>
      <w:r w:rsidR="00223AA2">
        <w:t>s</w:t>
      </w:r>
      <w:r w:rsidR="007414C2">
        <w:t xml:space="preserve"> </w:t>
      </w:r>
      <w:r w:rsidR="00223AA2">
        <w:t>between</w:t>
      </w:r>
      <w:r w:rsidR="007414C2">
        <w:t xml:space="preserve"> the </w:t>
      </w:r>
      <w:r w:rsidR="009841B3">
        <w:t xml:space="preserve">cell filtration </w:t>
      </w:r>
      <w:r w:rsidR="007414C2">
        <w:t>LBC group</w:t>
      </w:r>
      <w:r w:rsidR="00223AA2">
        <w:t xml:space="preserve"> compared with the </w:t>
      </w:r>
      <w:r w:rsidR="00E444BF">
        <w:t>CC</w:t>
      </w:r>
      <w:r w:rsidR="009841B3">
        <w:t xml:space="preserve"> </w:t>
      </w:r>
      <w:r w:rsidR="00223AA2">
        <w:t xml:space="preserve">group (1.7% </w:t>
      </w:r>
      <w:r w:rsidR="003954A4">
        <w:t>vs.</w:t>
      </w:r>
      <w:r w:rsidR="00223AA2">
        <w:t xml:space="preserve"> 1.4%</w:t>
      </w:r>
      <w:r w:rsidR="00F92938">
        <w:t xml:space="preserve">, </w:t>
      </w:r>
      <w:r w:rsidR="00E64881">
        <w:t>adjusted OR 1.27, 95%</w:t>
      </w:r>
      <w:r w:rsidR="00E444BF">
        <w:t xml:space="preserve"> </w:t>
      </w:r>
      <w:r w:rsidR="00E64881">
        <w:t>CI 0.95 to 1.70</w:t>
      </w:r>
      <w:r w:rsidR="00223AA2">
        <w:t>)</w:t>
      </w:r>
      <w:r>
        <w:t xml:space="preserve"> (</w:t>
      </w:r>
      <w:r w:rsidR="00086C77">
        <w:fldChar w:fldCharType="begin"/>
      </w:r>
      <w:r w:rsidR="00086C77">
        <w:instrText xml:space="preserve"> REF _Ref332713485 \h  \* MERGEFORMAT </w:instrText>
      </w:r>
      <w:r w:rsidR="00086C77">
        <w:fldChar w:fldCharType="separate"/>
      </w:r>
      <w:r w:rsidR="003361A8">
        <w:t xml:space="preserve">Table </w:t>
      </w:r>
      <w:r w:rsidR="003361A8">
        <w:rPr>
          <w:noProof/>
        </w:rPr>
        <w:t>36</w:t>
      </w:r>
      <w:r w:rsidR="00086C77">
        <w:fldChar w:fldCharType="end"/>
      </w:r>
      <w:r>
        <w:t>)</w:t>
      </w:r>
      <w:r w:rsidR="007414C2">
        <w:t xml:space="preserve">. The number of LSIL was significantly higher </w:t>
      </w:r>
      <w:r w:rsidR="00E64881">
        <w:t>with cell filtration</w:t>
      </w:r>
      <w:r w:rsidR="007414C2">
        <w:t xml:space="preserve"> LBC </w:t>
      </w:r>
      <w:r w:rsidR="00E64881">
        <w:t xml:space="preserve">compared with </w:t>
      </w:r>
      <w:r w:rsidR="00E444BF">
        <w:t>CC</w:t>
      </w:r>
      <w:r w:rsidR="00E64881">
        <w:t xml:space="preserve"> (1.7% </w:t>
      </w:r>
      <w:r w:rsidR="003954A4">
        <w:t>vs.</w:t>
      </w:r>
      <w:r w:rsidR="00E64881">
        <w:t xml:space="preserve"> 1.0%,</w:t>
      </w:r>
      <w:r w:rsidR="006B1477">
        <w:t xml:space="preserve"> </w:t>
      </w:r>
      <w:r w:rsidR="00E64881">
        <w:lastRenderedPageBreak/>
        <w:t xml:space="preserve">adjusted OR </w:t>
      </w:r>
      <w:r w:rsidR="00E64881" w:rsidRPr="00E64881">
        <w:t>1.99</w:t>
      </w:r>
      <w:r w:rsidR="00E64881">
        <w:t>, 95%</w:t>
      </w:r>
      <w:r w:rsidR="006B1477">
        <w:t xml:space="preserve"> </w:t>
      </w:r>
      <w:r w:rsidR="00E64881">
        <w:t xml:space="preserve">CI </w:t>
      </w:r>
      <w:r w:rsidR="00E64881" w:rsidRPr="00E64881">
        <w:t>1.44</w:t>
      </w:r>
      <w:r w:rsidR="00E64881">
        <w:t xml:space="preserve"> to</w:t>
      </w:r>
      <w:r w:rsidR="00E64881" w:rsidRPr="00E64881">
        <w:t xml:space="preserve"> 2.76)</w:t>
      </w:r>
      <w:r w:rsidR="00E64881">
        <w:t xml:space="preserve"> as was the number of HSIL findings (</w:t>
      </w:r>
      <w:r w:rsidR="00F92938">
        <w:t xml:space="preserve">0.8% </w:t>
      </w:r>
      <w:r w:rsidR="003954A4">
        <w:t>vs.</w:t>
      </w:r>
      <w:r w:rsidR="00F92938">
        <w:t xml:space="preserve"> 0.5%,</w:t>
      </w:r>
      <w:r w:rsidR="00E64881">
        <w:t xml:space="preserve"> adjusted OR</w:t>
      </w:r>
      <w:r w:rsidR="00F92938">
        <w:t xml:space="preserve"> </w:t>
      </w:r>
      <w:r w:rsidR="00E64881" w:rsidRPr="00E64881">
        <w:t>1.07</w:t>
      </w:r>
      <w:r w:rsidR="00E64881">
        <w:t>, 95%</w:t>
      </w:r>
      <w:r w:rsidR="006B1477">
        <w:t xml:space="preserve"> </w:t>
      </w:r>
      <w:r w:rsidR="00E64881">
        <w:t xml:space="preserve">CI </w:t>
      </w:r>
      <w:r w:rsidR="00E64881" w:rsidRPr="00E64881">
        <w:t>1.07</w:t>
      </w:r>
      <w:r w:rsidR="00E64881">
        <w:t xml:space="preserve"> to</w:t>
      </w:r>
      <w:r w:rsidR="00E64881" w:rsidRPr="00E64881">
        <w:t xml:space="preserve"> 2.66</w:t>
      </w:r>
      <w:r w:rsidR="00F92938">
        <w:t>).</w:t>
      </w:r>
    </w:p>
    <w:p w:rsidR="002561B1" w:rsidRDefault="002561B1" w:rsidP="0090540A">
      <w:pPr>
        <w:pStyle w:val="Caption"/>
        <w:ind w:right="424"/>
      </w:pPr>
      <w:bookmarkStart w:id="328" w:name="_Ref332713485"/>
      <w:bookmarkStart w:id="329" w:name="_Toc331766469"/>
      <w:bookmarkStart w:id="330" w:name="_Toc335666002"/>
      <w:bookmarkStart w:id="331" w:name="_Toc337546973"/>
      <w:r>
        <w:t xml:space="preserve">Table </w:t>
      </w:r>
      <w:fldSimple w:instr=" SEQ Table \* ARABIC ">
        <w:r w:rsidR="003361A8">
          <w:rPr>
            <w:noProof/>
          </w:rPr>
          <w:t>36</w:t>
        </w:r>
      </w:fldSimple>
      <w:bookmarkEnd w:id="328"/>
      <w:r w:rsidR="00E444BF">
        <w:tab/>
        <w:t>Test yield comparison (by c</w:t>
      </w:r>
      <w:r w:rsidR="00BA16C6">
        <w:t>ytology)—</w:t>
      </w:r>
      <w:r w:rsidR="00E444BF">
        <w:t>CC</w:t>
      </w:r>
      <w:r>
        <w:t xml:space="preserve"> versus </w:t>
      </w:r>
      <w:r w:rsidR="00041A06">
        <w:t>cell filtration LBC:</w:t>
      </w:r>
      <w:r w:rsidR="00E444BF">
        <w:t xml:space="preserve"> Strander </w:t>
      </w:r>
      <w:r>
        <w:t>2007</w:t>
      </w:r>
      <w:bookmarkEnd w:id="329"/>
      <w:bookmarkEnd w:id="330"/>
      <w:bookmarkEnd w:id="33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61"/>
        <w:gridCol w:w="2361"/>
        <w:gridCol w:w="2222"/>
        <w:gridCol w:w="2060"/>
      </w:tblGrid>
      <w:tr w:rsidR="009841B3" w:rsidRPr="00E444BF" w:rsidTr="00E444BF">
        <w:tc>
          <w:tcPr>
            <w:tcW w:w="1311" w:type="pct"/>
          </w:tcPr>
          <w:p w:rsidR="009841B3" w:rsidRPr="00E444BF" w:rsidRDefault="009841B3" w:rsidP="002561B1">
            <w:pPr>
              <w:pStyle w:val="Tabletext"/>
              <w:rPr>
                <w:b/>
              </w:rPr>
            </w:pPr>
          </w:p>
        </w:tc>
        <w:tc>
          <w:tcPr>
            <w:tcW w:w="1311" w:type="pct"/>
          </w:tcPr>
          <w:p w:rsidR="009841B3" w:rsidRPr="00E444BF" w:rsidRDefault="009841B3" w:rsidP="002561B1">
            <w:pPr>
              <w:pStyle w:val="Tabletext"/>
              <w:rPr>
                <w:b/>
              </w:rPr>
            </w:pPr>
            <w:r w:rsidRPr="00E444BF">
              <w:rPr>
                <w:b/>
              </w:rPr>
              <w:t>Conventional N=8810</w:t>
            </w:r>
          </w:p>
        </w:tc>
        <w:tc>
          <w:tcPr>
            <w:tcW w:w="1234" w:type="pct"/>
          </w:tcPr>
          <w:p w:rsidR="009841B3" w:rsidRPr="00E444BF" w:rsidRDefault="00920E83" w:rsidP="002561B1">
            <w:pPr>
              <w:pStyle w:val="Tabletext"/>
              <w:rPr>
                <w:b/>
              </w:rPr>
            </w:pPr>
            <w:r w:rsidRPr="00E444BF">
              <w:rPr>
                <w:b/>
              </w:rPr>
              <w:t>LBC</w:t>
            </w:r>
            <w:r w:rsidR="009841B3" w:rsidRPr="00E444BF">
              <w:rPr>
                <w:b/>
              </w:rPr>
              <w:t xml:space="preserve"> N=4674</w:t>
            </w:r>
          </w:p>
        </w:tc>
        <w:tc>
          <w:tcPr>
            <w:tcW w:w="1145" w:type="pct"/>
          </w:tcPr>
          <w:p w:rsidR="009841B3" w:rsidRPr="00E444BF" w:rsidRDefault="009841B3" w:rsidP="002561B1">
            <w:pPr>
              <w:pStyle w:val="Tabletext"/>
              <w:rPr>
                <w:b/>
              </w:rPr>
            </w:pPr>
            <w:r w:rsidRPr="00E444BF">
              <w:rPr>
                <w:b/>
              </w:rPr>
              <w:t>Adjusted OR (95%</w:t>
            </w:r>
            <w:r w:rsidR="00041A06">
              <w:rPr>
                <w:b/>
              </w:rPr>
              <w:t xml:space="preserve"> </w:t>
            </w:r>
            <w:r w:rsidRPr="00E444BF">
              <w:rPr>
                <w:b/>
              </w:rPr>
              <w:t>CI)</w:t>
            </w:r>
          </w:p>
        </w:tc>
      </w:tr>
      <w:tr w:rsidR="009841B3" w:rsidTr="00E444BF">
        <w:tc>
          <w:tcPr>
            <w:tcW w:w="1311" w:type="pct"/>
          </w:tcPr>
          <w:p w:rsidR="009841B3" w:rsidRDefault="009841B3" w:rsidP="002561B1">
            <w:pPr>
              <w:pStyle w:val="Tabletext"/>
            </w:pPr>
          </w:p>
        </w:tc>
        <w:tc>
          <w:tcPr>
            <w:tcW w:w="1311" w:type="pct"/>
          </w:tcPr>
          <w:p w:rsidR="009841B3" w:rsidRDefault="009841B3" w:rsidP="002561B1">
            <w:pPr>
              <w:pStyle w:val="Tabletext"/>
            </w:pPr>
            <w:proofErr w:type="gramStart"/>
            <w:r>
              <w:t>n</w:t>
            </w:r>
            <w:r w:rsidRPr="007C2D1E">
              <w:rPr>
                <w:vertAlign w:val="superscript"/>
              </w:rPr>
              <w:t>a</w:t>
            </w:r>
            <w:proofErr w:type="gramEnd"/>
            <w:r>
              <w:t xml:space="preserve"> (%)</w:t>
            </w:r>
          </w:p>
        </w:tc>
        <w:tc>
          <w:tcPr>
            <w:tcW w:w="1234" w:type="pct"/>
          </w:tcPr>
          <w:p w:rsidR="009841B3" w:rsidRDefault="009841B3" w:rsidP="002561B1">
            <w:pPr>
              <w:pStyle w:val="Tabletext"/>
            </w:pPr>
            <w:proofErr w:type="gramStart"/>
            <w:r>
              <w:t>n</w:t>
            </w:r>
            <w:r>
              <w:rPr>
                <w:vertAlign w:val="superscript"/>
              </w:rPr>
              <w:t>a</w:t>
            </w:r>
            <w:proofErr w:type="gramEnd"/>
            <w:r>
              <w:t xml:space="preserve"> (%)</w:t>
            </w:r>
          </w:p>
        </w:tc>
        <w:tc>
          <w:tcPr>
            <w:tcW w:w="1145" w:type="pct"/>
          </w:tcPr>
          <w:p w:rsidR="009841B3" w:rsidRDefault="009841B3" w:rsidP="002561B1">
            <w:pPr>
              <w:pStyle w:val="Tabletext"/>
            </w:pPr>
          </w:p>
        </w:tc>
      </w:tr>
      <w:tr w:rsidR="009841B3" w:rsidTr="00E444BF">
        <w:tc>
          <w:tcPr>
            <w:tcW w:w="1311" w:type="pct"/>
          </w:tcPr>
          <w:p w:rsidR="009841B3" w:rsidRDefault="009841B3" w:rsidP="002561B1">
            <w:pPr>
              <w:pStyle w:val="Tabletext"/>
            </w:pPr>
            <w:r>
              <w:t>Benign</w:t>
            </w:r>
          </w:p>
        </w:tc>
        <w:tc>
          <w:tcPr>
            <w:tcW w:w="1311" w:type="pct"/>
          </w:tcPr>
          <w:p w:rsidR="009841B3" w:rsidRDefault="009841B3" w:rsidP="002561B1">
            <w:pPr>
              <w:pStyle w:val="Tabletext"/>
            </w:pPr>
            <w:r>
              <w:t>8502 (96.5)</w:t>
            </w:r>
          </w:p>
        </w:tc>
        <w:tc>
          <w:tcPr>
            <w:tcW w:w="1234" w:type="pct"/>
          </w:tcPr>
          <w:p w:rsidR="009841B3" w:rsidRDefault="009841B3" w:rsidP="002561B1">
            <w:pPr>
              <w:pStyle w:val="Tabletext"/>
            </w:pPr>
            <w:r>
              <w:t>4464 (95.5)</w:t>
            </w:r>
          </w:p>
        </w:tc>
        <w:tc>
          <w:tcPr>
            <w:tcW w:w="1145" w:type="pct"/>
          </w:tcPr>
          <w:p w:rsidR="009841B3" w:rsidRDefault="00E64881" w:rsidP="002561B1">
            <w:pPr>
              <w:pStyle w:val="Tabletext"/>
            </w:pPr>
            <w:r>
              <w:t>0.74 (0.62,</w:t>
            </w:r>
            <w:r w:rsidR="009841B3">
              <w:t xml:space="preserve"> 0.90)</w:t>
            </w:r>
          </w:p>
        </w:tc>
      </w:tr>
      <w:tr w:rsidR="009841B3" w:rsidTr="00E444BF">
        <w:tc>
          <w:tcPr>
            <w:tcW w:w="1311" w:type="pct"/>
          </w:tcPr>
          <w:p w:rsidR="009841B3" w:rsidRDefault="009841B3" w:rsidP="002561B1">
            <w:pPr>
              <w:pStyle w:val="Tabletext"/>
            </w:pPr>
            <w:r>
              <w:t>ASCUS</w:t>
            </w:r>
          </w:p>
        </w:tc>
        <w:tc>
          <w:tcPr>
            <w:tcW w:w="1311" w:type="pct"/>
          </w:tcPr>
          <w:p w:rsidR="009841B3" w:rsidRDefault="009841B3" w:rsidP="002561B1">
            <w:pPr>
              <w:pStyle w:val="Tabletext"/>
            </w:pPr>
            <w:r>
              <w:t>123 (1.4)</w:t>
            </w:r>
          </w:p>
        </w:tc>
        <w:tc>
          <w:tcPr>
            <w:tcW w:w="1234" w:type="pct"/>
          </w:tcPr>
          <w:p w:rsidR="009841B3" w:rsidRDefault="009841B3" w:rsidP="002561B1">
            <w:pPr>
              <w:pStyle w:val="Tabletext"/>
            </w:pPr>
            <w:r>
              <w:t>79 (1.7)</w:t>
            </w:r>
          </w:p>
        </w:tc>
        <w:tc>
          <w:tcPr>
            <w:tcW w:w="1145" w:type="pct"/>
          </w:tcPr>
          <w:p w:rsidR="009841B3" w:rsidRDefault="00E64881" w:rsidP="00E64881">
            <w:pPr>
              <w:pStyle w:val="Tabletext"/>
            </w:pPr>
            <w:r>
              <w:t>1.27 (0.95,</w:t>
            </w:r>
            <w:r w:rsidR="009841B3">
              <w:t xml:space="preserve"> 1.70)</w:t>
            </w:r>
          </w:p>
        </w:tc>
      </w:tr>
      <w:tr w:rsidR="009841B3" w:rsidTr="00E444BF">
        <w:tc>
          <w:tcPr>
            <w:tcW w:w="1311" w:type="pct"/>
          </w:tcPr>
          <w:p w:rsidR="009841B3" w:rsidRDefault="009841B3" w:rsidP="002561B1">
            <w:pPr>
              <w:pStyle w:val="Tabletext"/>
            </w:pPr>
            <w:r>
              <w:t>LSIL</w:t>
            </w:r>
          </w:p>
        </w:tc>
        <w:tc>
          <w:tcPr>
            <w:tcW w:w="1311" w:type="pct"/>
          </w:tcPr>
          <w:p w:rsidR="009841B3" w:rsidRDefault="009841B3" w:rsidP="002561B1">
            <w:pPr>
              <w:pStyle w:val="Tabletext"/>
            </w:pPr>
            <w:r>
              <w:t>88 (1.0)</w:t>
            </w:r>
          </w:p>
        </w:tc>
        <w:tc>
          <w:tcPr>
            <w:tcW w:w="1234" w:type="pct"/>
          </w:tcPr>
          <w:p w:rsidR="009841B3" w:rsidRDefault="009841B3" w:rsidP="002561B1">
            <w:pPr>
              <w:pStyle w:val="Tabletext"/>
            </w:pPr>
            <w:r>
              <w:t>79 (1.7)</w:t>
            </w:r>
          </w:p>
        </w:tc>
        <w:tc>
          <w:tcPr>
            <w:tcW w:w="1145" w:type="pct"/>
          </w:tcPr>
          <w:p w:rsidR="009841B3" w:rsidRDefault="00E64881" w:rsidP="00E64881">
            <w:pPr>
              <w:pStyle w:val="Tabletext"/>
            </w:pPr>
            <w:r>
              <w:t>1.99 (1.44,</w:t>
            </w:r>
            <w:r w:rsidR="009841B3">
              <w:t xml:space="preserve"> 2.76)</w:t>
            </w:r>
          </w:p>
        </w:tc>
      </w:tr>
      <w:tr w:rsidR="009841B3" w:rsidTr="00E444BF">
        <w:tc>
          <w:tcPr>
            <w:tcW w:w="1311" w:type="pct"/>
          </w:tcPr>
          <w:p w:rsidR="009841B3" w:rsidRDefault="009841B3" w:rsidP="002561B1">
            <w:pPr>
              <w:pStyle w:val="Tabletext"/>
            </w:pPr>
            <w:r>
              <w:t>HSIL</w:t>
            </w:r>
          </w:p>
        </w:tc>
        <w:tc>
          <w:tcPr>
            <w:tcW w:w="1311" w:type="pct"/>
          </w:tcPr>
          <w:p w:rsidR="009841B3" w:rsidRDefault="009841B3" w:rsidP="002561B1">
            <w:pPr>
              <w:pStyle w:val="Tabletext"/>
            </w:pPr>
            <w:r>
              <w:t>44 (0.5)</w:t>
            </w:r>
          </w:p>
        </w:tc>
        <w:tc>
          <w:tcPr>
            <w:tcW w:w="1234" w:type="pct"/>
          </w:tcPr>
          <w:p w:rsidR="009841B3" w:rsidRDefault="009841B3" w:rsidP="002561B1">
            <w:pPr>
              <w:pStyle w:val="Tabletext"/>
            </w:pPr>
            <w:r>
              <w:t>37 (0.8)</w:t>
            </w:r>
          </w:p>
        </w:tc>
        <w:tc>
          <w:tcPr>
            <w:tcW w:w="1145" w:type="pct"/>
          </w:tcPr>
          <w:p w:rsidR="009841B3" w:rsidRDefault="00E64881" w:rsidP="00E64881">
            <w:pPr>
              <w:pStyle w:val="Tabletext"/>
            </w:pPr>
            <w:r>
              <w:t>1.07 (1.07,</w:t>
            </w:r>
            <w:r w:rsidR="009841B3">
              <w:t xml:space="preserve"> 2.66)</w:t>
            </w:r>
          </w:p>
        </w:tc>
      </w:tr>
      <w:tr w:rsidR="009841B3" w:rsidTr="00E444BF">
        <w:tc>
          <w:tcPr>
            <w:tcW w:w="5000" w:type="pct"/>
            <w:gridSpan w:val="4"/>
          </w:tcPr>
          <w:p w:rsidR="009841B3" w:rsidRDefault="009841B3" w:rsidP="002561B1">
            <w:pPr>
              <w:pStyle w:val="Tabletext"/>
            </w:pPr>
            <w:r>
              <w:t>Sour</w:t>
            </w:r>
            <w:r w:rsidR="00E444BF">
              <w:t xml:space="preserve">ce: Strander </w:t>
            </w:r>
            <w:r>
              <w:t>2007 Table 2</w:t>
            </w:r>
          </w:p>
        </w:tc>
      </w:tr>
    </w:tbl>
    <w:p w:rsidR="002561B1" w:rsidRDefault="002561B1" w:rsidP="001310A0">
      <w:pPr>
        <w:pStyle w:val="Tabletext"/>
        <w:rPr>
          <w:highlight w:val="yellow"/>
        </w:rPr>
      </w:pPr>
      <w:r>
        <w:t xml:space="preserve">Abbreviations: ASCUS, atypical cells of undetermined significance; HSIL, high-grade squamous intraepithelial lesion; </w:t>
      </w:r>
      <w:r w:rsidR="00041A06">
        <w:t xml:space="preserve">LBC, liquid-based cytology; </w:t>
      </w:r>
      <w:r>
        <w:t>LSIL, low grade squamous intraepithe</w:t>
      </w:r>
      <w:r w:rsidR="00041A06">
        <w:t xml:space="preserve">lial lesion; OR, odds ratio; CI, </w:t>
      </w:r>
      <w:r>
        <w:t>confidence interval</w:t>
      </w:r>
    </w:p>
    <w:p w:rsidR="002561B1" w:rsidRPr="00E95A86" w:rsidRDefault="002561B1" w:rsidP="0011397F">
      <w:pPr>
        <w:pStyle w:val="Tabletext"/>
        <w:numPr>
          <w:ilvl w:val="0"/>
          <w:numId w:val="36"/>
        </w:numPr>
        <w:ind w:left="0" w:firstLine="0"/>
      </w:pPr>
      <w:proofErr w:type="gramStart"/>
      <w:r w:rsidRPr="00E95A86">
        <w:t>n</w:t>
      </w:r>
      <w:proofErr w:type="gramEnd"/>
      <w:r w:rsidRPr="00E95A86">
        <w:t xml:space="preserve"> manually back calculated from percentages presented in Strander 2007, Table 2. A rounding error is apparent within the percentage yield presented for Pap smear arm totalling 100.1% resulting in a back calculation total N of 8819, that is 0.001% higher than the reported N of 8810. For LBC calculation N determined as 4673 one less than the number reported in Table 1, 4674.</w:t>
      </w:r>
      <w:r w:rsidR="0011397F">
        <w:br/>
      </w:r>
      <w:r w:rsidR="0011397F" w:rsidRPr="0011397F">
        <w:t>An OR &lt;1 indicates performance of LBC is better than CC</w:t>
      </w:r>
    </w:p>
    <w:p w:rsidR="002561B1" w:rsidRDefault="002561B1" w:rsidP="00E444BF"/>
    <w:p w:rsidR="000102CB" w:rsidRDefault="00E444BF" w:rsidP="006B1477">
      <w:r>
        <w:t>Maccallini 2008</w:t>
      </w:r>
      <w:r w:rsidR="00344F05">
        <w:t xml:space="preserve"> did not report the proportion of slides that were classified as normal. However given </w:t>
      </w:r>
      <w:r>
        <w:t xml:space="preserve">that </w:t>
      </w:r>
      <w:r w:rsidR="00344F05">
        <w:t>all slides wou</w:t>
      </w:r>
      <w:r>
        <w:t>ld be classified to</w:t>
      </w:r>
      <w:r w:rsidR="00344F05">
        <w:t xml:space="preserve"> one of five categories (uns</w:t>
      </w:r>
      <w:r w:rsidR="00041A06">
        <w:t>atisfactory, normal, ASCUS+AGUS</w:t>
      </w:r>
      <w:r w:rsidR="00344F05">
        <w:t>, LSIL and HSIL+) the number was estimated by summing the proportions of reported slides and subtracting from 100 (i.e. 100-[%</w:t>
      </w:r>
      <w:r w:rsidR="00344F05" w:rsidRPr="00344F05">
        <w:t xml:space="preserve"> </w:t>
      </w:r>
      <w:r w:rsidR="00344F05">
        <w:t xml:space="preserve">unsatisfactory+% ASCUS+AGUS +% LSIL +%HSIL+]). </w:t>
      </w:r>
      <w:r w:rsidR="003D64A7">
        <w:t xml:space="preserve">As reported by </w:t>
      </w:r>
      <w:r>
        <w:t>Maccallini 2008,</w:t>
      </w:r>
      <w:r w:rsidR="002A5763">
        <w:t xml:space="preserve"> </w:t>
      </w:r>
      <w:r w:rsidR="003D64A7">
        <w:t xml:space="preserve">there were significantly lower </w:t>
      </w:r>
      <w:r w:rsidR="009319C0">
        <w:t xml:space="preserve">numbers </w:t>
      </w:r>
      <w:r w:rsidR="003D64A7">
        <w:t xml:space="preserve">of </w:t>
      </w:r>
      <w:r w:rsidR="000102CB">
        <w:t xml:space="preserve"> ASCUS+AGUS</w:t>
      </w:r>
      <w:r w:rsidR="00E30CD7">
        <w:t xml:space="preserve"> </w:t>
      </w:r>
      <w:r w:rsidR="003D64A7">
        <w:t xml:space="preserve">reported with cell filtration LBC compared with </w:t>
      </w:r>
      <w:r>
        <w:t>CC</w:t>
      </w:r>
      <w:r w:rsidR="0007366A">
        <w:t xml:space="preserve"> (2.5% </w:t>
      </w:r>
      <w:r w:rsidR="003954A4">
        <w:t>vs.</w:t>
      </w:r>
      <w:r w:rsidR="0007366A">
        <w:t xml:space="preserve"> 3.7%, OR</w:t>
      </w:r>
      <w:r>
        <w:t xml:space="preserve"> </w:t>
      </w:r>
      <w:r w:rsidR="0007366A">
        <w:t>0.67, 95%</w:t>
      </w:r>
      <w:r>
        <w:t xml:space="preserve"> </w:t>
      </w:r>
      <w:r w:rsidR="0007366A">
        <w:t xml:space="preserve">CI 0.52 to 0.86, </w:t>
      </w:r>
      <w:r>
        <w:t xml:space="preserve">P </w:t>
      </w:r>
      <w:r w:rsidR="0007366A">
        <w:t>&lt;</w:t>
      </w:r>
      <w:r>
        <w:t xml:space="preserve"> </w:t>
      </w:r>
      <w:r w:rsidR="0007366A">
        <w:t>0.01</w:t>
      </w:r>
      <w:r>
        <w:t xml:space="preserve">; </w:t>
      </w:r>
      <w:r w:rsidR="00086C77">
        <w:fldChar w:fldCharType="begin"/>
      </w:r>
      <w:r w:rsidR="00086C77">
        <w:instrText xml:space="preserve"> REF _Ref331493890 \h  \* MERGEFORMAT </w:instrText>
      </w:r>
      <w:r w:rsidR="00086C77">
        <w:fldChar w:fldCharType="separate"/>
      </w:r>
      <w:r w:rsidR="003361A8">
        <w:t xml:space="preserve">Table </w:t>
      </w:r>
      <w:r w:rsidR="003361A8">
        <w:rPr>
          <w:noProof/>
        </w:rPr>
        <w:t>37</w:t>
      </w:r>
      <w:r w:rsidR="00086C77">
        <w:fldChar w:fldCharType="end"/>
      </w:r>
      <w:r w:rsidR="0007366A">
        <w:t>). T</w:t>
      </w:r>
      <w:r w:rsidR="00E30CD7">
        <w:t xml:space="preserve">his caused a higher referral rate </w:t>
      </w:r>
      <w:r w:rsidR="0007366A">
        <w:t xml:space="preserve">with </w:t>
      </w:r>
      <w:r>
        <w:t>CC</w:t>
      </w:r>
      <w:r w:rsidR="0007366A">
        <w:t xml:space="preserve"> compared with cell filtration LBC</w:t>
      </w:r>
      <w:r w:rsidR="00E30CD7">
        <w:t xml:space="preserve"> (5.0% </w:t>
      </w:r>
      <w:r w:rsidR="003954A4">
        <w:t>vs.</w:t>
      </w:r>
      <w:r w:rsidR="00E30CD7">
        <w:t xml:space="preserve"> 4.1%, </w:t>
      </w:r>
      <w:r>
        <w:t>P=0.04). A small, non-</w:t>
      </w:r>
      <w:r w:rsidR="00E30CD7">
        <w:t xml:space="preserve">significant </w:t>
      </w:r>
      <w:r w:rsidR="00F92938">
        <w:t>excess of LSIL and</w:t>
      </w:r>
      <w:r w:rsidR="00E30CD7">
        <w:t xml:space="preserve"> HSIL+ reports was observed in the </w:t>
      </w:r>
      <w:r w:rsidR="0007366A">
        <w:t xml:space="preserve">cell filtration </w:t>
      </w:r>
      <w:r w:rsidR="00E30CD7">
        <w:t>LBC arm</w:t>
      </w:r>
      <w:r w:rsidR="00F92938">
        <w:t xml:space="preserve"> compared with </w:t>
      </w:r>
      <w:r>
        <w:t>CC</w:t>
      </w:r>
      <w:r w:rsidR="00F92938">
        <w:t xml:space="preserve"> (0.9%</w:t>
      </w:r>
      <w:r>
        <w:t xml:space="preserve"> </w:t>
      </w:r>
      <w:r w:rsidR="00F92938">
        <w:t>vs</w:t>
      </w:r>
      <w:r>
        <w:t>.</w:t>
      </w:r>
      <w:r w:rsidR="00F92938">
        <w:t xml:space="preserve"> 0.8%</w:t>
      </w:r>
      <w:r w:rsidR="0007366A">
        <w:t xml:space="preserve">, </w:t>
      </w:r>
      <w:r>
        <w:t>P</w:t>
      </w:r>
      <w:r w:rsidR="0007366A">
        <w:t>=0.47</w:t>
      </w:r>
      <w:r w:rsidR="00F92938">
        <w:t xml:space="preserve"> and 0.7% </w:t>
      </w:r>
      <w:r w:rsidR="003954A4">
        <w:t>vs.</w:t>
      </w:r>
      <w:r w:rsidR="00F92938">
        <w:t xml:space="preserve"> 0.5%,</w:t>
      </w:r>
      <w:r w:rsidR="0007366A">
        <w:t xml:space="preserve"> </w:t>
      </w:r>
      <w:r>
        <w:t>P</w:t>
      </w:r>
      <w:r w:rsidR="0007366A">
        <w:t>=0.37,</w:t>
      </w:r>
      <w:r w:rsidR="00F92938">
        <w:t xml:space="preserve"> respectively)</w:t>
      </w:r>
      <w:r w:rsidR="00E30CD7">
        <w:t xml:space="preserve">. </w:t>
      </w:r>
    </w:p>
    <w:p w:rsidR="003D64A7" w:rsidRDefault="003D64A7" w:rsidP="006B1477">
      <w:r w:rsidRPr="00D409E1">
        <w:t>Test findings for glandular lesions were only</w:t>
      </w:r>
      <w:r>
        <w:t xml:space="preserve"> </w:t>
      </w:r>
      <w:r w:rsidRPr="00D409E1">
        <w:t>reported as a combined category of ASCUS-</w:t>
      </w:r>
      <w:r>
        <w:t>or AGUS</w:t>
      </w:r>
      <w:r w:rsidRPr="00D409E1">
        <w:t>, so glandular test results could not be</w:t>
      </w:r>
      <w:r>
        <w:t xml:space="preserve"> </w:t>
      </w:r>
      <w:r w:rsidRPr="00D409E1">
        <w:t>separated from squamous findings.</w:t>
      </w:r>
    </w:p>
    <w:p w:rsidR="002561B1" w:rsidRDefault="002561B1" w:rsidP="002561B1">
      <w:pPr>
        <w:pStyle w:val="Caption"/>
      </w:pPr>
      <w:bookmarkStart w:id="332" w:name="_Ref331493890"/>
      <w:bookmarkStart w:id="333" w:name="_Toc331766470"/>
      <w:bookmarkStart w:id="334" w:name="_Toc335666003"/>
      <w:bookmarkStart w:id="335" w:name="_Toc337546974"/>
      <w:r>
        <w:lastRenderedPageBreak/>
        <w:t xml:space="preserve">Table </w:t>
      </w:r>
      <w:fldSimple w:instr=" SEQ Table \* ARABIC ">
        <w:r w:rsidR="003361A8">
          <w:rPr>
            <w:noProof/>
          </w:rPr>
          <w:t>37</w:t>
        </w:r>
      </w:fldSimple>
      <w:bookmarkEnd w:id="332"/>
      <w:r w:rsidR="00E444BF">
        <w:tab/>
        <w:t>Test</w:t>
      </w:r>
      <w:r w:rsidR="00041A06">
        <w:t xml:space="preserve"> yield comparison (by cytology)</w:t>
      </w:r>
      <w:r w:rsidR="00BA16C6">
        <w:t>—</w:t>
      </w:r>
      <w:r w:rsidR="00E444BF">
        <w:t>CC</w:t>
      </w:r>
      <w:r>
        <w:t xml:space="preserve"> versus </w:t>
      </w:r>
      <w:r w:rsidR="00041A06">
        <w:t>cell filtration LBC:</w:t>
      </w:r>
      <w:r w:rsidR="00E444BF">
        <w:t xml:space="preserve"> Maccallini</w:t>
      </w:r>
      <w:r>
        <w:t xml:space="preserve"> 2008</w:t>
      </w:r>
      <w:bookmarkEnd w:id="333"/>
      <w:bookmarkEnd w:id="334"/>
      <w:bookmarkEnd w:id="335"/>
    </w:p>
    <w:tbl>
      <w:tblPr>
        <w:tblW w:w="46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9"/>
        <w:gridCol w:w="2191"/>
        <w:gridCol w:w="1700"/>
        <w:gridCol w:w="1561"/>
      </w:tblGrid>
      <w:tr w:rsidR="00A54730" w:rsidRPr="00E444BF" w:rsidTr="00260E6C">
        <w:tc>
          <w:tcPr>
            <w:tcW w:w="1728" w:type="pct"/>
          </w:tcPr>
          <w:p w:rsidR="00A54730" w:rsidRPr="00E444BF" w:rsidRDefault="00A54730" w:rsidP="002561B1">
            <w:pPr>
              <w:pStyle w:val="Tabletext"/>
              <w:rPr>
                <w:b/>
              </w:rPr>
            </w:pPr>
          </w:p>
        </w:tc>
        <w:tc>
          <w:tcPr>
            <w:tcW w:w="1315" w:type="pct"/>
          </w:tcPr>
          <w:p w:rsidR="00A54730" w:rsidRPr="00E444BF" w:rsidRDefault="00A54730" w:rsidP="002561B1">
            <w:pPr>
              <w:pStyle w:val="Tabletext"/>
              <w:rPr>
                <w:b/>
              </w:rPr>
            </w:pPr>
            <w:r w:rsidRPr="00E444BF">
              <w:rPr>
                <w:b/>
              </w:rPr>
              <w:t>Conventional N=4299</w:t>
            </w:r>
          </w:p>
        </w:tc>
        <w:tc>
          <w:tcPr>
            <w:tcW w:w="1020" w:type="pct"/>
          </w:tcPr>
          <w:p w:rsidR="00A54730" w:rsidRPr="00E444BF" w:rsidRDefault="00A54730" w:rsidP="00260E6C">
            <w:pPr>
              <w:pStyle w:val="Tabletext"/>
              <w:rPr>
                <w:b/>
              </w:rPr>
            </w:pPr>
            <w:r>
              <w:rPr>
                <w:b/>
              </w:rPr>
              <w:t>LBC</w:t>
            </w:r>
            <w:r w:rsidR="00260E6C">
              <w:rPr>
                <w:b/>
              </w:rPr>
              <w:t xml:space="preserve"> </w:t>
            </w:r>
            <w:r w:rsidRPr="00E444BF">
              <w:rPr>
                <w:b/>
              </w:rPr>
              <w:t>N=4355</w:t>
            </w:r>
          </w:p>
        </w:tc>
        <w:tc>
          <w:tcPr>
            <w:tcW w:w="937" w:type="pct"/>
          </w:tcPr>
          <w:p w:rsidR="00A54730" w:rsidRPr="00E444BF" w:rsidRDefault="00A54730" w:rsidP="002561B1">
            <w:pPr>
              <w:pStyle w:val="Tabletext"/>
              <w:rPr>
                <w:b/>
              </w:rPr>
            </w:pPr>
            <w:r>
              <w:rPr>
                <w:b/>
              </w:rPr>
              <w:t>P v</w:t>
            </w:r>
            <w:r w:rsidRPr="00E444BF">
              <w:rPr>
                <w:b/>
              </w:rPr>
              <w:t>alue</w:t>
            </w:r>
          </w:p>
        </w:tc>
      </w:tr>
      <w:tr w:rsidR="00A54730" w:rsidTr="00260E6C">
        <w:tc>
          <w:tcPr>
            <w:tcW w:w="1728" w:type="pct"/>
          </w:tcPr>
          <w:p w:rsidR="00A54730" w:rsidRDefault="00A54730" w:rsidP="002561B1">
            <w:pPr>
              <w:pStyle w:val="Tabletext"/>
            </w:pPr>
          </w:p>
        </w:tc>
        <w:tc>
          <w:tcPr>
            <w:tcW w:w="1315" w:type="pct"/>
          </w:tcPr>
          <w:p w:rsidR="00A54730" w:rsidRDefault="00A54730" w:rsidP="002561B1">
            <w:pPr>
              <w:pStyle w:val="Tabletext"/>
            </w:pPr>
            <w:proofErr w:type="gramStart"/>
            <w:r>
              <w:t>n</w:t>
            </w:r>
            <w:r w:rsidRPr="002C281A">
              <w:rPr>
                <w:vertAlign w:val="superscript"/>
              </w:rPr>
              <w:t>a</w:t>
            </w:r>
            <w:proofErr w:type="gramEnd"/>
            <w:r>
              <w:t xml:space="preserve"> (%)</w:t>
            </w:r>
          </w:p>
        </w:tc>
        <w:tc>
          <w:tcPr>
            <w:tcW w:w="1020" w:type="pct"/>
          </w:tcPr>
          <w:p w:rsidR="00A54730" w:rsidRDefault="00A54730" w:rsidP="002561B1">
            <w:pPr>
              <w:pStyle w:val="Tabletext"/>
            </w:pPr>
            <w:proofErr w:type="gramStart"/>
            <w:r>
              <w:t>n</w:t>
            </w:r>
            <w:r w:rsidRPr="002C281A">
              <w:rPr>
                <w:vertAlign w:val="superscript"/>
              </w:rPr>
              <w:t>a</w:t>
            </w:r>
            <w:proofErr w:type="gramEnd"/>
            <w:r>
              <w:t xml:space="preserve"> (%)</w:t>
            </w:r>
          </w:p>
        </w:tc>
        <w:tc>
          <w:tcPr>
            <w:tcW w:w="937" w:type="pct"/>
          </w:tcPr>
          <w:p w:rsidR="00A54730" w:rsidRDefault="00A54730" w:rsidP="002561B1">
            <w:pPr>
              <w:pStyle w:val="Tabletext"/>
            </w:pPr>
          </w:p>
        </w:tc>
      </w:tr>
      <w:tr w:rsidR="00A54730" w:rsidTr="00260E6C">
        <w:tc>
          <w:tcPr>
            <w:tcW w:w="1728" w:type="pct"/>
          </w:tcPr>
          <w:p w:rsidR="00A54730" w:rsidRDefault="00A54730" w:rsidP="002561B1">
            <w:pPr>
              <w:pStyle w:val="Tabletext"/>
            </w:pPr>
            <w:r>
              <w:t>Normal</w:t>
            </w:r>
          </w:p>
        </w:tc>
        <w:tc>
          <w:tcPr>
            <w:tcW w:w="1315" w:type="pct"/>
          </w:tcPr>
          <w:p w:rsidR="00A54730" w:rsidRDefault="00A54730" w:rsidP="002561B1">
            <w:pPr>
              <w:pStyle w:val="Tabletext"/>
            </w:pPr>
            <w:r>
              <w:t>3899 (90.7)</w:t>
            </w:r>
            <w:r>
              <w:rPr>
                <w:vertAlign w:val="superscript"/>
              </w:rPr>
              <w:t>b</w:t>
            </w:r>
          </w:p>
        </w:tc>
        <w:tc>
          <w:tcPr>
            <w:tcW w:w="1020" w:type="pct"/>
          </w:tcPr>
          <w:p w:rsidR="00A54730" w:rsidRDefault="00A54730" w:rsidP="002561B1">
            <w:pPr>
              <w:pStyle w:val="Tabletext"/>
            </w:pPr>
            <w:r>
              <w:t>4120 (94.6)</w:t>
            </w:r>
            <w:r w:rsidRPr="00344F05">
              <w:rPr>
                <w:vertAlign w:val="superscript"/>
              </w:rPr>
              <w:t xml:space="preserve"> </w:t>
            </w:r>
            <w:r>
              <w:rPr>
                <w:vertAlign w:val="superscript"/>
              </w:rPr>
              <w:t>b</w:t>
            </w:r>
          </w:p>
        </w:tc>
        <w:tc>
          <w:tcPr>
            <w:tcW w:w="937" w:type="pct"/>
          </w:tcPr>
          <w:p w:rsidR="00A54730" w:rsidRDefault="00A54730" w:rsidP="002561B1">
            <w:pPr>
              <w:pStyle w:val="Tabletext"/>
            </w:pPr>
            <w:r>
              <w:t>NR</w:t>
            </w:r>
          </w:p>
        </w:tc>
      </w:tr>
      <w:tr w:rsidR="00A54730" w:rsidTr="00260E6C">
        <w:tc>
          <w:tcPr>
            <w:tcW w:w="1728" w:type="pct"/>
          </w:tcPr>
          <w:p w:rsidR="00A54730" w:rsidRDefault="00A54730" w:rsidP="002561B1">
            <w:pPr>
              <w:pStyle w:val="Tabletext"/>
            </w:pPr>
            <w:r>
              <w:t>ASCUS+AGUS</w:t>
            </w:r>
          </w:p>
        </w:tc>
        <w:tc>
          <w:tcPr>
            <w:tcW w:w="1315" w:type="pct"/>
          </w:tcPr>
          <w:p w:rsidR="00A54730" w:rsidRDefault="00A54730" w:rsidP="002561B1">
            <w:pPr>
              <w:pStyle w:val="Tabletext"/>
            </w:pPr>
            <w:r>
              <w:t>159 (3.7)</w:t>
            </w:r>
          </w:p>
        </w:tc>
        <w:tc>
          <w:tcPr>
            <w:tcW w:w="1020" w:type="pct"/>
          </w:tcPr>
          <w:p w:rsidR="00A54730" w:rsidRDefault="00A54730" w:rsidP="002561B1">
            <w:pPr>
              <w:pStyle w:val="Tabletext"/>
            </w:pPr>
            <w:r>
              <w:t>109 (2.5)</w:t>
            </w:r>
          </w:p>
        </w:tc>
        <w:tc>
          <w:tcPr>
            <w:tcW w:w="937" w:type="pct"/>
          </w:tcPr>
          <w:p w:rsidR="00A54730" w:rsidRPr="00FD55B6" w:rsidRDefault="00A54730" w:rsidP="002561B1">
            <w:pPr>
              <w:pStyle w:val="Tabletext"/>
            </w:pPr>
            <w:r>
              <w:t>&lt; 0.01</w:t>
            </w:r>
          </w:p>
        </w:tc>
      </w:tr>
      <w:tr w:rsidR="00A54730" w:rsidTr="00260E6C">
        <w:tc>
          <w:tcPr>
            <w:tcW w:w="1728" w:type="pct"/>
          </w:tcPr>
          <w:p w:rsidR="00A54730" w:rsidRDefault="00A54730" w:rsidP="002561B1">
            <w:pPr>
              <w:pStyle w:val="Tabletext"/>
            </w:pPr>
            <w:r>
              <w:t>LSIL</w:t>
            </w:r>
          </w:p>
        </w:tc>
        <w:tc>
          <w:tcPr>
            <w:tcW w:w="1315" w:type="pct"/>
          </w:tcPr>
          <w:p w:rsidR="00A54730" w:rsidRDefault="00A54730" w:rsidP="002561B1">
            <w:pPr>
              <w:pStyle w:val="Tabletext"/>
            </w:pPr>
            <w:r>
              <w:t>34 (0.8)</w:t>
            </w:r>
          </w:p>
        </w:tc>
        <w:tc>
          <w:tcPr>
            <w:tcW w:w="1020" w:type="pct"/>
          </w:tcPr>
          <w:p w:rsidR="00A54730" w:rsidRDefault="00A54730" w:rsidP="002561B1">
            <w:pPr>
              <w:pStyle w:val="Tabletext"/>
            </w:pPr>
            <w:r>
              <w:t>39 (0.9)</w:t>
            </w:r>
          </w:p>
        </w:tc>
        <w:tc>
          <w:tcPr>
            <w:tcW w:w="937" w:type="pct"/>
          </w:tcPr>
          <w:p w:rsidR="00A54730" w:rsidRPr="00FD55B6" w:rsidRDefault="00A54730" w:rsidP="002561B1">
            <w:pPr>
              <w:pStyle w:val="Tabletext"/>
            </w:pPr>
            <w:r>
              <w:t>0.47</w:t>
            </w:r>
          </w:p>
        </w:tc>
      </w:tr>
      <w:tr w:rsidR="00A54730" w:rsidTr="00260E6C">
        <w:tc>
          <w:tcPr>
            <w:tcW w:w="1728" w:type="pct"/>
          </w:tcPr>
          <w:p w:rsidR="00A54730" w:rsidRDefault="00A54730" w:rsidP="002561B1">
            <w:pPr>
              <w:pStyle w:val="Tabletext"/>
            </w:pPr>
            <w:r>
              <w:t>HSIL +</w:t>
            </w:r>
          </w:p>
        </w:tc>
        <w:tc>
          <w:tcPr>
            <w:tcW w:w="1315" w:type="pct"/>
          </w:tcPr>
          <w:p w:rsidR="00A54730" w:rsidRDefault="00A54730" w:rsidP="002561B1">
            <w:pPr>
              <w:pStyle w:val="Tabletext"/>
            </w:pPr>
            <w:r>
              <w:t>21 (0.5)</w:t>
            </w:r>
          </w:p>
        </w:tc>
        <w:tc>
          <w:tcPr>
            <w:tcW w:w="1020" w:type="pct"/>
          </w:tcPr>
          <w:p w:rsidR="00A54730" w:rsidRDefault="00A54730" w:rsidP="002561B1">
            <w:pPr>
              <w:pStyle w:val="Tabletext"/>
            </w:pPr>
            <w:r>
              <w:t>30 (0.7)</w:t>
            </w:r>
          </w:p>
        </w:tc>
        <w:tc>
          <w:tcPr>
            <w:tcW w:w="937" w:type="pct"/>
          </w:tcPr>
          <w:p w:rsidR="00A54730" w:rsidRPr="00FD55B6" w:rsidRDefault="00A54730" w:rsidP="002561B1">
            <w:pPr>
              <w:pStyle w:val="Tabletext"/>
            </w:pPr>
            <w:r>
              <w:t>0.37</w:t>
            </w:r>
          </w:p>
        </w:tc>
      </w:tr>
      <w:tr w:rsidR="00A54730" w:rsidTr="00260E6C">
        <w:tc>
          <w:tcPr>
            <w:tcW w:w="1728" w:type="pct"/>
          </w:tcPr>
          <w:p w:rsidR="00A54730" w:rsidRDefault="00A54730" w:rsidP="002561B1">
            <w:pPr>
              <w:pStyle w:val="Tabletext"/>
            </w:pPr>
            <w:r>
              <w:t>Colposcopy recommended</w:t>
            </w:r>
          </w:p>
        </w:tc>
        <w:tc>
          <w:tcPr>
            <w:tcW w:w="1315" w:type="pct"/>
          </w:tcPr>
          <w:p w:rsidR="00A54730" w:rsidRDefault="00A54730" w:rsidP="002561B1">
            <w:pPr>
              <w:pStyle w:val="Tabletext"/>
            </w:pPr>
            <w:r>
              <w:t>215 (5.0)</w:t>
            </w:r>
          </w:p>
        </w:tc>
        <w:tc>
          <w:tcPr>
            <w:tcW w:w="1020" w:type="pct"/>
          </w:tcPr>
          <w:p w:rsidR="00A54730" w:rsidRDefault="00A54730" w:rsidP="002561B1">
            <w:pPr>
              <w:pStyle w:val="Tabletext"/>
            </w:pPr>
            <w:r>
              <w:t>179 (4.1)</w:t>
            </w:r>
          </w:p>
        </w:tc>
        <w:tc>
          <w:tcPr>
            <w:tcW w:w="937" w:type="pct"/>
          </w:tcPr>
          <w:p w:rsidR="00A54730" w:rsidRDefault="00A54730" w:rsidP="002561B1">
            <w:pPr>
              <w:pStyle w:val="Tabletext"/>
            </w:pPr>
            <w:r>
              <w:t>0.04</w:t>
            </w:r>
          </w:p>
        </w:tc>
      </w:tr>
      <w:tr w:rsidR="00260E6C" w:rsidTr="00260E6C">
        <w:tc>
          <w:tcPr>
            <w:tcW w:w="5000" w:type="pct"/>
            <w:gridSpan w:val="4"/>
          </w:tcPr>
          <w:p w:rsidR="00260E6C" w:rsidRDefault="00260E6C" w:rsidP="002561B1">
            <w:pPr>
              <w:pStyle w:val="Tabletext"/>
            </w:pPr>
            <w:r>
              <w:t>Source: Maccallini 2008 Table 2</w:t>
            </w:r>
          </w:p>
        </w:tc>
      </w:tr>
    </w:tbl>
    <w:p w:rsidR="00260E6C" w:rsidRDefault="002561B1" w:rsidP="00260E6C">
      <w:pPr>
        <w:pStyle w:val="Tabletext"/>
      </w:pPr>
      <w:r w:rsidRPr="002C281A">
        <w:t>Abbreviations:</w:t>
      </w:r>
      <w:r>
        <w:t xml:space="preserve"> ASCUS+AGUS, atypical cells of undetermined significance and atypical glandular cells of undetermined significance; </w:t>
      </w:r>
      <w:r w:rsidR="00260E6C">
        <w:t xml:space="preserve">CI, confidence interval; HSIL+, high-grade squamous intraepithelial lesion or more severe; </w:t>
      </w:r>
      <w:r w:rsidR="00041A06">
        <w:t xml:space="preserve">LBC, liquid-based cytology; </w:t>
      </w:r>
      <w:r>
        <w:t xml:space="preserve">LSIL, low grade squamous intraepithelial lesion; </w:t>
      </w:r>
      <w:r w:rsidR="00260E6C">
        <w:t>NR, not reported</w:t>
      </w:r>
    </w:p>
    <w:p w:rsidR="002561B1" w:rsidRPr="002C281A" w:rsidRDefault="002561B1" w:rsidP="00260E6C">
      <w:pPr>
        <w:pStyle w:val="Tabletext"/>
        <w:numPr>
          <w:ilvl w:val="0"/>
          <w:numId w:val="37"/>
        </w:numPr>
      </w:pPr>
      <w:r w:rsidRPr="002C281A">
        <w:t xml:space="preserve">n manually back calculated from percentages presented in </w:t>
      </w:r>
      <w:r w:rsidR="00BA16C6">
        <w:t xml:space="preserve">Maccallini </w:t>
      </w:r>
      <w:r>
        <w:t>2008</w:t>
      </w:r>
      <w:r w:rsidRPr="002C281A">
        <w:t>, Table 2</w:t>
      </w:r>
    </w:p>
    <w:p w:rsidR="002561B1" w:rsidRDefault="00344F05" w:rsidP="00AB012A">
      <w:pPr>
        <w:pStyle w:val="Tabletext"/>
        <w:numPr>
          <w:ilvl w:val="0"/>
          <w:numId w:val="37"/>
        </w:numPr>
      </w:pPr>
      <w:r>
        <w:t xml:space="preserve">the </w:t>
      </w:r>
      <w:r w:rsidRPr="00344F05">
        <w:t>number</w:t>
      </w:r>
      <w:r>
        <w:t xml:space="preserve"> of normal slides</w:t>
      </w:r>
      <w:r w:rsidRPr="00344F05">
        <w:t xml:space="preserve"> was estimated </w:t>
      </w:r>
      <w:r w:rsidR="006E5A20">
        <w:t>as follows:</w:t>
      </w:r>
      <w:r w:rsidRPr="00344F05">
        <w:t xml:space="preserve"> 100-[% unsatisfactory+% ASCUS+AGUS +% LSIL +%HSIL+])</w:t>
      </w:r>
    </w:p>
    <w:p w:rsidR="008E2356" w:rsidRDefault="008E2356" w:rsidP="00E444BF"/>
    <w:p w:rsidR="008E2356" w:rsidRDefault="00E444BF" w:rsidP="008E2356">
      <w:r>
        <w:t>Obwegeser 2001</w:t>
      </w:r>
      <w:r w:rsidR="008E2356">
        <w:t xml:space="preserve"> reported </w:t>
      </w:r>
      <w:r w:rsidR="0007366A">
        <w:t>that o</w:t>
      </w:r>
      <w:r w:rsidR="008E2356">
        <w:t>ver 90% of slides in each group were f</w:t>
      </w:r>
      <w:r>
        <w:t>ound to be within normal limits;</w:t>
      </w:r>
      <w:r w:rsidR="008E2356">
        <w:t xml:space="preserve"> there were no significant differences between </w:t>
      </w:r>
      <w:r w:rsidR="0007366A">
        <w:t xml:space="preserve">cell filtration </w:t>
      </w:r>
      <w:r w:rsidR="008E2356">
        <w:t xml:space="preserve">LBC and </w:t>
      </w:r>
      <w:r>
        <w:t>CC</w:t>
      </w:r>
      <w:r w:rsidR="008E2356">
        <w:t xml:space="preserve">. </w:t>
      </w:r>
      <w:r w:rsidR="0007366A">
        <w:t>T</w:t>
      </w:r>
      <w:r w:rsidR="00CE20CC">
        <w:t>here was no significant difference</w:t>
      </w:r>
      <w:r w:rsidR="008E2356">
        <w:t xml:space="preserve"> between the </w:t>
      </w:r>
      <w:r w:rsidR="00CE20CC">
        <w:t xml:space="preserve">cell filtration </w:t>
      </w:r>
      <w:r w:rsidR="00DC5A82">
        <w:t>L</w:t>
      </w:r>
      <w:r w:rsidR="008E2356">
        <w:t xml:space="preserve">BC group </w:t>
      </w:r>
      <w:r w:rsidR="00CE20CC">
        <w:t xml:space="preserve">compared with </w:t>
      </w:r>
      <w:r>
        <w:t>CC</w:t>
      </w:r>
      <w:r w:rsidR="00CE20CC">
        <w:t xml:space="preserve"> </w:t>
      </w:r>
      <w:r w:rsidR="008E2356">
        <w:t>for the cyt</w:t>
      </w:r>
      <w:r w:rsidR="00CE20CC">
        <w:t xml:space="preserve">ologic diagnoses of ASCUS/AGUS, </w:t>
      </w:r>
      <w:r w:rsidR="008E2356">
        <w:t>LSIL</w:t>
      </w:r>
      <w:r w:rsidR="00CE20CC">
        <w:t>, HSIL</w:t>
      </w:r>
      <w:r w:rsidR="008E2356">
        <w:t xml:space="preserve">, </w:t>
      </w:r>
      <w:r w:rsidR="00CE20CC">
        <w:t>or carcinoma</w:t>
      </w:r>
      <w:r w:rsidR="008E2356">
        <w:t xml:space="preserve"> (</w:t>
      </w:r>
      <w:r w:rsidR="00086C77">
        <w:fldChar w:fldCharType="begin"/>
      </w:r>
      <w:r w:rsidR="008E2356">
        <w:instrText xml:space="preserve"> REF _Ref331491461 \h </w:instrText>
      </w:r>
      <w:r w:rsidR="00086C77">
        <w:fldChar w:fldCharType="separate"/>
      </w:r>
      <w:r w:rsidR="003361A8">
        <w:t xml:space="preserve">Table </w:t>
      </w:r>
      <w:r w:rsidR="003361A8">
        <w:rPr>
          <w:noProof/>
        </w:rPr>
        <w:t>38</w:t>
      </w:r>
      <w:r w:rsidR="00086C77">
        <w:fldChar w:fldCharType="end"/>
      </w:r>
      <w:r w:rsidR="008E2356">
        <w:t xml:space="preserve">). </w:t>
      </w:r>
    </w:p>
    <w:p w:rsidR="0007366A" w:rsidRDefault="0007366A" w:rsidP="0007366A">
      <w:r w:rsidRPr="00D409E1">
        <w:t>Test findings for glandular lesions were only</w:t>
      </w:r>
      <w:r>
        <w:t xml:space="preserve"> </w:t>
      </w:r>
      <w:r w:rsidRPr="00D409E1">
        <w:t>reported as a combined category of ASCUS-</w:t>
      </w:r>
      <w:r>
        <w:t>or AGUS</w:t>
      </w:r>
      <w:r w:rsidRPr="00D409E1">
        <w:t>, so glandular test results could not be</w:t>
      </w:r>
      <w:r>
        <w:t xml:space="preserve"> </w:t>
      </w:r>
      <w:r w:rsidRPr="00D409E1">
        <w:t>separated from squamous findings.</w:t>
      </w:r>
    </w:p>
    <w:p w:rsidR="008E2356" w:rsidRDefault="008E2356" w:rsidP="008E2356">
      <w:pPr>
        <w:pStyle w:val="Caption"/>
      </w:pPr>
      <w:bookmarkStart w:id="336" w:name="_Ref331491461"/>
      <w:bookmarkStart w:id="337" w:name="_Toc331766468"/>
      <w:bookmarkStart w:id="338" w:name="_Toc335666004"/>
      <w:bookmarkStart w:id="339" w:name="_Toc337546975"/>
      <w:r>
        <w:lastRenderedPageBreak/>
        <w:t xml:space="preserve">Table </w:t>
      </w:r>
      <w:fldSimple w:instr=" SEQ Table \* ARABIC ">
        <w:r w:rsidR="003361A8">
          <w:rPr>
            <w:noProof/>
          </w:rPr>
          <w:t>38</w:t>
        </w:r>
      </w:fldSimple>
      <w:bookmarkEnd w:id="336"/>
      <w:r w:rsidR="00E444BF">
        <w:tab/>
        <w:t>Test yield comparison (by c</w:t>
      </w:r>
      <w:r w:rsidR="00BA16C6">
        <w:t>ytology)—</w:t>
      </w:r>
      <w:r w:rsidR="00E444BF">
        <w:t>CC</w:t>
      </w:r>
      <w:r>
        <w:t xml:space="preserve"> versus </w:t>
      </w:r>
      <w:r w:rsidR="00E444BF">
        <w:t xml:space="preserve">cell filtration LBC </w:t>
      </w:r>
      <w:r>
        <w:t>at both the laboratory of the investigator and the independent rescreen results</w:t>
      </w:r>
      <w:r w:rsidR="00041A06">
        <w:t>:</w:t>
      </w:r>
      <w:r w:rsidR="00E444BF">
        <w:t xml:space="preserve"> Obwegeser </w:t>
      </w:r>
      <w:r>
        <w:t>2001</w:t>
      </w:r>
      <w:bookmarkEnd w:id="337"/>
      <w:bookmarkEnd w:id="338"/>
      <w:bookmarkEnd w:id="339"/>
    </w:p>
    <w:tbl>
      <w:tblPr>
        <w:tblW w:w="478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2"/>
        <w:gridCol w:w="2458"/>
        <w:gridCol w:w="2410"/>
        <w:gridCol w:w="1133"/>
      </w:tblGrid>
      <w:tr w:rsidR="007F0430" w:rsidRPr="00E444BF" w:rsidTr="007F0430">
        <w:tc>
          <w:tcPr>
            <w:tcW w:w="1516" w:type="pct"/>
          </w:tcPr>
          <w:p w:rsidR="007F0430" w:rsidRPr="00E444BF" w:rsidRDefault="007F0430" w:rsidP="008E2356">
            <w:pPr>
              <w:pStyle w:val="Tabletext"/>
              <w:rPr>
                <w:b/>
              </w:rPr>
            </w:pPr>
          </w:p>
        </w:tc>
        <w:tc>
          <w:tcPr>
            <w:tcW w:w="1427" w:type="pct"/>
          </w:tcPr>
          <w:p w:rsidR="007F0430" w:rsidRPr="00E444BF" w:rsidRDefault="007F0430" w:rsidP="008E2356">
            <w:pPr>
              <w:pStyle w:val="Tabletext"/>
              <w:rPr>
                <w:b/>
              </w:rPr>
            </w:pPr>
            <w:r w:rsidRPr="00E444BF">
              <w:rPr>
                <w:b/>
              </w:rPr>
              <w:t>Conventional N=1002</w:t>
            </w:r>
          </w:p>
        </w:tc>
        <w:tc>
          <w:tcPr>
            <w:tcW w:w="1399" w:type="pct"/>
          </w:tcPr>
          <w:p w:rsidR="007F0430" w:rsidRPr="00E444BF" w:rsidRDefault="007F0430" w:rsidP="007F0430">
            <w:pPr>
              <w:pStyle w:val="Tabletext"/>
              <w:rPr>
                <w:b/>
              </w:rPr>
            </w:pPr>
            <w:r>
              <w:rPr>
                <w:b/>
              </w:rPr>
              <w:t>LBC</w:t>
            </w:r>
            <w:r w:rsidRPr="00E444BF">
              <w:rPr>
                <w:b/>
              </w:rPr>
              <w:t>N=997</w:t>
            </w:r>
          </w:p>
        </w:tc>
        <w:tc>
          <w:tcPr>
            <w:tcW w:w="658" w:type="pct"/>
          </w:tcPr>
          <w:p w:rsidR="007F0430" w:rsidRPr="00E444BF" w:rsidRDefault="007F0430" w:rsidP="008E2356">
            <w:pPr>
              <w:pStyle w:val="Tabletext"/>
              <w:rPr>
                <w:b/>
              </w:rPr>
            </w:pPr>
            <w:r>
              <w:rPr>
                <w:b/>
              </w:rPr>
              <w:t>P v</w:t>
            </w:r>
            <w:r w:rsidRPr="00E444BF">
              <w:rPr>
                <w:b/>
              </w:rPr>
              <w:t>alue</w:t>
            </w:r>
            <w:r w:rsidRPr="00E444BF">
              <w:rPr>
                <w:b/>
                <w:vertAlign w:val="superscript"/>
              </w:rPr>
              <w:t>a</w:t>
            </w:r>
          </w:p>
        </w:tc>
      </w:tr>
      <w:tr w:rsidR="007F0430" w:rsidRPr="00E444BF" w:rsidTr="007F0430">
        <w:tc>
          <w:tcPr>
            <w:tcW w:w="1516" w:type="pct"/>
          </w:tcPr>
          <w:p w:rsidR="007F0430" w:rsidRPr="00E444BF" w:rsidRDefault="007F0430" w:rsidP="008E2356">
            <w:pPr>
              <w:pStyle w:val="Tabletext"/>
              <w:rPr>
                <w:b/>
              </w:rPr>
            </w:pPr>
          </w:p>
        </w:tc>
        <w:tc>
          <w:tcPr>
            <w:tcW w:w="1427" w:type="pct"/>
          </w:tcPr>
          <w:p w:rsidR="007F0430" w:rsidRPr="00E444BF" w:rsidRDefault="007F0430" w:rsidP="008E2356">
            <w:pPr>
              <w:pStyle w:val="Tabletext"/>
              <w:rPr>
                <w:b/>
              </w:rPr>
            </w:pPr>
            <w:proofErr w:type="gramStart"/>
            <w:r w:rsidRPr="00E444BF">
              <w:rPr>
                <w:b/>
              </w:rPr>
              <w:t>n</w:t>
            </w:r>
            <w:proofErr w:type="gramEnd"/>
            <w:r w:rsidRPr="00E444BF">
              <w:rPr>
                <w:b/>
              </w:rPr>
              <w:t xml:space="preserve"> (%)</w:t>
            </w:r>
          </w:p>
        </w:tc>
        <w:tc>
          <w:tcPr>
            <w:tcW w:w="1399" w:type="pct"/>
          </w:tcPr>
          <w:p w:rsidR="007F0430" w:rsidRPr="00E444BF" w:rsidRDefault="007F0430" w:rsidP="008E2356">
            <w:pPr>
              <w:pStyle w:val="Tabletext"/>
              <w:rPr>
                <w:b/>
              </w:rPr>
            </w:pPr>
            <w:proofErr w:type="gramStart"/>
            <w:r w:rsidRPr="00E444BF">
              <w:rPr>
                <w:b/>
              </w:rPr>
              <w:t>n</w:t>
            </w:r>
            <w:proofErr w:type="gramEnd"/>
            <w:r w:rsidRPr="00E444BF">
              <w:rPr>
                <w:b/>
              </w:rPr>
              <w:t xml:space="preserve"> (%)</w:t>
            </w:r>
          </w:p>
        </w:tc>
        <w:tc>
          <w:tcPr>
            <w:tcW w:w="658" w:type="pct"/>
          </w:tcPr>
          <w:p w:rsidR="007F0430" w:rsidRPr="00E444BF" w:rsidRDefault="007F0430" w:rsidP="008E2356">
            <w:pPr>
              <w:pStyle w:val="Tabletext"/>
              <w:rPr>
                <w:b/>
              </w:rPr>
            </w:pPr>
          </w:p>
        </w:tc>
      </w:tr>
      <w:tr w:rsidR="007F0430" w:rsidTr="007F0430">
        <w:tc>
          <w:tcPr>
            <w:tcW w:w="1516" w:type="pct"/>
          </w:tcPr>
          <w:p w:rsidR="007F0430" w:rsidRDefault="007F0430" w:rsidP="008E2356">
            <w:pPr>
              <w:pStyle w:val="Tabletext"/>
            </w:pPr>
            <w:r>
              <w:t>Within normal limits</w:t>
            </w:r>
          </w:p>
        </w:tc>
        <w:tc>
          <w:tcPr>
            <w:tcW w:w="1427" w:type="pct"/>
          </w:tcPr>
          <w:p w:rsidR="007F0430" w:rsidRDefault="007F0430" w:rsidP="008E2356">
            <w:pPr>
              <w:pStyle w:val="Tabletext"/>
            </w:pPr>
            <w:r>
              <w:t>931 (92.9)</w:t>
            </w:r>
          </w:p>
        </w:tc>
        <w:tc>
          <w:tcPr>
            <w:tcW w:w="1399" w:type="pct"/>
          </w:tcPr>
          <w:p w:rsidR="007F0430" w:rsidRDefault="007F0430" w:rsidP="008E2356">
            <w:pPr>
              <w:pStyle w:val="Tabletext"/>
            </w:pPr>
            <w:r>
              <w:t>924 (92.7)</w:t>
            </w:r>
          </w:p>
        </w:tc>
        <w:tc>
          <w:tcPr>
            <w:tcW w:w="658" w:type="pct"/>
          </w:tcPr>
          <w:p w:rsidR="007F0430" w:rsidRDefault="007F0430" w:rsidP="008E2356">
            <w:pPr>
              <w:pStyle w:val="Tabletext"/>
            </w:pPr>
            <w:r>
              <w:t>NS</w:t>
            </w:r>
          </w:p>
        </w:tc>
      </w:tr>
      <w:tr w:rsidR="007F0430" w:rsidTr="007F0430">
        <w:tc>
          <w:tcPr>
            <w:tcW w:w="1516" w:type="pct"/>
          </w:tcPr>
          <w:p w:rsidR="007F0430" w:rsidRDefault="007F0430" w:rsidP="008E2356">
            <w:pPr>
              <w:pStyle w:val="Tabletext"/>
            </w:pPr>
            <w:r>
              <w:t>ASCUS/AGUS</w:t>
            </w:r>
          </w:p>
        </w:tc>
        <w:tc>
          <w:tcPr>
            <w:tcW w:w="1427" w:type="pct"/>
          </w:tcPr>
          <w:p w:rsidR="007F0430" w:rsidRDefault="007F0430" w:rsidP="008E2356">
            <w:pPr>
              <w:pStyle w:val="Tabletext"/>
            </w:pPr>
            <w:r>
              <w:t>14 (1.4)</w:t>
            </w:r>
          </w:p>
        </w:tc>
        <w:tc>
          <w:tcPr>
            <w:tcW w:w="1399" w:type="pct"/>
          </w:tcPr>
          <w:p w:rsidR="007F0430" w:rsidRDefault="007F0430" w:rsidP="008E2356">
            <w:pPr>
              <w:pStyle w:val="Tabletext"/>
            </w:pPr>
            <w:r>
              <w:t>10 (1.0)</w:t>
            </w:r>
          </w:p>
        </w:tc>
        <w:tc>
          <w:tcPr>
            <w:tcW w:w="658" w:type="pct"/>
          </w:tcPr>
          <w:p w:rsidR="007F0430" w:rsidRDefault="007F0430" w:rsidP="008E2356">
            <w:pPr>
              <w:pStyle w:val="Tabletext"/>
            </w:pPr>
            <w:r>
              <w:t>NS</w:t>
            </w:r>
          </w:p>
        </w:tc>
      </w:tr>
      <w:tr w:rsidR="007F0430" w:rsidTr="007F0430">
        <w:tc>
          <w:tcPr>
            <w:tcW w:w="1516" w:type="pct"/>
          </w:tcPr>
          <w:p w:rsidR="007F0430" w:rsidRDefault="007F0430" w:rsidP="008E2356">
            <w:pPr>
              <w:pStyle w:val="Tabletext"/>
            </w:pPr>
            <w:r>
              <w:t>LSIL</w:t>
            </w:r>
          </w:p>
        </w:tc>
        <w:tc>
          <w:tcPr>
            <w:tcW w:w="1427" w:type="pct"/>
          </w:tcPr>
          <w:p w:rsidR="007F0430" w:rsidRDefault="007F0430" w:rsidP="008E2356">
            <w:pPr>
              <w:pStyle w:val="Tabletext"/>
            </w:pPr>
            <w:r>
              <w:t>37 (3.7)</w:t>
            </w:r>
          </w:p>
        </w:tc>
        <w:tc>
          <w:tcPr>
            <w:tcW w:w="1399" w:type="pct"/>
          </w:tcPr>
          <w:p w:rsidR="007F0430" w:rsidRDefault="007F0430" w:rsidP="008E2356">
            <w:pPr>
              <w:pStyle w:val="Tabletext"/>
            </w:pPr>
            <w:r>
              <w:t>47 (4.7)</w:t>
            </w:r>
          </w:p>
        </w:tc>
        <w:tc>
          <w:tcPr>
            <w:tcW w:w="658" w:type="pct"/>
          </w:tcPr>
          <w:p w:rsidR="007F0430" w:rsidRPr="00FD55B6" w:rsidRDefault="007F0430" w:rsidP="008E2356">
            <w:pPr>
              <w:pStyle w:val="Tabletext"/>
            </w:pPr>
            <w:r>
              <w:t>NS</w:t>
            </w:r>
          </w:p>
        </w:tc>
      </w:tr>
      <w:tr w:rsidR="007F0430" w:rsidTr="007F0430">
        <w:tc>
          <w:tcPr>
            <w:tcW w:w="1516" w:type="pct"/>
          </w:tcPr>
          <w:p w:rsidR="007F0430" w:rsidRDefault="007F0430" w:rsidP="008E2356">
            <w:pPr>
              <w:pStyle w:val="Tabletext"/>
            </w:pPr>
            <w:r>
              <w:t>HSIL</w:t>
            </w:r>
          </w:p>
        </w:tc>
        <w:tc>
          <w:tcPr>
            <w:tcW w:w="1427" w:type="pct"/>
          </w:tcPr>
          <w:p w:rsidR="007F0430" w:rsidRDefault="007F0430" w:rsidP="008E2356">
            <w:pPr>
              <w:pStyle w:val="Tabletext"/>
            </w:pPr>
            <w:r>
              <w:t>19 (1.8)</w:t>
            </w:r>
          </w:p>
        </w:tc>
        <w:tc>
          <w:tcPr>
            <w:tcW w:w="1399" w:type="pct"/>
          </w:tcPr>
          <w:p w:rsidR="007F0430" w:rsidRDefault="007F0430" w:rsidP="008E2356">
            <w:pPr>
              <w:pStyle w:val="Tabletext"/>
            </w:pPr>
            <w:r>
              <w:t>16 (1.6)</w:t>
            </w:r>
          </w:p>
        </w:tc>
        <w:tc>
          <w:tcPr>
            <w:tcW w:w="658" w:type="pct"/>
          </w:tcPr>
          <w:p w:rsidR="007F0430" w:rsidRPr="00FD55B6" w:rsidRDefault="007F0430" w:rsidP="008E2356">
            <w:pPr>
              <w:pStyle w:val="Tabletext"/>
            </w:pPr>
            <w:r>
              <w:t>NS</w:t>
            </w:r>
          </w:p>
        </w:tc>
      </w:tr>
      <w:tr w:rsidR="007F0430" w:rsidTr="007F0430">
        <w:tc>
          <w:tcPr>
            <w:tcW w:w="1516" w:type="pct"/>
          </w:tcPr>
          <w:p w:rsidR="007F0430" w:rsidRDefault="007F0430" w:rsidP="008E2356">
            <w:pPr>
              <w:pStyle w:val="Tabletext"/>
            </w:pPr>
            <w:r>
              <w:t>Carcinoma</w:t>
            </w:r>
          </w:p>
        </w:tc>
        <w:tc>
          <w:tcPr>
            <w:tcW w:w="1427" w:type="pct"/>
          </w:tcPr>
          <w:p w:rsidR="007F0430" w:rsidRDefault="007F0430" w:rsidP="008E2356">
            <w:pPr>
              <w:pStyle w:val="Tabletext"/>
            </w:pPr>
            <w:r>
              <w:t>1 (0.1)</w:t>
            </w:r>
          </w:p>
        </w:tc>
        <w:tc>
          <w:tcPr>
            <w:tcW w:w="1399" w:type="pct"/>
          </w:tcPr>
          <w:p w:rsidR="007F0430" w:rsidRDefault="007F0430" w:rsidP="008E2356">
            <w:pPr>
              <w:pStyle w:val="Tabletext"/>
            </w:pPr>
            <w:r>
              <w:t>0 (0.0)</w:t>
            </w:r>
          </w:p>
        </w:tc>
        <w:tc>
          <w:tcPr>
            <w:tcW w:w="658" w:type="pct"/>
          </w:tcPr>
          <w:p w:rsidR="007F0430" w:rsidRPr="00FD55B6" w:rsidRDefault="007F0430" w:rsidP="008E2356">
            <w:pPr>
              <w:pStyle w:val="Tabletext"/>
            </w:pPr>
            <w:r>
              <w:t>NS</w:t>
            </w:r>
          </w:p>
        </w:tc>
      </w:tr>
      <w:tr w:rsidR="007F0430" w:rsidTr="007F0430">
        <w:tc>
          <w:tcPr>
            <w:tcW w:w="1516" w:type="pct"/>
          </w:tcPr>
          <w:p w:rsidR="007F0430" w:rsidRDefault="007F0430" w:rsidP="008E2356">
            <w:pPr>
              <w:pStyle w:val="Tabletext"/>
            </w:pPr>
            <w:r>
              <w:t>LSIL+</w:t>
            </w:r>
          </w:p>
        </w:tc>
        <w:tc>
          <w:tcPr>
            <w:tcW w:w="1427" w:type="pct"/>
          </w:tcPr>
          <w:p w:rsidR="007F0430" w:rsidRDefault="007F0430" w:rsidP="008E2356">
            <w:pPr>
              <w:pStyle w:val="Tabletext"/>
            </w:pPr>
            <w:r>
              <w:t>57 (5.6)</w:t>
            </w:r>
          </w:p>
        </w:tc>
        <w:tc>
          <w:tcPr>
            <w:tcW w:w="1399" w:type="pct"/>
          </w:tcPr>
          <w:p w:rsidR="007F0430" w:rsidRDefault="007F0430" w:rsidP="008E2356">
            <w:pPr>
              <w:pStyle w:val="Tabletext"/>
            </w:pPr>
            <w:r>
              <w:t>63 (6.3)</w:t>
            </w:r>
          </w:p>
        </w:tc>
        <w:tc>
          <w:tcPr>
            <w:tcW w:w="658" w:type="pct"/>
          </w:tcPr>
          <w:p w:rsidR="007F0430" w:rsidRDefault="007F0430" w:rsidP="008E2356">
            <w:pPr>
              <w:pStyle w:val="Tabletext"/>
            </w:pPr>
            <w:r>
              <w:t>NS</w:t>
            </w:r>
          </w:p>
        </w:tc>
      </w:tr>
      <w:tr w:rsidR="007F0430" w:rsidTr="007F0430">
        <w:tc>
          <w:tcPr>
            <w:tcW w:w="1516" w:type="pct"/>
          </w:tcPr>
          <w:p w:rsidR="007F0430" w:rsidRDefault="007F0430" w:rsidP="008E2356">
            <w:pPr>
              <w:pStyle w:val="Tabletext"/>
            </w:pPr>
            <w:r>
              <w:t>ASCUS/AGUS+</w:t>
            </w:r>
          </w:p>
        </w:tc>
        <w:tc>
          <w:tcPr>
            <w:tcW w:w="1427" w:type="pct"/>
          </w:tcPr>
          <w:p w:rsidR="007F0430" w:rsidRDefault="007F0430" w:rsidP="008E2356">
            <w:pPr>
              <w:pStyle w:val="Tabletext"/>
            </w:pPr>
            <w:r>
              <w:t>71 (7.0)</w:t>
            </w:r>
          </w:p>
        </w:tc>
        <w:tc>
          <w:tcPr>
            <w:tcW w:w="1399" w:type="pct"/>
          </w:tcPr>
          <w:p w:rsidR="007F0430" w:rsidRDefault="007F0430" w:rsidP="008E2356">
            <w:pPr>
              <w:pStyle w:val="Tabletext"/>
            </w:pPr>
            <w:r>
              <w:t>73 (7.3)</w:t>
            </w:r>
          </w:p>
        </w:tc>
        <w:tc>
          <w:tcPr>
            <w:tcW w:w="658" w:type="pct"/>
          </w:tcPr>
          <w:p w:rsidR="007F0430" w:rsidRDefault="007F0430" w:rsidP="008E2356">
            <w:pPr>
              <w:pStyle w:val="Tabletext"/>
            </w:pPr>
            <w:r>
              <w:t>NS</w:t>
            </w:r>
          </w:p>
        </w:tc>
      </w:tr>
      <w:tr w:rsidR="007F0430" w:rsidTr="007F0430">
        <w:tc>
          <w:tcPr>
            <w:tcW w:w="5000" w:type="pct"/>
            <w:gridSpan w:val="4"/>
          </w:tcPr>
          <w:p w:rsidR="007F0430" w:rsidRDefault="007F0430" w:rsidP="008E2356">
            <w:pPr>
              <w:pStyle w:val="Tabletext"/>
            </w:pPr>
            <w:r>
              <w:t>Source: Obwegeser   2001, Table 1</w:t>
            </w:r>
          </w:p>
        </w:tc>
      </w:tr>
    </w:tbl>
    <w:p w:rsidR="008E2356" w:rsidRDefault="008E2356" w:rsidP="001310A0">
      <w:pPr>
        <w:pStyle w:val="Tabletext"/>
      </w:pPr>
      <w:r>
        <w:t xml:space="preserve">Abbreviations: </w:t>
      </w:r>
      <w:r w:rsidRPr="00BF58BA">
        <w:t>ASCUS, atypical cells of undetermined significance; ASCUS+, atypical cells of undetermined significance/atypical glandular cells or more severe; CI, confidence interval; HSIL, high-grade s</w:t>
      </w:r>
      <w:r>
        <w:t xml:space="preserve">quamous intraepithelial lesion; </w:t>
      </w:r>
      <w:r w:rsidR="00041A06">
        <w:t xml:space="preserve">LBC, liquid-based cytology; </w:t>
      </w:r>
      <w:r w:rsidRPr="00BF58BA">
        <w:t>LSIL, low grade squamous intraepithelial lesion; LSIL+, low grade squamous intraepithelial lesion or more severe;</w:t>
      </w:r>
      <w:r>
        <w:t xml:space="preserve"> NS, not significant</w:t>
      </w:r>
    </w:p>
    <w:p w:rsidR="008E2356" w:rsidRDefault="00BA16C6" w:rsidP="00AB012A">
      <w:pPr>
        <w:pStyle w:val="Tabletext"/>
        <w:numPr>
          <w:ilvl w:val="0"/>
          <w:numId w:val="38"/>
        </w:numPr>
      </w:pPr>
      <w:r>
        <w:t xml:space="preserve">P Value </w:t>
      </w:r>
      <w:r w:rsidR="008E2356">
        <w:t>&lt;</w:t>
      </w:r>
      <w:r>
        <w:t xml:space="preserve"> </w:t>
      </w:r>
      <w:r w:rsidR="008E2356">
        <w:t xml:space="preserve">0.05 was used as the criterion for statistical </w:t>
      </w:r>
      <w:r w:rsidR="001310A0">
        <w:t xml:space="preserve">significance by Obwegeser </w:t>
      </w:r>
      <w:r w:rsidR="008E2356">
        <w:t>2001.</w:t>
      </w:r>
    </w:p>
    <w:p w:rsidR="00393EC1" w:rsidRDefault="00393EC1" w:rsidP="00393EC1"/>
    <w:p w:rsidR="005F1C1E" w:rsidRPr="002561B1" w:rsidRDefault="005F1C1E" w:rsidP="005F1C1E">
      <w:pPr>
        <w:pStyle w:val="Heading50"/>
      </w:pPr>
      <w:r>
        <w:t>Meta-analysis</w:t>
      </w:r>
    </w:p>
    <w:p w:rsidR="005F1C1E" w:rsidRDefault="002209F6" w:rsidP="005F1C1E">
      <w:r w:rsidRPr="002209F6">
        <w:t xml:space="preserve">The forest </w:t>
      </w:r>
      <w:proofErr w:type="gramStart"/>
      <w:r w:rsidRPr="002209F6">
        <w:t>plots displaying the meta-analysis for RD and OR per cytological outcome is</w:t>
      </w:r>
      <w:proofErr w:type="gramEnd"/>
      <w:r w:rsidRPr="002209F6">
        <w:t xml:space="preserve"> displayed in </w:t>
      </w:r>
      <w:r w:rsidR="00086C77">
        <w:fldChar w:fldCharType="begin"/>
      </w:r>
      <w:r w:rsidR="001B592B">
        <w:instrText xml:space="preserve"> REF _Ref334087736 \h </w:instrText>
      </w:r>
      <w:r w:rsidR="00086C77">
        <w:fldChar w:fldCharType="separate"/>
      </w:r>
      <w:r w:rsidR="003361A8">
        <w:t xml:space="preserve">Figure </w:t>
      </w:r>
      <w:r w:rsidR="003361A8">
        <w:rPr>
          <w:noProof/>
        </w:rPr>
        <w:t>7</w:t>
      </w:r>
      <w:r w:rsidR="00086C77">
        <w:fldChar w:fldCharType="end"/>
      </w:r>
      <w:r w:rsidR="001B592B">
        <w:t xml:space="preserve"> </w:t>
      </w:r>
      <w:r w:rsidR="005F1C1E">
        <w:t xml:space="preserve">to </w:t>
      </w:r>
      <w:r w:rsidR="00086C77">
        <w:fldChar w:fldCharType="begin"/>
      </w:r>
      <w:r w:rsidR="001B592B">
        <w:instrText xml:space="preserve"> REF _Ref334087744 \h </w:instrText>
      </w:r>
      <w:r w:rsidR="00086C77">
        <w:fldChar w:fldCharType="separate"/>
      </w:r>
      <w:r w:rsidR="003361A8">
        <w:t xml:space="preserve">Figure </w:t>
      </w:r>
      <w:r w:rsidR="003361A8">
        <w:rPr>
          <w:noProof/>
        </w:rPr>
        <w:t>14</w:t>
      </w:r>
      <w:r w:rsidR="00086C77">
        <w:fldChar w:fldCharType="end"/>
      </w:r>
      <w:r w:rsidR="005F1C1E">
        <w:t xml:space="preserve">. </w:t>
      </w:r>
    </w:p>
    <w:p w:rsidR="00B82D1E" w:rsidRDefault="00895ADF" w:rsidP="0017645D">
      <w:r w:rsidRPr="006D3610">
        <w:t>A</w:t>
      </w:r>
      <w:r>
        <w:t xml:space="preserve"> </w:t>
      </w:r>
      <w:r>
        <w:rPr>
          <w:rFonts w:ascii="Arial Narrow" w:hAnsi="Arial Narrow"/>
        </w:rPr>
        <w:t>χ</w:t>
      </w:r>
      <w:r w:rsidRPr="00895ADF">
        <w:rPr>
          <w:vertAlign w:val="superscript"/>
        </w:rPr>
        <w:t>2</w:t>
      </w:r>
      <w:r w:rsidRPr="006D3610">
        <w:t xml:space="preserve"> test for heterogeneity among </w:t>
      </w:r>
      <w:r w:rsidR="003948F2">
        <w:t xml:space="preserve">cell enrichment and </w:t>
      </w:r>
      <w:r>
        <w:t>cell filtration stud</w:t>
      </w:r>
      <w:r w:rsidRPr="006D3610">
        <w:t>ies</w:t>
      </w:r>
      <w:r>
        <w:t xml:space="preserve"> </w:t>
      </w:r>
      <w:r w:rsidRPr="006D3610">
        <w:t>included in the meta-analysis revealed an I</w:t>
      </w:r>
      <w:r w:rsidRPr="003948F2">
        <w:rPr>
          <w:vertAlign w:val="superscript"/>
        </w:rPr>
        <w:t>2</w:t>
      </w:r>
      <w:r>
        <w:t xml:space="preserve"> of </w:t>
      </w:r>
      <w:r w:rsidR="003948F2">
        <w:t>&gt;</w:t>
      </w:r>
      <w:r w:rsidR="00F76AAC">
        <w:t xml:space="preserve"> </w:t>
      </w:r>
      <w:r w:rsidR="003948F2">
        <w:t>50</w:t>
      </w:r>
      <w:r w:rsidRPr="006D3610">
        <w:t xml:space="preserve">% </w:t>
      </w:r>
      <w:r w:rsidR="00C5775A">
        <w:t>for the majority of</w:t>
      </w:r>
      <w:r w:rsidR="003948F2">
        <w:t xml:space="preserve"> outcomes </w:t>
      </w:r>
      <w:r w:rsidR="0017645D" w:rsidRPr="006D3610">
        <w:t>indicating significant</w:t>
      </w:r>
      <w:r w:rsidR="0017645D">
        <w:t xml:space="preserve"> </w:t>
      </w:r>
      <w:r w:rsidR="0017645D" w:rsidRPr="006D3610">
        <w:t>heterogeneity among these studies</w:t>
      </w:r>
      <w:r w:rsidR="0017645D">
        <w:t xml:space="preserve">. </w:t>
      </w:r>
      <w:r w:rsidR="007B6BF2">
        <w:t>Based on a sensitivity analysis whereby one and then two studies</w:t>
      </w:r>
      <w:r w:rsidR="00EB0054">
        <w:t xml:space="preserve"> and so on</w:t>
      </w:r>
      <w:r w:rsidR="007B6BF2">
        <w:t xml:space="preserve"> were removed at a time, there were no key studies that were consistently the major driver(s) of the heterogeneity (</w:t>
      </w:r>
      <w:r w:rsidR="007B6BF2" w:rsidRPr="005F6015">
        <w:t xml:space="preserve">refer to </w:t>
      </w:r>
      <w:r w:rsidR="005F6015" w:rsidRPr="005F6015">
        <w:t>Attachment 4</w:t>
      </w:r>
      <w:r w:rsidR="007B6BF2" w:rsidRPr="005F6015">
        <w:t>).</w:t>
      </w:r>
      <w:r w:rsidR="00AC3B44" w:rsidRPr="005F6015">
        <w:t>Therefore</w:t>
      </w:r>
      <w:r w:rsidR="00AC3B44">
        <w:t xml:space="preserve">, a meta-analysis of the test yield results for the two for cell enrichment LBC and six for cell filtration LBC studies </w:t>
      </w:r>
      <w:r w:rsidR="00625202">
        <w:t>is not used to draw conclusions</w:t>
      </w:r>
      <w:r w:rsidR="00AC3B44">
        <w:t xml:space="preserve">. </w:t>
      </w:r>
    </w:p>
    <w:p w:rsidR="00895ADF" w:rsidRDefault="00AC3B44" w:rsidP="0017645D">
      <w:r>
        <w:t xml:space="preserve">Some </w:t>
      </w:r>
      <w:r w:rsidR="0032389A">
        <w:t>of the factors that likely c</w:t>
      </w:r>
      <w:r w:rsidR="00B82D1E">
        <w:t xml:space="preserve">ontributed to heterogeneity are the uneven distribution of patients within trials, as well as the </w:t>
      </w:r>
      <w:r>
        <w:t xml:space="preserve">different collection tools and </w:t>
      </w:r>
      <w:r w:rsidR="007B6BF2">
        <w:t xml:space="preserve">techniques and </w:t>
      </w:r>
      <w:r w:rsidR="0032389A">
        <w:t xml:space="preserve">the classification system used in the trials (refer </w:t>
      </w:r>
      <w:r w:rsidR="0032389A" w:rsidRPr="003F791C">
        <w:t>to section</w:t>
      </w:r>
      <w:r w:rsidR="00B82D1E">
        <w:t xml:space="preserve"> B.3,</w:t>
      </w:r>
      <w:r w:rsidR="0032389A" w:rsidRPr="003F791C">
        <w:t xml:space="preserve"> </w:t>
      </w:r>
      <w:r>
        <w:t xml:space="preserve">B.4 and </w:t>
      </w:r>
      <w:r w:rsidR="003F791C" w:rsidRPr="003F791C">
        <w:t>B.5</w:t>
      </w:r>
      <w:r w:rsidR="0032389A">
        <w:t xml:space="preserve">). </w:t>
      </w:r>
      <w:r w:rsidR="003164C2">
        <w:t>It was also reported in section B.4 that f</w:t>
      </w:r>
      <w:r w:rsidR="003164C2" w:rsidRPr="003164C2">
        <w:t>or most trials the implementation of LBC was new</w:t>
      </w:r>
      <w:r w:rsidR="00BA6369">
        <w:t xml:space="preserve"> and may theoretically result in better performance and therefore higher detection rates</w:t>
      </w:r>
      <w:r w:rsidR="009C1A30">
        <w:t xml:space="preserve"> </w:t>
      </w:r>
      <w:r w:rsidR="00BA6369">
        <w:t>(Maccallini 2008)</w:t>
      </w:r>
      <w:r w:rsidR="003164C2" w:rsidRPr="003164C2">
        <w:t>.</w:t>
      </w:r>
      <w:r w:rsidR="003164C2">
        <w:t xml:space="preserve"> </w:t>
      </w:r>
      <w:r>
        <w:t>To further explore the heterogeneity, a</w:t>
      </w:r>
      <w:r w:rsidR="00581AB7" w:rsidRPr="00581AB7">
        <w:t xml:space="preserve"> review of the </w:t>
      </w:r>
      <w:r w:rsidR="00581AB7">
        <w:t xml:space="preserve">test yield outcome for each cytological category </w:t>
      </w:r>
      <w:r w:rsidR="00581AB7" w:rsidRPr="00581AB7">
        <w:t>for the conventional cytology arm in each trial was performed</w:t>
      </w:r>
      <w:r w:rsidR="00581AB7">
        <w:t xml:space="preserve"> (</w:t>
      </w:r>
      <w:r w:rsidR="00086C77">
        <w:fldChar w:fldCharType="begin"/>
      </w:r>
      <w:r w:rsidR="00581AB7">
        <w:instrText xml:space="preserve"> REF _Ref336424990 \h </w:instrText>
      </w:r>
      <w:r w:rsidR="00086C77">
        <w:fldChar w:fldCharType="separate"/>
      </w:r>
      <w:r w:rsidR="003361A8">
        <w:t xml:space="preserve">Table </w:t>
      </w:r>
      <w:r w:rsidR="003361A8">
        <w:rPr>
          <w:noProof/>
        </w:rPr>
        <w:t>39</w:t>
      </w:r>
      <w:r w:rsidR="00086C77">
        <w:fldChar w:fldCharType="end"/>
      </w:r>
      <w:r w:rsidR="00581AB7">
        <w:t xml:space="preserve">). </w:t>
      </w:r>
      <w:r w:rsidR="00581AB7" w:rsidRPr="00581AB7">
        <w:t xml:space="preserve">There was considerable variation in the </w:t>
      </w:r>
      <w:r w:rsidRPr="00AC3B44">
        <w:t xml:space="preserve">distribution of cytological outcomes </w:t>
      </w:r>
      <w:r w:rsidR="007F0430">
        <w:t xml:space="preserve">for each classification </w:t>
      </w:r>
      <w:r w:rsidRPr="00AC3B44">
        <w:t>in the conventional arms from the RCTs</w:t>
      </w:r>
      <w:r>
        <w:t xml:space="preserve">. </w:t>
      </w:r>
      <w:r w:rsidR="007F0430">
        <w:t>A</w:t>
      </w:r>
      <w:r w:rsidR="007823AF">
        <w:t xml:space="preserve">n indirect comparison could not be performed </w:t>
      </w:r>
      <w:r w:rsidR="007F0430">
        <w:t xml:space="preserve">for any test yield </w:t>
      </w:r>
      <w:r w:rsidR="001A3CFB">
        <w:t>outcomes</w:t>
      </w:r>
      <w:r w:rsidR="007F0430">
        <w:t xml:space="preserve"> </w:t>
      </w:r>
      <w:r w:rsidR="007823AF">
        <w:t>between cell enrichment LBC and cell filtration LBC due to the variability in test yield outcomes in the conventional cytology arm</w:t>
      </w:r>
      <w:r w:rsidR="007F0430">
        <w:t xml:space="preserve"> (common </w:t>
      </w:r>
      <w:r w:rsidR="007F0430">
        <w:lastRenderedPageBreak/>
        <w:t>reference)</w:t>
      </w:r>
      <w:r w:rsidR="007823AF">
        <w:t xml:space="preserve"> across trials. </w:t>
      </w:r>
      <w:r w:rsidR="007F0430">
        <w:t xml:space="preserve"> In this instance, unlike the rate of </w:t>
      </w:r>
      <w:r w:rsidR="001A3CFB">
        <w:t>unsatisfactory</w:t>
      </w:r>
      <w:r w:rsidR="007F0430">
        <w:t xml:space="preserve"> outcomes, there were no cell filtration </w:t>
      </w:r>
      <w:r w:rsidR="00B03F70">
        <w:t xml:space="preserve">LBC </w:t>
      </w:r>
      <w:r w:rsidR="007F0430">
        <w:t xml:space="preserve">trials </w:t>
      </w:r>
      <w:r w:rsidR="00B03F70">
        <w:t xml:space="preserve">with baseline rates of Normal, ASCUS (pLSIL), LSIL or HSIL outcomes that were comparable with either of the cell enrichment LBC trials. </w:t>
      </w:r>
    </w:p>
    <w:p w:rsidR="002209F6" w:rsidRPr="002209F6" w:rsidRDefault="002209F6" w:rsidP="002209F6">
      <w:pPr>
        <w:pStyle w:val="Caption"/>
      </w:pPr>
      <w:bookmarkStart w:id="340" w:name="_Ref336424990"/>
      <w:bookmarkStart w:id="341" w:name="_Toc337546976"/>
      <w:r>
        <w:t xml:space="preserve">Table </w:t>
      </w:r>
      <w:fldSimple w:instr=" SEQ Table \* ARABIC ">
        <w:r w:rsidR="003361A8">
          <w:rPr>
            <w:noProof/>
          </w:rPr>
          <w:t>39</w:t>
        </w:r>
      </w:fldSimple>
      <w:bookmarkEnd w:id="340"/>
      <w:r>
        <w:tab/>
        <w:t>Test Yield</w:t>
      </w:r>
      <w:r w:rsidRPr="002209F6">
        <w:t xml:space="preserve"> with conventional cytology by </w:t>
      </w:r>
      <w:r>
        <w:t>study</w:t>
      </w:r>
      <w:bookmarkEnd w:id="341"/>
    </w:p>
    <w:tbl>
      <w:tblPr>
        <w:tblW w:w="46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2"/>
        <w:gridCol w:w="1383"/>
        <w:gridCol w:w="1276"/>
        <w:gridCol w:w="1276"/>
        <w:gridCol w:w="1418"/>
        <w:gridCol w:w="1276"/>
      </w:tblGrid>
      <w:tr w:rsidR="00BA6369" w:rsidRPr="00B150E4" w:rsidTr="00BA6369">
        <w:tc>
          <w:tcPr>
            <w:tcW w:w="1021" w:type="pct"/>
          </w:tcPr>
          <w:p w:rsidR="00BA6369" w:rsidRPr="00B150E4" w:rsidRDefault="00BA6369" w:rsidP="002209F6">
            <w:pPr>
              <w:pStyle w:val="Tabletext"/>
              <w:rPr>
                <w:b/>
              </w:rPr>
            </w:pPr>
            <w:r>
              <w:rPr>
                <w:b/>
              </w:rPr>
              <w:t>Study a</w:t>
            </w:r>
            <w:r w:rsidRPr="00B150E4">
              <w:rPr>
                <w:b/>
              </w:rPr>
              <w:t>uthor</w:t>
            </w:r>
          </w:p>
        </w:tc>
        <w:tc>
          <w:tcPr>
            <w:tcW w:w="830" w:type="pct"/>
          </w:tcPr>
          <w:p w:rsidR="00BA6369" w:rsidRPr="00B150E4" w:rsidRDefault="00BA6369" w:rsidP="002209F6">
            <w:pPr>
              <w:pStyle w:val="Tabletext"/>
              <w:rPr>
                <w:b/>
              </w:rPr>
            </w:pPr>
            <w:r>
              <w:rPr>
                <w:b/>
              </w:rPr>
              <w:t>Normal</w:t>
            </w:r>
          </w:p>
        </w:tc>
        <w:tc>
          <w:tcPr>
            <w:tcW w:w="766" w:type="pct"/>
          </w:tcPr>
          <w:p w:rsidR="00BA6369" w:rsidRPr="00B150E4" w:rsidRDefault="00BA6369" w:rsidP="002209F6">
            <w:pPr>
              <w:pStyle w:val="Tabletext"/>
              <w:rPr>
                <w:b/>
              </w:rPr>
            </w:pPr>
            <w:r>
              <w:rPr>
                <w:b/>
              </w:rPr>
              <w:t>ASCUS</w:t>
            </w:r>
            <w:r w:rsidRPr="00B150E4">
              <w:rPr>
                <w:b/>
              </w:rPr>
              <w:t xml:space="preserve"> </w:t>
            </w:r>
          </w:p>
        </w:tc>
        <w:tc>
          <w:tcPr>
            <w:tcW w:w="766" w:type="pct"/>
          </w:tcPr>
          <w:p w:rsidR="00BA6369" w:rsidRPr="00B150E4" w:rsidRDefault="00BA6369" w:rsidP="002209F6">
            <w:pPr>
              <w:pStyle w:val="Tabletext"/>
              <w:rPr>
                <w:b/>
              </w:rPr>
            </w:pPr>
            <w:r>
              <w:rPr>
                <w:b/>
              </w:rPr>
              <w:t>LSIL</w:t>
            </w:r>
          </w:p>
        </w:tc>
        <w:tc>
          <w:tcPr>
            <w:tcW w:w="851" w:type="pct"/>
          </w:tcPr>
          <w:p w:rsidR="00BA6369" w:rsidRDefault="00BA6369" w:rsidP="002209F6">
            <w:pPr>
              <w:pStyle w:val="Tabletext"/>
              <w:rPr>
                <w:b/>
              </w:rPr>
            </w:pPr>
            <w:r>
              <w:rPr>
                <w:b/>
              </w:rPr>
              <w:t>HSIL</w:t>
            </w:r>
          </w:p>
        </w:tc>
        <w:tc>
          <w:tcPr>
            <w:tcW w:w="766" w:type="pct"/>
          </w:tcPr>
          <w:p w:rsidR="00BA6369" w:rsidRDefault="00BA6369" w:rsidP="002209F6">
            <w:pPr>
              <w:pStyle w:val="Tabletext"/>
              <w:rPr>
                <w:b/>
              </w:rPr>
            </w:pPr>
            <w:r>
              <w:rPr>
                <w:b/>
              </w:rPr>
              <w:t>Source</w:t>
            </w:r>
          </w:p>
        </w:tc>
      </w:tr>
      <w:tr w:rsidR="00BA6369" w:rsidRPr="001310A0" w:rsidTr="00BA6369">
        <w:tc>
          <w:tcPr>
            <w:tcW w:w="1021" w:type="pct"/>
          </w:tcPr>
          <w:p w:rsidR="00BA6369" w:rsidRPr="001310A0" w:rsidRDefault="00BA6369" w:rsidP="002209F6">
            <w:pPr>
              <w:pStyle w:val="Tabletext"/>
            </w:pPr>
            <w:r w:rsidRPr="001310A0">
              <w:t>Beerman 2009</w:t>
            </w:r>
          </w:p>
        </w:tc>
        <w:tc>
          <w:tcPr>
            <w:tcW w:w="830" w:type="pct"/>
          </w:tcPr>
          <w:p w:rsidR="00BA6369" w:rsidRPr="001310A0" w:rsidRDefault="00BA6369" w:rsidP="002209F6">
            <w:pPr>
              <w:pStyle w:val="Tabletext"/>
            </w:pPr>
            <w:r>
              <w:t>97.47%</w:t>
            </w:r>
          </w:p>
        </w:tc>
        <w:tc>
          <w:tcPr>
            <w:tcW w:w="766" w:type="pct"/>
          </w:tcPr>
          <w:p w:rsidR="00BA6369" w:rsidRPr="001310A0" w:rsidRDefault="00BA6369" w:rsidP="002209F6">
            <w:pPr>
              <w:pStyle w:val="Tabletext"/>
            </w:pPr>
            <w:r>
              <w:t>0.87%</w:t>
            </w:r>
          </w:p>
        </w:tc>
        <w:tc>
          <w:tcPr>
            <w:tcW w:w="766" w:type="pct"/>
          </w:tcPr>
          <w:p w:rsidR="00BA6369" w:rsidRPr="001310A0" w:rsidRDefault="00BA6369" w:rsidP="002209F6">
            <w:pPr>
              <w:pStyle w:val="Tabletext"/>
            </w:pPr>
            <w:r>
              <w:t>0.22%</w:t>
            </w:r>
          </w:p>
        </w:tc>
        <w:tc>
          <w:tcPr>
            <w:tcW w:w="851" w:type="pct"/>
          </w:tcPr>
          <w:p w:rsidR="00BA6369" w:rsidRDefault="00BA6369" w:rsidP="002209F6">
            <w:pPr>
              <w:pStyle w:val="Tabletext"/>
            </w:pPr>
            <w:r>
              <w:t>0.56%</w:t>
            </w:r>
          </w:p>
        </w:tc>
        <w:tc>
          <w:tcPr>
            <w:tcW w:w="766" w:type="pct"/>
          </w:tcPr>
          <w:p w:rsidR="00BA6369" w:rsidRDefault="00086C77" w:rsidP="002209F6">
            <w:pPr>
              <w:pStyle w:val="Tabletext"/>
            </w:pPr>
            <w:r>
              <w:fldChar w:fldCharType="begin"/>
            </w:r>
            <w:r>
              <w:instrText xml:space="preserve"> REF _Ref334006555 \h  \* MERGEFORMAT </w:instrText>
            </w:r>
            <w:r>
              <w:fldChar w:fldCharType="separate"/>
            </w:r>
            <w:r w:rsidR="003361A8">
              <w:t xml:space="preserve">Table </w:t>
            </w:r>
            <w:r w:rsidR="003361A8">
              <w:rPr>
                <w:noProof/>
              </w:rPr>
              <w:t>32</w:t>
            </w:r>
            <w:r>
              <w:fldChar w:fldCharType="end"/>
            </w:r>
          </w:p>
        </w:tc>
      </w:tr>
      <w:tr w:rsidR="00BA6369" w:rsidRPr="001310A0" w:rsidTr="00BA6369">
        <w:tc>
          <w:tcPr>
            <w:tcW w:w="1021" w:type="pct"/>
          </w:tcPr>
          <w:p w:rsidR="00BA6369" w:rsidRPr="001310A0" w:rsidRDefault="00BA6369" w:rsidP="002209F6">
            <w:pPr>
              <w:pStyle w:val="Tabletext"/>
            </w:pPr>
            <w:r>
              <w:t>RODEO trial</w:t>
            </w:r>
          </w:p>
        </w:tc>
        <w:tc>
          <w:tcPr>
            <w:tcW w:w="830" w:type="pct"/>
          </w:tcPr>
          <w:p w:rsidR="00BA6369" w:rsidRDefault="00BA6369" w:rsidP="002209F6">
            <w:pPr>
              <w:pStyle w:val="Tabletext"/>
            </w:pPr>
            <w:r>
              <w:t>98.9%</w:t>
            </w:r>
          </w:p>
        </w:tc>
        <w:tc>
          <w:tcPr>
            <w:tcW w:w="766" w:type="pct"/>
          </w:tcPr>
          <w:p w:rsidR="00BA6369" w:rsidRDefault="00BA6369" w:rsidP="002209F6">
            <w:pPr>
              <w:pStyle w:val="Tabletext"/>
            </w:pPr>
            <w:r>
              <w:t>0.1%</w:t>
            </w:r>
          </w:p>
        </w:tc>
        <w:tc>
          <w:tcPr>
            <w:tcW w:w="766" w:type="pct"/>
          </w:tcPr>
          <w:p w:rsidR="00BA6369" w:rsidRPr="001310A0" w:rsidRDefault="00BA6369" w:rsidP="002209F6">
            <w:pPr>
              <w:pStyle w:val="Tabletext"/>
            </w:pPr>
            <w:r>
              <w:t>0.3%</w:t>
            </w:r>
          </w:p>
        </w:tc>
        <w:tc>
          <w:tcPr>
            <w:tcW w:w="851" w:type="pct"/>
          </w:tcPr>
          <w:p w:rsidR="00BA6369" w:rsidRDefault="00BA6369" w:rsidP="002209F6">
            <w:pPr>
              <w:pStyle w:val="Tabletext"/>
            </w:pPr>
            <w:r>
              <w:t>0.2%</w:t>
            </w:r>
          </w:p>
        </w:tc>
        <w:tc>
          <w:tcPr>
            <w:tcW w:w="766" w:type="pct"/>
          </w:tcPr>
          <w:p w:rsidR="00BA6369" w:rsidRDefault="00086C77" w:rsidP="002209F6">
            <w:pPr>
              <w:pStyle w:val="Tabletext"/>
            </w:pPr>
            <w:r>
              <w:fldChar w:fldCharType="begin"/>
            </w:r>
            <w:r w:rsidR="00BA6369">
              <w:instrText xml:space="preserve"> REF _Ref334006536 \h </w:instrText>
            </w:r>
            <w:r>
              <w:fldChar w:fldCharType="separate"/>
            </w:r>
            <w:r w:rsidR="003361A8">
              <w:t xml:space="preserve">Table </w:t>
            </w:r>
            <w:r w:rsidR="003361A8">
              <w:rPr>
                <w:noProof/>
              </w:rPr>
              <w:t>33</w:t>
            </w:r>
            <w:r>
              <w:fldChar w:fldCharType="end"/>
            </w:r>
          </w:p>
        </w:tc>
      </w:tr>
      <w:tr w:rsidR="00BA6369" w:rsidRPr="001310A0" w:rsidTr="00BA6369">
        <w:tc>
          <w:tcPr>
            <w:tcW w:w="1021" w:type="pct"/>
          </w:tcPr>
          <w:p w:rsidR="00BA6369" w:rsidRPr="001310A0" w:rsidRDefault="00BA6369" w:rsidP="002209F6">
            <w:pPr>
              <w:pStyle w:val="Tabletext"/>
            </w:pPr>
            <w:r w:rsidRPr="001310A0">
              <w:t>Ronco 2007</w:t>
            </w:r>
          </w:p>
        </w:tc>
        <w:tc>
          <w:tcPr>
            <w:tcW w:w="830" w:type="pct"/>
          </w:tcPr>
          <w:p w:rsidR="00BA6369" w:rsidRPr="001310A0" w:rsidRDefault="00BA6369" w:rsidP="002209F6">
            <w:pPr>
              <w:pStyle w:val="Tabletext"/>
            </w:pPr>
            <w:r>
              <w:t>NR</w:t>
            </w:r>
          </w:p>
        </w:tc>
        <w:tc>
          <w:tcPr>
            <w:tcW w:w="766" w:type="pct"/>
          </w:tcPr>
          <w:p w:rsidR="00BA6369" w:rsidRPr="001310A0" w:rsidRDefault="00BA6369" w:rsidP="002209F6">
            <w:pPr>
              <w:pStyle w:val="Tabletext"/>
            </w:pPr>
            <w:r>
              <w:t>2.29%</w:t>
            </w:r>
          </w:p>
        </w:tc>
        <w:tc>
          <w:tcPr>
            <w:tcW w:w="766" w:type="pct"/>
          </w:tcPr>
          <w:p w:rsidR="00BA6369" w:rsidRPr="001310A0" w:rsidRDefault="00BA6369" w:rsidP="002209F6">
            <w:pPr>
              <w:pStyle w:val="Tabletext"/>
            </w:pPr>
            <w:r>
              <w:t>1.26%</w:t>
            </w:r>
          </w:p>
        </w:tc>
        <w:tc>
          <w:tcPr>
            <w:tcW w:w="851" w:type="pct"/>
          </w:tcPr>
          <w:p w:rsidR="00BA6369" w:rsidRDefault="00BA6369" w:rsidP="002209F6">
            <w:pPr>
              <w:pStyle w:val="Tabletext"/>
            </w:pPr>
            <w:r>
              <w:t>0.26%</w:t>
            </w:r>
          </w:p>
        </w:tc>
        <w:tc>
          <w:tcPr>
            <w:tcW w:w="766" w:type="pct"/>
          </w:tcPr>
          <w:p w:rsidR="00BA6369" w:rsidRDefault="00086C77" w:rsidP="002209F6">
            <w:pPr>
              <w:pStyle w:val="Tabletext"/>
            </w:pPr>
            <w:r>
              <w:fldChar w:fldCharType="begin"/>
            </w:r>
            <w:r w:rsidR="00BA6369">
              <w:instrText xml:space="preserve"> REF _Ref332833991 \h </w:instrText>
            </w:r>
            <w:r>
              <w:fldChar w:fldCharType="separate"/>
            </w:r>
            <w:r w:rsidR="003361A8">
              <w:t xml:space="preserve">Table </w:t>
            </w:r>
            <w:r w:rsidR="003361A8">
              <w:rPr>
                <w:noProof/>
              </w:rPr>
              <w:t>34</w:t>
            </w:r>
            <w:r>
              <w:fldChar w:fldCharType="end"/>
            </w:r>
          </w:p>
        </w:tc>
      </w:tr>
      <w:tr w:rsidR="00BA6369" w:rsidRPr="001310A0" w:rsidTr="00BA6369">
        <w:tc>
          <w:tcPr>
            <w:tcW w:w="1021" w:type="pct"/>
          </w:tcPr>
          <w:p w:rsidR="00BA6369" w:rsidRPr="001310A0" w:rsidRDefault="00BA6369" w:rsidP="002209F6">
            <w:pPr>
              <w:pStyle w:val="Tabletext"/>
            </w:pPr>
            <w:r w:rsidRPr="001310A0">
              <w:t>Siebers 2008</w:t>
            </w:r>
          </w:p>
        </w:tc>
        <w:tc>
          <w:tcPr>
            <w:tcW w:w="830" w:type="pct"/>
          </w:tcPr>
          <w:p w:rsidR="00BA6369" w:rsidRPr="001310A0" w:rsidRDefault="00BA6369" w:rsidP="002209F6">
            <w:pPr>
              <w:pStyle w:val="Tabletext"/>
            </w:pPr>
            <w:r>
              <w:t>96.07%</w:t>
            </w:r>
          </w:p>
        </w:tc>
        <w:tc>
          <w:tcPr>
            <w:tcW w:w="766" w:type="pct"/>
          </w:tcPr>
          <w:p w:rsidR="00BA6369" w:rsidRPr="001310A0" w:rsidRDefault="00BA6369" w:rsidP="002209F6">
            <w:pPr>
              <w:pStyle w:val="Tabletext"/>
            </w:pPr>
            <w:r>
              <w:t>1.81%</w:t>
            </w:r>
          </w:p>
        </w:tc>
        <w:tc>
          <w:tcPr>
            <w:tcW w:w="766" w:type="pct"/>
          </w:tcPr>
          <w:p w:rsidR="00BA6369" w:rsidRPr="001310A0" w:rsidRDefault="00BA6369" w:rsidP="002209F6">
            <w:pPr>
              <w:pStyle w:val="Tabletext"/>
            </w:pPr>
            <w:r>
              <w:t>0.40%</w:t>
            </w:r>
          </w:p>
        </w:tc>
        <w:tc>
          <w:tcPr>
            <w:tcW w:w="851" w:type="pct"/>
          </w:tcPr>
          <w:p w:rsidR="00BA6369" w:rsidRDefault="00BA6369" w:rsidP="002209F6">
            <w:pPr>
              <w:pStyle w:val="Tabletext"/>
            </w:pPr>
            <w:r>
              <w:t>0.64%</w:t>
            </w:r>
          </w:p>
        </w:tc>
        <w:tc>
          <w:tcPr>
            <w:tcW w:w="766" w:type="pct"/>
          </w:tcPr>
          <w:p w:rsidR="00BA6369" w:rsidRDefault="00086C77" w:rsidP="002209F6">
            <w:pPr>
              <w:pStyle w:val="Tabletext"/>
            </w:pPr>
            <w:r>
              <w:fldChar w:fldCharType="begin"/>
            </w:r>
            <w:r w:rsidR="00BA6369">
              <w:instrText xml:space="preserve"> REF _Ref332791707 \h </w:instrText>
            </w:r>
            <w:r>
              <w:fldChar w:fldCharType="separate"/>
            </w:r>
            <w:r w:rsidR="003361A8">
              <w:t xml:space="preserve">Table </w:t>
            </w:r>
            <w:r w:rsidR="003361A8">
              <w:rPr>
                <w:noProof/>
              </w:rPr>
              <w:t>35</w:t>
            </w:r>
            <w:r>
              <w:fldChar w:fldCharType="end"/>
            </w:r>
          </w:p>
        </w:tc>
      </w:tr>
      <w:tr w:rsidR="00BA6369" w:rsidRPr="001310A0" w:rsidTr="00BA6369">
        <w:tc>
          <w:tcPr>
            <w:tcW w:w="1021" w:type="pct"/>
          </w:tcPr>
          <w:p w:rsidR="00BA6369" w:rsidRPr="001310A0" w:rsidRDefault="00BA6369" w:rsidP="002209F6">
            <w:pPr>
              <w:pStyle w:val="Tabletext"/>
            </w:pPr>
            <w:r w:rsidRPr="001310A0">
              <w:t>Strander 2007</w:t>
            </w:r>
          </w:p>
        </w:tc>
        <w:tc>
          <w:tcPr>
            <w:tcW w:w="830" w:type="pct"/>
          </w:tcPr>
          <w:p w:rsidR="00BA6369" w:rsidRPr="001310A0" w:rsidRDefault="00BA6369" w:rsidP="002209F6">
            <w:pPr>
              <w:pStyle w:val="Tabletext"/>
            </w:pPr>
            <w:r>
              <w:t>96.5%</w:t>
            </w:r>
          </w:p>
        </w:tc>
        <w:tc>
          <w:tcPr>
            <w:tcW w:w="766" w:type="pct"/>
          </w:tcPr>
          <w:p w:rsidR="00BA6369" w:rsidRPr="001310A0" w:rsidRDefault="00BA6369" w:rsidP="002209F6">
            <w:pPr>
              <w:pStyle w:val="Tabletext"/>
            </w:pPr>
            <w:r>
              <w:t>1.4%</w:t>
            </w:r>
          </w:p>
        </w:tc>
        <w:tc>
          <w:tcPr>
            <w:tcW w:w="766" w:type="pct"/>
          </w:tcPr>
          <w:p w:rsidR="00BA6369" w:rsidRPr="001310A0" w:rsidRDefault="00BA6369" w:rsidP="002209F6">
            <w:pPr>
              <w:pStyle w:val="Tabletext"/>
            </w:pPr>
            <w:r>
              <w:t>1.0%</w:t>
            </w:r>
          </w:p>
        </w:tc>
        <w:tc>
          <w:tcPr>
            <w:tcW w:w="851" w:type="pct"/>
          </w:tcPr>
          <w:p w:rsidR="00BA6369" w:rsidRDefault="00BA6369" w:rsidP="002209F6">
            <w:pPr>
              <w:pStyle w:val="Tabletext"/>
            </w:pPr>
            <w:r>
              <w:t>0.5%</w:t>
            </w:r>
          </w:p>
        </w:tc>
        <w:tc>
          <w:tcPr>
            <w:tcW w:w="766" w:type="pct"/>
          </w:tcPr>
          <w:p w:rsidR="00BA6369" w:rsidRDefault="00086C77" w:rsidP="002209F6">
            <w:pPr>
              <w:pStyle w:val="Tabletext"/>
            </w:pPr>
            <w:r>
              <w:fldChar w:fldCharType="begin"/>
            </w:r>
            <w:r w:rsidR="00BA6369">
              <w:instrText xml:space="preserve"> REF _Ref332713485 \h </w:instrText>
            </w:r>
            <w:r>
              <w:fldChar w:fldCharType="separate"/>
            </w:r>
            <w:r w:rsidR="003361A8">
              <w:t xml:space="preserve">Table </w:t>
            </w:r>
            <w:r w:rsidR="003361A8">
              <w:rPr>
                <w:noProof/>
              </w:rPr>
              <w:t>36</w:t>
            </w:r>
            <w:r>
              <w:fldChar w:fldCharType="end"/>
            </w:r>
          </w:p>
        </w:tc>
      </w:tr>
      <w:tr w:rsidR="00BA6369" w:rsidRPr="001310A0" w:rsidTr="00BA6369">
        <w:tc>
          <w:tcPr>
            <w:tcW w:w="1021" w:type="pct"/>
          </w:tcPr>
          <w:p w:rsidR="00BA6369" w:rsidRPr="001310A0" w:rsidRDefault="00BA6369" w:rsidP="002209F6">
            <w:pPr>
              <w:pStyle w:val="Tabletext"/>
            </w:pPr>
            <w:r w:rsidRPr="001310A0">
              <w:t>Mac</w:t>
            </w:r>
            <w:r>
              <w:t>c</w:t>
            </w:r>
            <w:r w:rsidRPr="001310A0">
              <w:t>allini 2008</w:t>
            </w:r>
          </w:p>
        </w:tc>
        <w:tc>
          <w:tcPr>
            <w:tcW w:w="830" w:type="pct"/>
          </w:tcPr>
          <w:p w:rsidR="00BA6369" w:rsidRPr="001310A0" w:rsidRDefault="00BA6369" w:rsidP="002209F6">
            <w:pPr>
              <w:pStyle w:val="Tabletext"/>
            </w:pPr>
            <w:r>
              <w:t>90.7%</w:t>
            </w:r>
          </w:p>
        </w:tc>
        <w:tc>
          <w:tcPr>
            <w:tcW w:w="766" w:type="pct"/>
          </w:tcPr>
          <w:p w:rsidR="00BA6369" w:rsidRPr="001310A0" w:rsidRDefault="00BA6369" w:rsidP="002209F6">
            <w:pPr>
              <w:pStyle w:val="Tabletext"/>
            </w:pPr>
            <w:r>
              <w:t>3.7%</w:t>
            </w:r>
          </w:p>
        </w:tc>
        <w:tc>
          <w:tcPr>
            <w:tcW w:w="766" w:type="pct"/>
          </w:tcPr>
          <w:p w:rsidR="00BA6369" w:rsidRPr="001310A0" w:rsidRDefault="00BA6369" w:rsidP="002209F6">
            <w:pPr>
              <w:pStyle w:val="Tabletext"/>
            </w:pPr>
            <w:r>
              <w:t>0.8%</w:t>
            </w:r>
          </w:p>
        </w:tc>
        <w:tc>
          <w:tcPr>
            <w:tcW w:w="851" w:type="pct"/>
          </w:tcPr>
          <w:p w:rsidR="00BA6369" w:rsidRDefault="00BA6369" w:rsidP="002209F6">
            <w:pPr>
              <w:pStyle w:val="Tabletext"/>
            </w:pPr>
            <w:r>
              <w:t>0.5%</w:t>
            </w:r>
          </w:p>
        </w:tc>
        <w:tc>
          <w:tcPr>
            <w:tcW w:w="766" w:type="pct"/>
          </w:tcPr>
          <w:p w:rsidR="00BA6369" w:rsidRDefault="00086C77" w:rsidP="002209F6">
            <w:pPr>
              <w:pStyle w:val="Tabletext"/>
            </w:pPr>
            <w:r>
              <w:fldChar w:fldCharType="begin"/>
            </w:r>
            <w:r w:rsidR="00BA6369">
              <w:instrText xml:space="preserve"> REF _Ref331493890 \h </w:instrText>
            </w:r>
            <w:r>
              <w:fldChar w:fldCharType="separate"/>
            </w:r>
            <w:r w:rsidR="003361A8">
              <w:t xml:space="preserve">Table </w:t>
            </w:r>
            <w:r w:rsidR="003361A8">
              <w:rPr>
                <w:noProof/>
              </w:rPr>
              <w:t>37</w:t>
            </w:r>
            <w:r>
              <w:fldChar w:fldCharType="end"/>
            </w:r>
          </w:p>
        </w:tc>
      </w:tr>
      <w:tr w:rsidR="00BA6369" w:rsidRPr="001310A0" w:rsidTr="00BA6369">
        <w:tc>
          <w:tcPr>
            <w:tcW w:w="1021" w:type="pct"/>
          </w:tcPr>
          <w:p w:rsidR="00BA6369" w:rsidRPr="001310A0" w:rsidRDefault="00BA6369" w:rsidP="002209F6">
            <w:pPr>
              <w:pStyle w:val="Tabletext"/>
            </w:pPr>
            <w:r w:rsidRPr="001310A0">
              <w:t>Obwegeser 2001</w:t>
            </w:r>
          </w:p>
        </w:tc>
        <w:tc>
          <w:tcPr>
            <w:tcW w:w="830" w:type="pct"/>
          </w:tcPr>
          <w:p w:rsidR="00BA6369" w:rsidRPr="001310A0" w:rsidRDefault="00BA6369" w:rsidP="002209F6">
            <w:pPr>
              <w:pStyle w:val="Tabletext"/>
            </w:pPr>
            <w:r>
              <w:t>92.9%</w:t>
            </w:r>
          </w:p>
        </w:tc>
        <w:tc>
          <w:tcPr>
            <w:tcW w:w="766" w:type="pct"/>
          </w:tcPr>
          <w:p w:rsidR="00BA6369" w:rsidRPr="001310A0" w:rsidRDefault="00BA6369" w:rsidP="002209F6">
            <w:pPr>
              <w:pStyle w:val="Tabletext"/>
            </w:pPr>
            <w:r>
              <w:t>1.4%</w:t>
            </w:r>
          </w:p>
        </w:tc>
        <w:tc>
          <w:tcPr>
            <w:tcW w:w="766" w:type="pct"/>
          </w:tcPr>
          <w:p w:rsidR="00BA6369" w:rsidRPr="001310A0" w:rsidRDefault="00BA6369" w:rsidP="002209F6">
            <w:pPr>
              <w:pStyle w:val="Tabletext"/>
            </w:pPr>
            <w:r>
              <w:t>3.7%</w:t>
            </w:r>
          </w:p>
        </w:tc>
        <w:tc>
          <w:tcPr>
            <w:tcW w:w="851" w:type="pct"/>
          </w:tcPr>
          <w:p w:rsidR="00BA6369" w:rsidRDefault="00BA6369" w:rsidP="002209F6">
            <w:pPr>
              <w:pStyle w:val="Tabletext"/>
            </w:pPr>
            <w:r>
              <w:t>1.8%</w:t>
            </w:r>
          </w:p>
        </w:tc>
        <w:tc>
          <w:tcPr>
            <w:tcW w:w="766" w:type="pct"/>
          </w:tcPr>
          <w:p w:rsidR="00BA6369" w:rsidRDefault="00086C77" w:rsidP="002209F6">
            <w:pPr>
              <w:pStyle w:val="Tabletext"/>
            </w:pPr>
            <w:r>
              <w:fldChar w:fldCharType="begin"/>
            </w:r>
            <w:r w:rsidR="00BA6369">
              <w:instrText xml:space="preserve"> REF _Ref331491461 \h </w:instrText>
            </w:r>
            <w:r>
              <w:fldChar w:fldCharType="separate"/>
            </w:r>
            <w:r w:rsidR="003361A8">
              <w:t xml:space="preserve">Table </w:t>
            </w:r>
            <w:r w:rsidR="003361A8">
              <w:rPr>
                <w:noProof/>
              </w:rPr>
              <w:t>38</w:t>
            </w:r>
            <w:r>
              <w:fldChar w:fldCharType="end"/>
            </w:r>
          </w:p>
        </w:tc>
      </w:tr>
    </w:tbl>
    <w:p w:rsidR="002209F6" w:rsidRDefault="002209F6" w:rsidP="0017645D"/>
    <w:p w:rsidR="00B22D2F" w:rsidRDefault="00C5775A" w:rsidP="00C5775A">
      <w:r>
        <w:t xml:space="preserve">There are </w:t>
      </w:r>
      <w:r w:rsidR="00B03F70">
        <w:t xml:space="preserve">fewer </w:t>
      </w:r>
      <w:proofErr w:type="gramStart"/>
      <w:r w:rsidR="00B03F70">
        <w:t xml:space="preserve">trials </w:t>
      </w:r>
      <w:r>
        <w:t xml:space="preserve"> on</w:t>
      </w:r>
      <w:proofErr w:type="gramEnd"/>
      <w:r>
        <w:t xml:space="preserve"> which to make the conclusion of comparative test yield outcomes between </w:t>
      </w:r>
      <w:r w:rsidR="005A7021">
        <w:t xml:space="preserve">cell enrichment </w:t>
      </w:r>
      <w:r>
        <w:t>LBC and conventional cytology</w:t>
      </w:r>
      <w:r w:rsidR="005A7021">
        <w:t xml:space="preserve"> </w:t>
      </w:r>
      <w:r w:rsidR="00B03F70">
        <w:t xml:space="preserve">compared with the number of </w:t>
      </w:r>
      <w:r w:rsidR="005A7021">
        <w:t>cell filtration LBC versus conventional cytology</w:t>
      </w:r>
      <w:r w:rsidR="00B03F70">
        <w:t xml:space="preserve"> trials</w:t>
      </w:r>
      <w:r w:rsidR="005A7021">
        <w:t>. Furthermore the baseline test yield results vary between trials as does the relative difference.</w:t>
      </w:r>
      <w:r w:rsidR="00B22D2F">
        <w:t xml:space="preserve"> It is important to recognise </w:t>
      </w:r>
      <w:r w:rsidR="00C06175">
        <w:t xml:space="preserve">that </w:t>
      </w:r>
      <w:r w:rsidR="00B22D2F">
        <w:t xml:space="preserve">the differences in test yield outcomes between LBC and conventional cytology </w:t>
      </w:r>
      <w:r w:rsidR="009E545F">
        <w:t>are</w:t>
      </w:r>
      <w:r w:rsidR="00B22D2F">
        <w:t xml:space="preserve"> very small with 0.0</w:t>
      </w:r>
      <w:r w:rsidR="009E545F">
        <w:t>4</w:t>
      </w:r>
      <w:r w:rsidR="00B22D2F">
        <w:t xml:space="preserve"> </w:t>
      </w:r>
      <w:r w:rsidR="009E545F">
        <w:t xml:space="preserve">(4%) </w:t>
      </w:r>
      <w:r w:rsidR="00B22D2F">
        <w:t>being the largest RD reported</w:t>
      </w:r>
      <w:r w:rsidR="009E545F">
        <w:t xml:space="preserve"> in an individual trial (Macallini 2008). </w:t>
      </w:r>
      <w:r w:rsidR="00C06175">
        <w:t>Overall</w:t>
      </w:r>
      <w:r w:rsidR="005A7021">
        <w:t xml:space="preserve"> any conclusions </w:t>
      </w:r>
      <w:r w:rsidR="00B22D2F">
        <w:t xml:space="preserve">regarding </w:t>
      </w:r>
      <w:r w:rsidR="009E545F">
        <w:t xml:space="preserve">differences in </w:t>
      </w:r>
      <w:r w:rsidR="00B22D2F">
        <w:t xml:space="preserve">test yield outcomes </w:t>
      </w:r>
      <w:r w:rsidR="009E545F">
        <w:t xml:space="preserve">between the tests </w:t>
      </w:r>
      <w:r w:rsidR="005A7021">
        <w:t xml:space="preserve">should be </w:t>
      </w:r>
      <w:r w:rsidR="00B8642E">
        <w:t xml:space="preserve">viewed </w:t>
      </w:r>
      <w:r w:rsidR="005A7021">
        <w:t xml:space="preserve">with caution. </w:t>
      </w:r>
    </w:p>
    <w:p w:rsidR="00740986" w:rsidRDefault="00B82D1E" w:rsidP="00C5775A">
      <w:r>
        <w:t>The results for the two cell enrichment LBC trials consistently indicate significantly lower rates of normal and significantly higher rates of ASCUS outcomes.</w:t>
      </w:r>
      <w:r w:rsidR="00AB03B3">
        <w:t xml:space="preserve"> </w:t>
      </w:r>
      <w:r w:rsidR="00740986">
        <w:t>Unlike the Beerman 2009 trial t</w:t>
      </w:r>
      <w:r w:rsidR="00AB03B3">
        <w:t>he RODEO trial reports a significant increase in LSIL detected with cell enrichment LBC versus conventional cytology</w:t>
      </w:r>
      <w:r w:rsidR="00740986">
        <w:t>. H</w:t>
      </w:r>
      <w:r w:rsidR="00AB03B3">
        <w:t xml:space="preserve">owever the sample size </w:t>
      </w:r>
      <w:r w:rsidR="00B22D2F">
        <w:t>for the RODE</w:t>
      </w:r>
      <w:r w:rsidR="00C06175">
        <w:t>O</w:t>
      </w:r>
      <w:r w:rsidR="00B22D2F">
        <w:t xml:space="preserve"> trial </w:t>
      </w:r>
      <w:r w:rsidR="00AB03B3">
        <w:t xml:space="preserve">is much smaller than the Beerman </w:t>
      </w:r>
      <w:r w:rsidR="00740986">
        <w:t xml:space="preserve">2009 </w:t>
      </w:r>
      <w:r w:rsidR="00AB03B3">
        <w:t xml:space="preserve">trial </w:t>
      </w:r>
      <w:r w:rsidR="00740986">
        <w:t xml:space="preserve">and </w:t>
      </w:r>
      <w:r w:rsidR="00740986" w:rsidRPr="00740986">
        <w:t xml:space="preserve">it </w:t>
      </w:r>
      <w:r w:rsidR="00140CA4" w:rsidRPr="00740986">
        <w:t>represents a</w:t>
      </w:r>
      <w:r w:rsidR="00740986" w:rsidRPr="00740986">
        <w:t xml:space="preserve"> different geographical location (remote areas of Brazil) and type of health service (recruitment through mobile units</w:t>
      </w:r>
      <w:r w:rsidR="00740986">
        <w:t xml:space="preserve">, refer to section B.4). </w:t>
      </w:r>
      <w:r w:rsidR="002E35E3">
        <w:t xml:space="preserve">This is the likely reason for the heterogeneity noted upon pooling the cell enrichment </w:t>
      </w:r>
      <w:r w:rsidR="00B22D2F">
        <w:t xml:space="preserve">LBC </w:t>
      </w:r>
      <w:r w:rsidR="002E35E3">
        <w:t xml:space="preserve">trials and provides a rationale for using the </w:t>
      </w:r>
      <w:r w:rsidR="00B22D2F">
        <w:t>test yield conclusions from</w:t>
      </w:r>
      <w:r w:rsidR="002E35E3">
        <w:t xml:space="preserve"> the Beerman 2009 trial</w:t>
      </w:r>
      <w:r w:rsidR="00740986">
        <w:t xml:space="preserve">. </w:t>
      </w:r>
    </w:p>
    <w:p w:rsidR="00C5775A" w:rsidRDefault="00B82D1E" w:rsidP="00C5775A">
      <w:r>
        <w:t>The direction of the point estimates for each cytological outcome is more variable with the six cell filtration LBC trials</w:t>
      </w:r>
      <w:r w:rsidR="009E545F">
        <w:t xml:space="preserve">. There </w:t>
      </w:r>
      <w:r>
        <w:t>is more LSIL detected with cell filtration LBC compared with conventional cytology</w:t>
      </w:r>
      <w:r w:rsidR="00C06175">
        <w:t xml:space="preserve"> in half of the cell filtration trials </w:t>
      </w:r>
      <w:r w:rsidR="00B8642E">
        <w:t xml:space="preserve">however </w:t>
      </w:r>
      <w:r w:rsidR="00C06175">
        <w:t>no</w:t>
      </w:r>
      <w:r w:rsidR="00B22D2F">
        <w:t xml:space="preserve"> conclusions </w:t>
      </w:r>
      <w:r w:rsidR="00C06175">
        <w:t xml:space="preserve">regarding test yield outcomes </w:t>
      </w:r>
      <w:r w:rsidR="00B22D2F">
        <w:t xml:space="preserve">can be made </w:t>
      </w:r>
      <w:r w:rsidR="00C06175">
        <w:t>for cell filtration trials.</w:t>
      </w:r>
    </w:p>
    <w:p w:rsidR="00527B1E" w:rsidRDefault="00450A9F" w:rsidP="00BA6369">
      <w:pPr>
        <w:pStyle w:val="Tabletext"/>
        <w:spacing w:after="0"/>
      </w:pPr>
      <w:r w:rsidRPr="00450A9F">
        <w:lastRenderedPageBreak/>
        <w:t xml:space="preserve"> </w:t>
      </w:r>
      <w:r w:rsidR="00CB6A66">
        <w:rPr>
          <w:noProof/>
          <w:lang w:eastAsia="en-AU"/>
        </w:rPr>
        <w:drawing>
          <wp:inline distT="0" distB="0" distL="0" distR="0">
            <wp:extent cx="5581650" cy="327787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527B1E" w:rsidRDefault="00527B1E" w:rsidP="00111534">
      <w:pPr>
        <w:pStyle w:val="Caption"/>
        <w:keepNext w:val="0"/>
        <w:tabs>
          <w:tab w:val="left" w:pos="720"/>
          <w:tab w:val="left" w:pos="1440"/>
          <w:tab w:val="left" w:pos="2160"/>
          <w:tab w:val="left" w:pos="2880"/>
          <w:tab w:val="left" w:pos="3600"/>
          <w:tab w:val="left" w:pos="4320"/>
          <w:tab w:val="left" w:pos="5040"/>
          <w:tab w:val="left" w:pos="5505"/>
        </w:tabs>
      </w:pPr>
      <w:bookmarkStart w:id="342" w:name="_Ref334087736"/>
      <w:bookmarkStart w:id="343" w:name="_Toc337547057"/>
      <w:r>
        <w:t xml:space="preserve">Figure </w:t>
      </w:r>
      <w:fldSimple w:instr=" SEQ Figure \* ARABIC ">
        <w:r w:rsidR="003361A8">
          <w:rPr>
            <w:noProof/>
          </w:rPr>
          <w:t>7</w:t>
        </w:r>
      </w:fldSimple>
      <w:bookmarkEnd w:id="342"/>
      <w:r w:rsidR="00111534">
        <w:tab/>
        <w:t xml:space="preserve">Forest plot: Proportion of normal cytology </w:t>
      </w:r>
      <w:r>
        <w:t>(RD)</w:t>
      </w:r>
      <w:bookmarkEnd w:id="343"/>
    </w:p>
    <w:p w:rsidR="00111534" w:rsidRPr="00111534" w:rsidRDefault="00111534" w:rsidP="00111534"/>
    <w:p w:rsidR="001B592B" w:rsidRDefault="00CB6A66" w:rsidP="00173D85">
      <w:pPr>
        <w:pStyle w:val="Tabletext"/>
        <w:spacing w:after="0"/>
      </w:pPr>
      <w:r>
        <w:rPr>
          <w:noProof/>
          <w:lang w:eastAsia="en-AU"/>
        </w:rPr>
        <w:drawing>
          <wp:inline distT="0" distB="0" distL="0" distR="0">
            <wp:extent cx="5581650" cy="327787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925117" w:rsidRDefault="001B592B">
      <w:pPr>
        <w:pStyle w:val="Caption"/>
        <w:keepNext w:val="0"/>
        <w:ind w:left="0" w:firstLine="0"/>
      </w:pPr>
      <w:bookmarkStart w:id="344" w:name="_Toc337547058"/>
      <w:r>
        <w:t xml:space="preserve">Figure </w:t>
      </w:r>
      <w:fldSimple w:instr=" SEQ Figure \* ARABIC ">
        <w:r w:rsidR="003361A8">
          <w:rPr>
            <w:noProof/>
          </w:rPr>
          <w:t>8</w:t>
        </w:r>
      </w:fldSimple>
      <w:r>
        <w:tab/>
      </w:r>
      <w:r w:rsidR="00111534">
        <w:t xml:space="preserve">Forest plot: Proportion of normal cytology </w:t>
      </w:r>
      <w:r>
        <w:t>(OR)</w:t>
      </w:r>
      <w:r w:rsidR="00B03F70">
        <w:br/>
      </w:r>
      <w:r w:rsidR="00D51F91" w:rsidRPr="00D51F91">
        <w:rPr>
          <w:b w:val="0"/>
          <w:sz w:val="18"/>
          <w:szCs w:val="18"/>
        </w:rPr>
        <w:t>An OR&lt;1 indicates a greater proportion of findings with LBC compared with conventional cytology</w:t>
      </w:r>
      <w:bookmarkEnd w:id="344"/>
      <w:r w:rsidR="00B03F70">
        <w:t xml:space="preserve"> </w:t>
      </w:r>
    </w:p>
    <w:p w:rsidR="00173D85" w:rsidRPr="00173D85" w:rsidRDefault="00173D85" w:rsidP="00173D85"/>
    <w:p w:rsidR="008C6F68" w:rsidRDefault="00CB6A66" w:rsidP="00173D85">
      <w:pPr>
        <w:pStyle w:val="Tabletext"/>
        <w:spacing w:after="0"/>
      </w:pPr>
      <w:r>
        <w:rPr>
          <w:noProof/>
          <w:lang w:eastAsia="en-AU"/>
        </w:rPr>
        <w:lastRenderedPageBreak/>
        <w:drawing>
          <wp:inline distT="0" distB="0" distL="0" distR="0">
            <wp:extent cx="5581650" cy="327787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8C6F68" w:rsidRDefault="008C6F68" w:rsidP="00111534">
      <w:pPr>
        <w:pStyle w:val="Caption"/>
        <w:keepNext w:val="0"/>
      </w:pPr>
      <w:bookmarkStart w:id="345" w:name="_Toc337547059"/>
      <w:r>
        <w:t xml:space="preserve">Figure </w:t>
      </w:r>
      <w:fldSimple w:instr=" SEQ Figure \* ARABIC ">
        <w:r w:rsidR="003361A8">
          <w:rPr>
            <w:noProof/>
          </w:rPr>
          <w:t>9</w:t>
        </w:r>
      </w:fldSimple>
      <w:r>
        <w:tab/>
      </w:r>
      <w:r w:rsidR="00111534">
        <w:t xml:space="preserve">Forest plot: </w:t>
      </w:r>
      <w:r>
        <w:t>Proportion</w:t>
      </w:r>
      <w:r w:rsidR="00111534">
        <w:t xml:space="preserve"> of ASCUS cytology </w:t>
      </w:r>
      <w:r>
        <w:t>(RD)</w:t>
      </w:r>
      <w:bookmarkEnd w:id="345"/>
    </w:p>
    <w:p w:rsidR="001B592B" w:rsidRDefault="00CB6A66" w:rsidP="00173D85">
      <w:pPr>
        <w:pStyle w:val="Tabletext"/>
        <w:spacing w:after="0"/>
      </w:pPr>
      <w:r>
        <w:rPr>
          <w:noProof/>
          <w:lang w:eastAsia="en-AU"/>
        </w:rPr>
        <w:drawing>
          <wp:inline distT="0" distB="0" distL="0" distR="0">
            <wp:extent cx="5581650" cy="327787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925117" w:rsidRDefault="001B592B">
      <w:pPr>
        <w:pStyle w:val="Caption"/>
        <w:keepNext w:val="0"/>
        <w:ind w:left="0" w:firstLine="0"/>
      </w:pPr>
      <w:bookmarkStart w:id="346" w:name="_Ref336441304"/>
      <w:bookmarkStart w:id="347" w:name="_Toc337547060"/>
      <w:r>
        <w:t xml:space="preserve">Figure </w:t>
      </w:r>
      <w:fldSimple w:instr=" SEQ Figure \* ARABIC ">
        <w:r w:rsidR="003361A8">
          <w:rPr>
            <w:noProof/>
          </w:rPr>
          <w:t>10</w:t>
        </w:r>
      </w:fldSimple>
      <w:bookmarkEnd w:id="346"/>
      <w:r>
        <w:tab/>
      </w:r>
      <w:r w:rsidR="00111534">
        <w:t xml:space="preserve">Forest plot: </w:t>
      </w:r>
      <w:r>
        <w:t>Proportion</w:t>
      </w:r>
      <w:r w:rsidR="00111534">
        <w:t xml:space="preserve"> of ASCUS cytology </w:t>
      </w:r>
      <w:r>
        <w:t>(OR)</w:t>
      </w:r>
      <w:r w:rsidR="00B03F70">
        <w:br/>
      </w:r>
      <w:r w:rsidR="00B03F70" w:rsidRPr="00B03F70">
        <w:rPr>
          <w:b w:val="0"/>
          <w:sz w:val="18"/>
          <w:szCs w:val="18"/>
        </w:rPr>
        <w:t>An OR&lt;1 indicates a greater proportion of findings with LBC compared with conventional cytology</w:t>
      </w:r>
      <w:bookmarkEnd w:id="347"/>
    </w:p>
    <w:p w:rsidR="00173D85" w:rsidRPr="00173D85" w:rsidRDefault="00173D85" w:rsidP="00173D85"/>
    <w:p w:rsidR="008C6F68" w:rsidRDefault="00CB6A66" w:rsidP="00173D85">
      <w:pPr>
        <w:pStyle w:val="Tabletext"/>
        <w:spacing w:after="0"/>
      </w:pPr>
      <w:r>
        <w:rPr>
          <w:noProof/>
          <w:lang w:eastAsia="en-AU"/>
        </w:rPr>
        <w:lastRenderedPageBreak/>
        <w:drawing>
          <wp:inline distT="0" distB="0" distL="0" distR="0">
            <wp:extent cx="5581650" cy="327787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8C6F68" w:rsidRDefault="008C6F68" w:rsidP="00111534">
      <w:pPr>
        <w:pStyle w:val="Caption"/>
        <w:keepNext w:val="0"/>
      </w:pPr>
      <w:bookmarkStart w:id="348" w:name="_Toc337547061"/>
      <w:r>
        <w:t xml:space="preserve">Figure </w:t>
      </w:r>
      <w:fldSimple w:instr=" SEQ Figure \* ARABIC ">
        <w:r w:rsidR="003361A8">
          <w:rPr>
            <w:noProof/>
          </w:rPr>
          <w:t>11</w:t>
        </w:r>
      </w:fldSimple>
      <w:r>
        <w:tab/>
      </w:r>
      <w:r w:rsidR="00111534">
        <w:t xml:space="preserve">Forest plot: </w:t>
      </w:r>
      <w:r>
        <w:t>Proporti</w:t>
      </w:r>
      <w:r w:rsidR="00111534">
        <w:t>on of LSIL cytology</w:t>
      </w:r>
      <w:r>
        <w:t xml:space="preserve"> (RD)</w:t>
      </w:r>
      <w:bookmarkEnd w:id="348"/>
    </w:p>
    <w:p w:rsidR="00111534" w:rsidRPr="00111534" w:rsidRDefault="00111534" w:rsidP="00111534"/>
    <w:p w:rsidR="001B592B" w:rsidRDefault="00CB6A66" w:rsidP="00173D85">
      <w:pPr>
        <w:pStyle w:val="Tabletext"/>
        <w:spacing w:after="0"/>
      </w:pPr>
      <w:r>
        <w:rPr>
          <w:noProof/>
          <w:lang w:eastAsia="en-AU"/>
        </w:rPr>
        <w:drawing>
          <wp:inline distT="0" distB="0" distL="0" distR="0">
            <wp:extent cx="5581650" cy="327787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925117" w:rsidRDefault="001B592B">
      <w:pPr>
        <w:pStyle w:val="Caption"/>
        <w:keepNext w:val="0"/>
        <w:ind w:left="0" w:firstLine="0"/>
      </w:pPr>
      <w:bookmarkStart w:id="349" w:name="_Toc337547062"/>
      <w:r>
        <w:t xml:space="preserve">Figure </w:t>
      </w:r>
      <w:fldSimple w:instr=" SEQ Figure \* ARABIC ">
        <w:r w:rsidR="003361A8">
          <w:rPr>
            <w:noProof/>
          </w:rPr>
          <w:t>12</w:t>
        </w:r>
      </w:fldSimple>
      <w:r>
        <w:tab/>
      </w:r>
      <w:r w:rsidR="00111534">
        <w:t xml:space="preserve">Forest plot: </w:t>
      </w:r>
      <w:r>
        <w:t>Proporti</w:t>
      </w:r>
      <w:r w:rsidR="00111534">
        <w:t>on of LSIL cytology</w:t>
      </w:r>
      <w:r>
        <w:t xml:space="preserve"> (OR)</w:t>
      </w:r>
      <w:r w:rsidR="00B22D2F">
        <w:br/>
      </w:r>
      <w:r w:rsidR="00B22D2F" w:rsidRPr="00B03F70">
        <w:rPr>
          <w:b w:val="0"/>
          <w:sz w:val="18"/>
          <w:szCs w:val="18"/>
        </w:rPr>
        <w:t>An OR&lt;1 indicates a greater proportion of findings with LBC compared with conventional cytology</w:t>
      </w:r>
      <w:bookmarkEnd w:id="349"/>
    </w:p>
    <w:p w:rsidR="00173D85" w:rsidRPr="00173D85" w:rsidRDefault="00173D85" w:rsidP="00173D85"/>
    <w:p w:rsidR="008C6F68" w:rsidRDefault="00CB6A66" w:rsidP="00173D85">
      <w:pPr>
        <w:pStyle w:val="Tabletext"/>
        <w:spacing w:after="0"/>
      </w:pPr>
      <w:r>
        <w:rPr>
          <w:noProof/>
          <w:lang w:eastAsia="en-AU"/>
        </w:rPr>
        <w:lastRenderedPageBreak/>
        <w:drawing>
          <wp:inline distT="0" distB="0" distL="0" distR="0">
            <wp:extent cx="5581650" cy="327787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8C6F68" w:rsidRDefault="008C6F68" w:rsidP="00111534">
      <w:pPr>
        <w:pStyle w:val="Caption"/>
        <w:keepNext w:val="0"/>
      </w:pPr>
      <w:bookmarkStart w:id="350" w:name="_Toc337547063"/>
      <w:r>
        <w:t xml:space="preserve">Figure </w:t>
      </w:r>
      <w:fldSimple w:instr=" SEQ Figure \* ARABIC ">
        <w:r w:rsidR="003361A8">
          <w:rPr>
            <w:noProof/>
          </w:rPr>
          <w:t>13</w:t>
        </w:r>
      </w:fldSimple>
      <w:r>
        <w:tab/>
      </w:r>
      <w:r w:rsidR="00111534">
        <w:t xml:space="preserve">Forest plot: </w:t>
      </w:r>
      <w:r>
        <w:t>Proportio</w:t>
      </w:r>
      <w:r w:rsidR="00111534">
        <w:t xml:space="preserve">n of HSIL cytology </w:t>
      </w:r>
      <w:r>
        <w:t>(RD)</w:t>
      </w:r>
      <w:bookmarkEnd w:id="350"/>
    </w:p>
    <w:p w:rsidR="00111534" w:rsidRPr="00111534" w:rsidRDefault="00111534" w:rsidP="00111534"/>
    <w:p w:rsidR="001B592B" w:rsidRDefault="00CB6A66" w:rsidP="00173D85">
      <w:pPr>
        <w:pStyle w:val="Tabletext"/>
        <w:spacing w:after="0"/>
      </w:pPr>
      <w:r>
        <w:rPr>
          <w:noProof/>
          <w:lang w:eastAsia="en-AU"/>
        </w:rPr>
        <w:drawing>
          <wp:inline distT="0" distB="0" distL="0" distR="0">
            <wp:extent cx="5581650" cy="327787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81650" cy="3277870"/>
                    </a:xfrm>
                    <a:prstGeom prst="rect">
                      <a:avLst/>
                    </a:prstGeom>
                    <a:noFill/>
                    <a:ln>
                      <a:noFill/>
                    </a:ln>
                  </pic:spPr>
                </pic:pic>
              </a:graphicData>
            </a:graphic>
          </wp:inline>
        </w:drawing>
      </w:r>
    </w:p>
    <w:p w:rsidR="00925117" w:rsidRDefault="001B592B">
      <w:pPr>
        <w:pStyle w:val="Caption"/>
        <w:keepNext w:val="0"/>
        <w:ind w:left="0" w:firstLine="0"/>
      </w:pPr>
      <w:bookmarkStart w:id="351" w:name="_Ref334087744"/>
      <w:bookmarkStart w:id="352" w:name="_Toc337547064"/>
      <w:r>
        <w:t xml:space="preserve">Figure </w:t>
      </w:r>
      <w:fldSimple w:instr=" SEQ Figure \* ARABIC ">
        <w:r w:rsidR="003361A8">
          <w:rPr>
            <w:noProof/>
          </w:rPr>
          <w:t>14</w:t>
        </w:r>
      </w:fldSimple>
      <w:bookmarkEnd w:id="351"/>
      <w:r>
        <w:tab/>
      </w:r>
      <w:r w:rsidR="00111534">
        <w:t xml:space="preserve">Forest plot: </w:t>
      </w:r>
      <w:r>
        <w:t>Proporti</w:t>
      </w:r>
      <w:r w:rsidR="00111534">
        <w:t>on of HSIL cytology</w:t>
      </w:r>
      <w:r>
        <w:t xml:space="preserve"> (OR)</w:t>
      </w:r>
      <w:r w:rsidR="00B22D2F">
        <w:br/>
      </w:r>
      <w:r w:rsidR="00B22D2F" w:rsidRPr="00B03F70">
        <w:rPr>
          <w:b w:val="0"/>
          <w:sz w:val="18"/>
          <w:szCs w:val="18"/>
        </w:rPr>
        <w:t>An OR&lt;1 indicates a greater proportion of findings with LBC compared with conventional cytology</w:t>
      </w:r>
      <w:bookmarkEnd w:id="352"/>
    </w:p>
    <w:p w:rsidR="00173D85" w:rsidRPr="00173D85" w:rsidRDefault="00173D85" w:rsidP="00173D85"/>
    <w:p w:rsidR="001235C4" w:rsidRDefault="001235C4" w:rsidP="001235C4">
      <w:pPr>
        <w:pStyle w:val="Heading40"/>
      </w:pPr>
      <w:r>
        <w:t>Proportion of CIN lesions detected in each cytological category</w:t>
      </w:r>
    </w:p>
    <w:p w:rsidR="00D5545B" w:rsidRPr="00015B26" w:rsidRDefault="00197183" w:rsidP="00555C66">
      <w:r>
        <w:t>The p</w:t>
      </w:r>
      <w:r w:rsidRPr="00325CCE">
        <w:t>roportion of CIN lesions detected in each cytological category</w:t>
      </w:r>
      <w:r>
        <w:t xml:space="preserve"> is provided below. A qualitative review of the correlation will be performed unless trial publications report the </w:t>
      </w:r>
      <w:r>
        <w:lastRenderedPageBreak/>
        <w:t>statistical comparisons of the correlation between cell enrichment or cell filtration LBC and conventional cytology.</w:t>
      </w:r>
    </w:p>
    <w:p w:rsidR="008E665D" w:rsidRPr="002561B1" w:rsidRDefault="001235C4" w:rsidP="001235C4">
      <w:pPr>
        <w:pStyle w:val="Heading50"/>
      </w:pPr>
      <w:r>
        <w:t xml:space="preserve">Cell enrichment LBC </w:t>
      </w:r>
      <w:r w:rsidR="003954A4">
        <w:t>vs.</w:t>
      </w:r>
      <w:r>
        <w:t xml:space="preserve"> </w:t>
      </w:r>
      <w:r w:rsidR="00111534">
        <w:t>CC</w:t>
      </w:r>
    </w:p>
    <w:p w:rsidR="008E665D" w:rsidRDefault="008E665D" w:rsidP="001235C4">
      <w:r>
        <w:t>The histol</w:t>
      </w:r>
      <w:r w:rsidR="00111534">
        <w:t>ogical follow-</w:t>
      </w:r>
      <w:r>
        <w:t xml:space="preserve">up of all patients with a cytological classification of ASCUS or higher was retrieved from </w:t>
      </w:r>
      <w:r w:rsidR="00F92938">
        <w:t>a</w:t>
      </w:r>
      <w:r>
        <w:t xml:space="preserve"> </w:t>
      </w:r>
      <w:r w:rsidR="00F92938">
        <w:t xml:space="preserve">Dutch </w:t>
      </w:r>
      <w:r>
        <w:t>national database</w:t>
      </w:r>
      <w:r w:rsidR="002A5763">
        <w:t xml:space="preserve"> </w:t>
      </w:r>
      <w:r w:rsidR="00111534">
        <w:t>and reported by Beerman 2009</w:t>
      </w:r>
      <w:r>
        <w:t xml:space="preserve">. </w:t>
      </w:r>
    </w:p>
    <w:p w:rsidR="004F4523" w:rsidRDefault="001235C4" w:rsidP="004F4523">
      <w:r>
        <w:t xml:space="preserve">The correlation between histological follow-up data, within the study period, and cytological classifications in </w:t>
      </w:r>
      <w:r w:rsidR="000F31AB">
        <w:t xml:space="preserve">the </w:t>
      </w:r>
      <w:r w:rsidR="00111534">
        <w:t>Beerman 2009</w:t>
      </w:r>
      <w:r>
        <w:t xml:space="preserve"> study is shown in </w:t>
      </w:r>
      <w:r w:rsidR="00086C77">
        <w:fldChar w:fldCharType="begin"/>
      </w:r>
      <w:r w:rsidR="00343E08">
        <w:instrText xml:space="preserve"> REF _Ref333394151 \h </w:instrText>
      </w:r>
      <w:r w:rsidR="00086C77">
        <w:fldChar w:fldCharType="separate"/>
      </w:r>
      <w:r w:rsidR="003361A8">
        <w:t xml:space="preserve">Table </w:t>
      </w:r>
      <w:r w:rsidR="003361A8">
        <w:rPr>
          <w:noProof/>
        </w:rPr>
        <w:t>40</w:t>
      </w:r>
      <w:r w:rsidR="00086C77">
        <w:fldChar w:fldCharType="end"/>
      </w:r>
      <w:r>
        <w:t>. The</w:t>
      </w:r>
      <w:r w:rsidR="004F4523">
        <w:t xml:space="preserve">re was no significant difference in the </w:t>
      </w:r>
      <w:r>
        <w:t xml:space="preserve">percentages of ASCUS, LSIL, and HSIL cytology samples showing normal and CIN 1+ histology </w:t>
      </w:r>
      <w:r w:rsidR="004F4523">
        <w:t xml:space="preserve">between </w:t>
      </w:r>
      <w:r>
        <w:t>the two cohorts</w:t>
      </w:r>
      <w:r w:rsidR="00111534">
        <w:t xml:space="preserve"> (P </w:t>
      </w:r>
      <w:r w:rsidR="004F4523">
        <w:t>&gt;</w:t>
      </w:r>
      <w:r w:rsidR="00111534">
        <w:t xml:space="preserve"> </w:t>
      </w:r>
      <w:r w:rsidR="004F4523">
        <w:t>0.05)</w:t>
      </w:r>
      <w:r>
        <w:t xml:space="preserve">. </w:t>
      </w:r>
    </w:p>
    <w:p w:rsidR="001235C4" w:rsidRDefault="001235C4" w:rsidP="001235C4"/>
    <w:p w:rsidR="001235C4" w:rsidRPr="002C281A" w:rsidRDefault="001235C4" w:rsidP="001235C4">
      <w:pPr>
        <w:pStyle w:val="Tablenotes"/>
        <w:spacing w:after="0"/>
        <w:sectPr w:rsidR="001235C4" w:rsidRPr="002C281A" w:rsidSect="008846BA">
          <w:pgSz w:w="11907" w:h="16839" w:code="9"/>
          <w:pgMar w:top="1701" w:right="1418" w:bottom="1418" w:left="1701" w:header="720" w:footer="720" w:gutter="0"/>
          <w:paperSrc w:first="4035" w:other="4035"/>
          <w:cols w:space="720"/>
          <w:noEndnote/>
          <w:docGrid w:linePitch="299"/>
        </w:sectPr>
      </w:pPr>
    </w:p>
    <w:p w:rsidR="00114D62" w:rsidRDefault="00114D62" w:rsidP="00114D62">
      <w:pPr>
        <w:pStyle w:val="Caption"/>
      </w:pPr>
      <w:bookmarkStart w:id="353" w:name="_Ref333394151"/>
      <w:bookmarkStart w:id="354" w:name="_Toc331766471"/>
      <w:bookmarkStart w:id="355" w:name="_Toc335666006"/>
      <w:bookmarkStart w:id="356" w:name="_Toc337546977"/>
      <w:r>
        <w:lastRenderedPageBreak/>
        <w:t xml:space="preserve">Table </w:t>
      </w:r>
      <w:fldSimple w:instr=" SEQ Table \* ARABIC ">
        <w:r w:rsidR="003361A8">
          <w:rPr>
            <w:noProof/>
          </w:rPr>
          <w:t>40</w:t>
        </w:r>
      </w:fldSimple>
      <w:bookmarkEnd w:id="353"/>
      <w:r>
        <w:tab/>
        <w:t>Correlation between cy</w:t>
      </w:r>
      <w:r w:rsidR="00BA16C6">
        <w:t>tological and histological data—</w:t>
      </w:r>
      <w:r w:rsidR="00066C0D">
        <w:t>CC</w:t>
      </w:r>
      <w:r>
        <w:t xml:space="preserve"> versu</w:t>
      </w:r>
      <w:r w:rsidR="00041A06">
        <w:t>s cell enrichment LBC:</w:t>
      </w:r>
      <w:r w:rsidR="00BA16C6">
        <w:t xml:space="preserve"> </w:t>
      </w:r>
      <w:r w:rsidR="00066C0D">
        <w:t xml:space="preserve">Beerman </w:t>
      </w:r>
      <w:r>
        <w:t>2009</w:t>
      </w:r>
      <w:bookmarkEnd w:id="354"/>
      <w:bookmarkEnd w:id="355"/>
      <w:bookmarkEnd w:id="35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1"/>
        <w:gridCol w:w="1703"/>
        <w:gridCol w:w="1550"/>
        <w:gridCol w:w="1859"/>
        <w:gridCol w:w="1706"/>
        <w:gridCol w:w="1859"/>
        <w:gridCol w:w="1859"/>
        <w:gridCol w:w="959"/>
      </w:tblGrid>
      <w:tr w:rsidR="00114D62" w:rsidRPr="00066C0D" w:rsidTr="00066C0D">
        <w:tc>
          <w:tcPr>
            <w:tcW w:w="876" w:type="pct"/>
          </w:tcPr>
          <w:p w:rsidR="00114D62" w:rsidRPr="00066C0D" w:rsidRDefault="00114D62" w:rsidP="00624C00">
            <w:pPr>
              <w:pStyle w:val="Tabletext"/>
              <w:rPr>
                <w:b/>
              </w:rPr>
            </w:pPr>
          </w:p>
        </w:tc>
        <w:tc>
          <w:tcPr>
            <w:tcW w:w="1834" w:type="pct"/>
            <w:gridSpan w:val="3"/>
          </w:tcPr>
          <w:p w:rsidR="00114D62" w:rsidRPr="00066C0D" w:rsidRDefault="00114D62" w:rsidP="00286B64">
            <w:pPr>
              <w:pStyle w:val="Tabletext"/>
              <w:jc w:val="center"/>
              <w:rPr>
                <w:b/>
              </w:rPr>
            </w:pPr>
            <w:r w:rsidRPr="00066C0D">
              <w:rPr>
                <w:b/>
              </w:rPr>
              <w:t xml:space="preserve">Conventional </w:t>
            </w:r>
            <w:r w:rsidR="00066C0D">
              <w:rPr>
                <w:b/>
              </w:rPr>
              <w:t>cytology</w:t>
            </w:r>
            <w:r w:rsidR="00066C0D">
              <w:rPr>
                <w:b/>
              </w:rPr>
              <w:br/>
            </w:r>
            <w:r w:rsidRPr="00066C0D">
              <w:rPr>
                <w:b/>
              </w:rPr>
              <w:t>N=51,132</w:t>
            </w:r>
          </w:p>
        </w:tc>
        <w:tc>
          <w:tcPr>
            <w:tcW w:w="1946" w:type="pct"/>
            <w:gridSpan w:val="3"/>
          </w:tcPr>
          <w:p w:rsidR="00114D62" w:rsidRPr="00066C0D" w:rsidRDefault="003C0082" w:rsidP="00286B64">
            <w:pPr>
              <w:pStyle w:val="Tabletext"/>
              <w:jc w:val="center"/>
              <w:rPr>
                <w:b/>
              </w:rPr>
            </w:pPr>
            <w:r w:rsidRPr="00066C0D">
              <w:rPr>
                <w:b/>
              </w:rPr>
              <w:t>LBC</w:t>
            </w:r>
            <w:r w:rsidR="00114D62" w:rsidRPr="00066C0D">
              <w:rPr>
                <w:b/>
              </w:rPr>
              <w:t xml:space="preserve"> </w:t>
            </w:r>
            <w:r w:rsidR="00066C0D">
              <w:rPr>
                <w:b/>
              </w:rPr>
              <w:br/>
            </w:r>
            <w:r w:rsidR="00114D62" w:rsidRPr="00066C0D">
              <w:rPr>
                <w:b/>
              </w:rPr>
              <w:t>N=35,315</w:t>
            </w:r>
          </w:p>
        </w:tc>
        <w:tc>
          <w:tcPr>
            <w:tcW w:w="344" w:type="pct"/>
          </w:tcPr>
          <w:p w:rsidR="00114D62" w:rsidRPr="00066C0D" w:rsidRDefault="00066C0D" w:rsidP="00624C00">
            <w:pPr>
              <w:pStyle w:val="Tabletext"/>
              <w:rPr>
                <w:b/>
              </w:rPr>
            </w:pPr>
            <w:r>
              <w:rPr>
                <w:b/>
              </w:rPr>
              <w:t xml:space="preserve">P </w:t>
            </w:r>
            <w:r w:rsidR="00114D62" w:rsidRPr="00066C0D">
              <w:rPr>
                <w:b/>
              </w:rPr>
              <w:t>value</w:t>
            </w:r>
          </w:p>
        </w:tc>
      </w:tr>
      <w:tr w:rsidR="00114D62" w:rsidRPr="00066C0D" w:rsidTr="00066C0D">
        <w:tc>
          <w:tcPr>
            <w:tcW w:w="876" w:type="pct"/>
          </w:tcPr>
          <w:p w:rsidR="00114D62" w:rsidRPr="00066C0D" w:rsidRDefault="00114D62" w:rsidP="00624C00">
            <w:pPr>
              <w:pStyle w:val="Tabletext"/>
              <w:rPr>
                <w:b/>
              </w:rPr>
            </w:pPr>
          </w:p>
        </w:tc>
        <w:tc>
          <w:tcPr>
            <w:tcW w:w="1834" w:type="pct"/>
            <w:gridSpan w:val="3"/>
          </w:tcPr>
          <w:p w:rsidR="00114D62" w:rsidRPr="00066C0D" w:rsidRDefault="00114D62" w:rsidP="00286B64">
            <w:pPr>
              <w:pStyle w:val="Tabletext"/>
              <w:jc w:val="center"/>
              <w:rPr>
                <w:b/>
              </w:rPr>
            </w:pPr>
            <w:r w:rsidRPr="00066C0D">
              <w:rPr>
                <w:b/>
              </w:rPr>
              <w:t>Histology</w:t>
            </w:r>
          </w:p>
        </w:tc>
        <w:tc>
          <w:tcPr>
            <w:tcW w:w="1946" w:type="pct"/>
            <w:gridSpan w:val="3"/>
          </w:tcPr>
          <w:p w:rsidR="00114D62" w:rsidRPr="00066C0D" w:rsidRDefault="00114D62" w:rsidP="00286B64">
            <w:pPr>
              <w:pStyle w:val="Tabletext"/>
              <w:jc w:val="center"/>
              <w:rPr>
                <w:b/>
              </w:rPr>
            </w:pPr>
            <w:r w:rsidRPr="00066C0D">
              <w:rPr>
                <w:b/>
              </w:rPr>
              <w:t>Histology</w:t>
            </w:r>
          </w:p>
        </w:tc>
        <w:tc>
          <w:tcPr>
            <w:tcW w:w="344" w:type="pct"/>
          </w:tcPr>
          <w:p w:rsidR="00114D62" w:rsidRPr="00066C0D" w:rsidRDefault="00114D62" w:rsidP="00624C00">
            <w:pPr>
              <w:pStyle w:val="Tabletext"/>
              <w:rPr>
                <w:b/>
              </w:rPr>
            </w:pPr>
          </w:p>
        </w:tc>
      </w:tr>
      <w:tr w:rsidR="00114D62" w:rsidRPr="00066C0D" w:rsidTr="00066C0D">
        <w:tc>
          <w:tcPr>
            <w:tcW w:w="876" w:type="pct"/>
          </w:tcPr>
          <w:p w:rsidR="00114D62" w:rsidRPr="00066C0D" w:rsidRDefault="00114D62" w:rsidP="00624C00">
            <w:pPr>
              <w:pStyle w:val="Tabletext"/>
              <w:rPr>
                <w:b/>
              </w:rPr>
            </w:pPr>
          </w:p>
        </w:tc>
        <w:tc>
          <w:tcPr>
            <w:tcW w:w="611" w:type="pct"/>
          </w:tcPr>
          <w:p w:rsidR="00114D62" w:rsidRPr="00066C0D" w:rsidRDefault="00114D62" w:rsidP="00624C00">
            <w:pPr>
              <w:pStyle w:val="Tabletext"/>
              <w:rPr>
                <w:b/>
              </w:rPr>
            </w:pPr>
            <w:r w:rsidRPr="00066C0D">
              <w:rPr>
                <w:b/>
              </w:rPr>
              <w:t>Normal/none</w:t>
            </w:r>
          </w:p>
        </w:tc>
        <w:tc>
          <w:tcPr>
            <w:tcW w:w="556" w:type="pct"/>
          </w:tcPr>
          <w:p w:rsidR="00114D62" w:rsidRPr="00066C0D" w:rsidRDefault="00114D62" w:rsidP="00624C00">
            <w:pPr>
              <w:pStyle w:val="Tabletext"/>
              <w:rPr>
                <w:b/>
              </w:rPr>
            </w:pPr>
          </w:p>
        </w:tc>
        <w:tc>
          <w:tcPr>
            <w:tcW w:w="667" w:type="pct"/>
          </w:tcPr>
          <w:p w:rsidR="00114D62" w:rsidRPr="00066C0D" w:rsidRDefault="00114D62" w:rsidP="00624C00">
            <w:pPr>
              <w:pStyle w:val="Tabletext"/>
              <w:rPr>
                <w:b/>
              </w:rPr>
            </w:pPr>
            <w:r w:rsidRPr="00066C0D">
              <w:rPr>
                <w:b/>
              </w:rPr>
              <w:t>CIN 1+</w:t>
            </w:r>
          </w:p>
        </w:tc>
        <w:tc>
          <w:tcPr>
            <w:tcW w:w="612" w:type="pct"/>
          </w:tcPr>
          <w:p w:rsidR="00114D62" w:rsidRPr="00066C0D" w:rsidRDefault="00114D62" w:rsidP="00624C00">
            <w:pPr>
              <w:pStyle w:val="Tabletext"/>
              <w:rPr>
                <w:b/>
              </w:rPr>
            </w:pPr>
            <w:r w:rsidRPr="00066C0D">
              <w:rPr>
                <w:b/>
              </w:rPr>
              <w:t>Normal/none</w:t>
            </w:r>
          </w:p>
        </w:tc>
        <w:tc>
          <w:tcPr>
            <w:tcW w:w="667" w:type="pct"/>
          </w:tcPr>
          <w:p w:rsidR="00114D62" w:rsidRPr="00066C0D" w:rsidRDefault="00114D62" w:rsidP="00624C00">
            <w:pPr>
              <w:pStyle w:val="Tabletext"/>
              <w:rPr>
                <w:b/>
              </w:rPr>
            </w:pPr>
          </w:p>
        </w:tc>
        <w:tc>
          <w:tcPr>
            <w:tcW w:w="667" w:type="pct"/>
          </w:tcPr>
          <w:p w:rsidR="00114D62" w:rsidRPr="00066C0D" w:rsidRDefault="00114D62" w:rsidP="00624C00">
            <w:pPr>
              <w:pStyle w:val="Tabletext"/>
              <w:rPr>
                <w:b/>
              </w:rPr>
            </w:pPr>
            <w:r w:rsidRPr="00066C0D">
              <w:rPr>
                <w:b/>
              </w:rPr>
              <w:t>CIN 1+</w:t>
            </w:r>
          </w:p>
        </w:tc>
        <w:tc>
          <w:tcPr>
            <w:tcW w:w="344" w:type="pct"/>
          </w:tcPr>
          <w:p w:rsidR="00114D62" w:rsidRPr="00066C0D" w:rsidRDefault="00114D62" w:rsidP="00624C00">
            <w:pPr>
              <w:pStyle w:val="Tabletext"/>
              <w:rPr>
                <w:b/>
              </w:rPr>
            </w:pPr>
          </w:p>
        </w:tc>
      </w:tr>
      <w:tr w:rsidR="00114D62" w:rsidRPr="00767F7A" w:rsidTr="00066C0D">
        <w:tc>
          <w:tcPr>
            <w:tcW w:w="876" w:type="pct"/>
          </w:tcPr>
          <w:p w:rsidR="00114D62" w:rsidRDefault="00114D62" w:rsidP="00624C00">
            <w:pPr>
              <w:pStyle w:val="Tabletext"/>
            </w:pPr>
          </w:p>
        </w:tc>
        <w:tc>
          <w:tcPr>
            <w:tcW w:w="611" w:type="pct"/>
          </w:tcPr>
          <w:p w:rsidR="00114D62" w:rsidRDefault="00114D62" w:rsidP="00624C00">
            <w:pPr>
              <w:pStyle w:val="Tabletext"/>
            </w:pPr>
            <w:r>
              <w:t>N</w:t>
            </w:r>
          </w:p>
        </w:tc>
        <w:tc>
          <w:tcPr>
            <w:tcW w:w="556" w:type="pct"/>
          </w:tcPr>
          <w:p w:rsidR="00114D62" w:rsidRDefault="00114D62" w:rsidP="00624C00">
            <w:pPr>
              <w:pStyle w:val="Tabletext"/>
            </w:pPr>
            <w:proofErr w:type="gramStart"/>
            <w:r>
              <w:t>n</w:t>
            </w:r>
            <w:proofErr w:type="gramEnd"/>
            <w:r>
              <w:t xml:space="preserve"> (%)</w:t>
            </w:r>
          </w:p>
        </w:tc>
        <w:tc>
          <w:tcPr>
            <w:tcW w:w="667" w:type="pct"/>
          </w:tcPr>
          <w:p w:rsidR="00114D62" w:rsidRDefault="00114D62" w:rsidP="00624C00">
            <w:pPr>
              <w:pStyle w:val="Tabletext"/>
            </w:pPr>
          </w:p>
        </w:tc>
        <w:tc>
          <w:tcPr>
            <w:tcW w:w="612" w:type="pct"/>
          </w:tcPr>
          <w:p w:rsidR="00114D62" w:rsidRDefault="00114D62" w:rsidP="00624C00">
            <w:pPr>
              <w:pStyle w:val="Tabletext"/>
            </w:pPr>
            <w:r>
              <w:t>N</w:t>
            </w:r>
          </w:p>
        </w:tc>
        <w:tc>
          <w:tcPr>
            <w:tcW w:w="667" w:type="pct"/>
          </w:tcPr>
          <w:p w:rsidR="00114D62" w:rsidRDefault="00114D62" w:rsidP="00624C00">
            <w:pPr>
              <w:pStyle w:val="Tabletext"/>
            </w:pPr>
            <w:proofErr w:type="gramStart"/>
            <w:r>
              <w:t>n</w:t>
            </w:r>
            <w:proofErr w:type="gramEnd"/>
            <w:r>
              <w:t xml:space="preserve"> (%)</w:t>
            </w:r>
          </w:p>
        </w:tc>
        <w:tc>
          <w:tcPr>
            <w:tcW w:w="667" w:type="pct"/>
          </w:tcPr>
          <w:p w:rsidR="00114D62" w:rsidRDefault="00114D62" w:rsidP="00624C00">
            <w:pPr>
              <w:pStyle w:val="Tabletext"/>
            </w:pPr>
          </w:p>
        </w:tc>
        <w:tc>
          <w:tcPr>
            <w:tcW w:w="344" w:type="pct"/>
          </w:tcPr>
          <w:p w:rsidR="00114D62" w:rsidRDefault="00114D62" w:rsidP="00624C00">
            <w:pPr>
              <w:pStyle w:val="Tabletext"/>
            </w:pPr>
          </w:p>
        </w:tc>
      </w:tr>
      <w:tr w:rsidR="00114D62" w:rsidRPr="00767F7A" w:rsidTr="00066C0D">
        <w:tc>
          <w:tcPr>
            <w:tcW w:w="876" w:type="pct"/>
          </w:tcPr>
          <w:p w:rsidR="00114D62" w:rsidRDefault="00114D62" w:rsidP="00624C00">
            <w:pPr>
              <w:pStyle w:val="Tabletext"/>
            </w:pPr>
            <w:r>
              <w:t>Unsatisfactory</w:t>
            </w:r>
          </w:p>
        </w:tc>
        <w:tc>
          <w:tcPr>
            <w:tcW w:w="611" w:type="pct"/>
          </w:tcPr>
          <w:p w:rsidR="00114D62" w:rsidRDefault="00114D62" w:rsidP="00624C00">
            <w:pPr>
              <w:pStyle w:val="Tabletext"/>
            </w:pPr>
            <w:r>
              <w:t>435</w:t>
            </w:r>
          </w:p>
        </w:tc>
        <w:tc>
          <w:tcPr>
            <w:tcW w:w="556" w:type="pct"/>
          </w:tcPr>
          <w:p w:rsidR="00114D62" w:rsidRDefault="00114D62" w:rsidP="00624C00">
            <w:pPr>
              <w:pStyle w:val="Tabletext"/>
            </w:pPr>
            <w:r>
              <w:t>432 (99.31)</w:t>
            </w:r>
          </w:p>
        </w:tc>
        <w:tc>
          <w:tcPr>
            <w:tcW w:w="667" w:type="pct"/>
          </w:tcPr>
          <w:p w:rsidR="00114D62" w:rsidRDefault="00114D62" w:rsidP="00624C00">
            <w:pPr>
              <w:pStyle w:val="Tabletext"/>
            </w:pPr>
            <w:r>
              <w:t>3 (0.69)</w:t>
            </w:r>
          </w:p>
        </w:tc>
        <w:tc>
          <w:tcPr>
            <w:tcW w:w="612" w:type="pct"/>
          </w:tcPr>
          <w:p w:rsidR="00114D62" w:rsidRDefault="00114D62" w:rsidP="00624C00">
            <w:pPr>
              <w:pStyle w:val="Tabletext"/>
            </w:pPr>
            <w:r>
              <w:t>46</w:t>
            </w:r>
          </w:p>
        </w:tc>
        <w:tc>
          <w:tcPr>
            <w:tcW w:w="667" w:type="pct"/>
          </w:tcPr>
          <w:p w:rsidR="00114D62" w:rsidRDefault="00114D62" w:rsidP="00624C00">
            <w:pPr>
              <w:pStyle w:val="Tabletext"/>
            </w:pPr>
            <w:r>
              <w:t>46 (100)</w:t>
            </w:r>
          </w:p>
        </w:tc>
        <w:tc>
          <w:tcPr>
            <w:tcW w:w="667" w:type="pct"/>
          </w:tcPr>
          <w:p w:rsidR="00114D62" w:rsidRDefault="00114D62" w:rsidP="00624C00">
            <w:pPr>
              <w:pStyle w:val="Tabletext"/>
            </w:pPr>
            <w:r>
              <w:t>0</w:t>
            </w:r>
          </w:p>
        </w:tc>
        <w:tc>
          <w:tcPr>
            <w:tcW w:w="344" w:type="pct"/>
          </w:tcPr>
          <w:p w:rsidR="00114D62" w:rsidRDefault="00114D62" w:rsidP="00624C00">
            <w:pPr>
              <w:pStyle w:val="Tabletext"/>
            </w:pPr>
            <w:r>
              <w:t>1.0</w:t>
            </w:r>
          </w:p>
        </w:tc>
      </w:tr>
      <w:tr w:rsidR="00114D62" w:rsidRPr="00767F7A" w:rsidTr="00066C0D">
        <w:tc>
          <w:tcPr>
            <w:tcW w:w="876" w:type="pct"/>
          </w:tcPr>
          <w:p w:rsidR="00114D62" w:rsidRDefault="00114D62" w:rsidP="00624C00">
            <w:pPr>
              <w:pStyle w:val="Tabletext"/>
            </w:pPr>
            <w:r>
              <w:t>Within normal limits</w:t>
            </w:r>
          </w:p>
        </w:tc>
        <w:tc>
          <w:tcPr>
            <w:tcW w:w="611" w:type="pct"/>
          </w:tcPr>
          <w:p w:rsidR="00114D62" w:rsidRDefault="00114D62" w:rsidP="00624C00">
            <w:pPr>
              <w:pStyle w:val="Tabletext"/>
            </w:pPr>
            <w:r>
              <w:t>49,856</w:t>
            </w:r>
          </w:p>
        </w:tc>
        <w:tc>
          <w:tcPr>
            <w:tcW w:w="556" w:type="pct"/>
          </w:tcPr>
          <w:p w:rsidR="00114D62" w:rsidRDefault="00114D62" w:rsidP="00624C00">
            <w:pPr>
              <w:pStyle w:val="Tabletext"/>
            </w:pPr>
            <w:r>
              <w:t>49,826 (99.94)</w:t>
            </w:r>
          </w:p>
        </w:tc>
        <w:tc>
          <w:tcPr>
            <w:tcW w:w="667" w:type="pct"/>
          </w:tcPr>
          <w:p w:rsidR="00114D62" w:rsidRPr="0067783C" w:rsidRDefault="00114D62" w:rsidP="00624C00">
            <w:pPr>
              <w:pStyle w:val="Tabletext"/>
            </w:pPr>
            <w:r>
              <w:t>30</w:t>
            </w:r>
            <w:r w:rsidRPr="00767F7A">
              <w:rPr>
                <w:vertAlign w:val="superscript"/>
              </w:rPr>
              <w:t>a</w:t>
            </w:r>
            <w:r>
              <w:t>(0.06)</w:t>
            </w:r>
          </w:p>
        </w:tc>
        <w:tc>
          <w:tcPr>
            <w:tcW w:w="612" w:type="pct"/>
          </w:tcPr>
          <w:p w:rsidR="00114D62" w:rsidRDefault="00114D62" w:rsidP="00624C00">
            <w:pPr>
              <w:pStyle w:val="Tabletext"/>
            </w:pPr>
            <w:r>
              <w:t>34,219</w:t>
            </w:r>
          </w:p>
        </w:tc>
        <w:tc>
          <w:tcPr>
            <w:tcW w:w="667" w:type="pct"/>
          </w:tcPr>
          <w:p w:rsidR="00114D62" w:rsidRDefault="00114D62" w:rsidP="00624C00">
            <w:pPr>
              <w:pStyle w:val="Tabletext"/>
            </w:pPr>
            <w:r>
              <w:t>34,207 (99.96)</w:t>
            </w:r>
          </w:p>
        </w:tc>
        <w:tc>
          <w:tcPr>
            <w:tcW w:w="667" w:type="pct"/>
          </w:tcPr>
          <w:p w:rsidR="00114D62" w:rsidRPr="0067783C" w:rsidRDefault="00114D62" w:rsidP="00624C00">
            <w:pPr>
              <w:pStyle w:val="Tabletext"/>
            </w:pPr>
            <w:r>
              <w:t>12</w:t>
            </w:r>
            <w:r w:rsidRPr="00767F7A">
              <w:rPr>
                <w:vertAlign w:val="superscript"/>
              </w:rPr>
              <w:t>b</w:t>
            </w:r>
            <w:r>
              <w:t>(0.04)</w:t>
            </w:r>
          </w:p>
        </w:tc>
        <w:tc>
          <w:tcPr>
            <w:tcW w:w="344" w:type="pct"/>
          </w:tcPr>
          <w:p w:rsidR="00114D62" w:rsidRDefault="00114D62" w:rsidP="00624C00">
            <w:pPr>
              <w:pStyle w:val="Tabletext"/>
            </w:pPr>
            <w:r>
              <w:t>0.1183</w:t>
            </w:r>
          </w:p>
        </w:tc>
      </w:tr>
      <w:tr w:rsidR="00114D62" w:rsidRPr="00767F7A" w:rsidTr="00066C0D">
        <w:tc>
          <w:tcPr>
            <w:tcW w:w="876" w:type="pct"/>
          </w:tcPr>
          <w:p w:rsidR="00114D62" w:rsidRDefault="00114D62" w:rsidP="00624C00">
            <w:pPr>
              <w:pStyle w:val="Tabletext"/>
            </w:pPr>
            <w:r>
              <w:t>Abnormal ASCUS</w:t>
            </w:r>
          </w:p>
        </w:tc>
        <w:tc>
          <w:tcPr>
            <w:tcW w:w="611" w:type="pct"/>
          </w:tcPr>
          <w:p w:rsidR="00114D62" w:rsidRDefault="00114D62" w:rsidP="00624C00">
            <w:pPr>
              <w:pStyle w:val="Tabletext"/>
            </w:pPr>
            <w:r>
              <w:t>443</w:t>
            </w:r>
          </w:p>
        </w:tc>
        <w:tc>
          <w:tcPr>
            <w:tcW w:w="556" w:type="pct"/>
          </w:tcPr>
          <w:p w:rsidR="00114D62" w:rsidRDefault="00114D62" w:rsidP="00624C00">
            <w:pPr>
              <w:pStyle w:val="Tabletext"/>
            </w:pPr>
            <w:r>
              <w:t>396 (89.39)</w:t>
            </w:r>
          </w:p>
        </w:tc>
        <w:tc>
          <w:tcPr>
            <w:tcW w:w="667" w:type="pct"/>
          </w:tcPr>
          <w:p w:rsidR="00114D62" w:rsidRDefault="00114D62" w:rsidP="00624C00">
            <w:pPr>
              <w:pStyle w:val="Tabletext"/>
            </w:pPr>
            <w:r>
              <w:t>47 (10.61)</w:t>
            </w:r>
          </w:p>
        </w:tc>
        <w:tc>
          <w:tcPr>
            <w:tcW w:w="612" w:type="pct"/>
          </w:tcPr>
          <w:p w:rsidR="00114D62" w:rsidRDefault="00114D62" w:rsidP="00624C00">
            <w:pPr>
              <w:pStyle w:val="Tabletext"/>
            </w:pPr>
            <w:r>
              <w:t>730</w:t>
            </w:r>
          </w:p>
        </w:tc>
        <w:tc>
          <w:tcPr>
            <w:tcW w:w="667" w:type="pct"/>
          </w:tcPr>
          <w:p w:rsidR="00114D62" w:rsidRDefault="00114D62" w:rsidP="00624C00">
            <w:pPr>
              <w:pStyle w:val="Tabletext"/>
            </w:pPr>
            <w:r>
              <w:t>657 (90)</w:t>
            </w:r>
          </w:p>
        </w:tc>
        <w:tc>
          <w:tcPr>
            <w:tcW w:w="667" w:type="pct"/>
          </w:tcPr>
          <w:p w:rsidR="00114D62" w:rsidRDefault="00114D62" w:rsidP="00624C00">
            <w:pPr>
              <w:pStyle w:val="Tabletext"/>
            </w:pPr>
            <w:r>
              <w:t>73 (10.0)</w:t>
            </w:r>
          </w:p>
        </w:tc>
        <w:tc>
          <w:tcPr>
            <w:tcW w:w="344" w:type="pct"/>
          </w:tcPr>
          <w:p w:rsidR="00114D62" w:rsidRDefault="00114D62" w:rsidP="00624C00">
            <w:pPr>
              <w:pStyle w:val="Tabletext"/>
            </w:pPr>
            <w:r>
              <w:t>0.7384</w:t>
            </w:r>
          </w:p>
        </w:tc>
      </w:tr>
      <w:tr w:rsidR="00114D62" w:rsidRPr="00767F7A" w:rsidTr="00066C0D">
        <w:tc>
          <w:tcPr>
            <w:tcW w:w="876" w:type="pct"/>
          </w:tcPr>
          <w:p w:rsidR="00114D62" w:rsidRDefault="00114D62" w:rsidP="00624C00">
            <w:pPr>
              <w:pStyle w:val="Tabletext"/>
            </w:pPr>
            <w:r>
              <w:t>-LSIL</w:t>
            </w:r>
          </w:p>
        </w:tc>
        <w:tc>
          <w:tcPr>
            <w:tcW w:w="611" w:type="pct"/>
          </w:tcPr>
          <w:p w:rsidR="00114D62" w:rsidRDefault="00114D62" w:rsidP="00624C00">
            <w:pPr>
              <w:pStyle w:val="Tabletext"/>
            </w:pPr>
            <w:r>
              <w:t>110</w:t>
            </w:r>
          </w:p>
        </w:tc>
        <w:tc>
          <w:tcPr>
            <w:tcW w:w="556" w:type="pct"/>
          </w:tcPr>
          <w:p w:rsidR="00114D62" w:rsidRDefault="00343E08" w:rsidP="00624C00">
            <w:pPr>
              <w:pStyle w:val="Tabletext"/>
            </w:pPr>
            <w:r>
              <w:t>57 (5</w:t>
            </w:r>
            <w:r w:rsidR="00114D62">
              <w:t>1.82)</w:t>
            </w:r>
          </w:p>
        </w:tc>
        <w:tc>
          <w:tcPr>
            <w:tcW w:w="667" w:type="pct"/>
          </w:tcPr>
          <w:p w:rsidR="00114D62" w:rsidRDefault="00114D62" w:rsidP="00624C00">
            <w:pPr>
              <w:pStyle w:val="Tabletext"/>
            </w:pPr>
            <w:r>
              <w:t>53 (48.18)</w:t>
            </w:r>
          </w:p>
        </w:tc>
        <w:tc>
          <w:tcPr>
            <w:tcW w:w="612" w:type="pct"/>
          </w:tcPr>
          <w:p w:rsidR="00114D62" w:rsidRDefault="00114D62" w:rsidP="00624C00">
            <w:pPr>
              <w:pStyle w:val="Tabletext"/>
            </w:pPr>
            <w:r>
              <w:t>94</w:t>
            </w:r>
          </w:p>
        </w:tc>
        <w:tc>
          <w:tcPr>
            <w:tcW w:w="667" w:type="pct"/>
          </w:tcPr>
          <w:p w:rsidR="00114D62" w:rsidRDefault="00114D62" w:rsidP="00624C00">
            <w:pPr>
              <w:pStyle w:val="Tabletext"/>
            </w:pPr>
            <w:r>
              <w:t>50 (53.19)</w:t>
            </w:r>
          </w:p>
        </w:tc>
        <w:tc>
          <w:tcPr>
            <w:tcW w:w="667" w:type="pct"/>
          </w:tcPr>
          <w:p w:rsidR="00114D62" w:rsidRDefault="00114D62" w:rsidP="00624C00">
            <w:pPr>
              <w:pStyle w:val="Tabletext"/>
            </w:pPr>
            <w:r>
              <w:t>44 (46.81)</w:t>
            </w:r>
          </w:p>
        </w:tc>
        <w:tc>
          <w:tcPr>
            <w:tcW w:w="344" w:type="pct"/>
          </w:tcPr>
          <w:p w:rsidR="00114D62" w:rsidRDefault="00114D62" w:rsidP="00624C00">
            <w:pPr>
              <w:pStyle w:val="Tabletext"/>
            </w:pPr>
            <w:r>
              <w:t>0.8448</w:t>
            </w:r>
          </w:p>
        </w:tc>
      </w:tr>
      <w:tr w:rsidR="00114D62" w:rsidRPr="00767F7A" w:rsidTr="00066C0D">
        <w:tc>
          <w:tcPr>
            <w:tcW w:w="876" w:type="pct"/>
          </w:tcPr>
          <w:p w:rsidR="00114D62" w:rsidRDefault="00114D62" w:rsidP="00624C00">
            <w:pPr>
              <w:pStyle w:val="Tabletext"/>
            </w:pPr>
            <w:r>
              <w:t>-HSIL</w:t>
            </w:r>
          </w:p>
        </w:tc>
        <w:tc>
          <w:tcPr>
            <w:tcW w:w="611" w:type="pct"/>
          </w:tcPr>
          <w:p w:rsidR="00114D62" w:rsidRDefault="00114D62" w:rsidP="00624C00">
            <w:pPr>
              <w:pStyle w:val="Tabletext"/>
            </w:pPr>
            <w:r>
              <w:t>288</w:t>
            </w:r>
          </w:p>
        </w:tc>
        <w:tc>
          <w:tcPr>
            <w:tcW w:w="556" w:type="pct"/>
          </w:tcPr>
          <w:p w:rsidR="00114D62" w:rsidRDefault="00114D62" w:rsidP="00624C00">
            <w:pPr>
              <w:pStyle w:val="Tabletext"/>
            </w:pPr>
            <w:r>
              <w:t>44 (15.28)</w:t>
            </w:r>
          </w:p>
        </w:tc>
        <w:tc>
          <w:tcPr>
            <w:tcW w:w="667" w:type="pct"/>
          </w:tcPr>
          <w:p w:rsidR="00114D62" w:rsidRDefault="00114D62" w:rsidP="00624C00">
            <w:pPr>
              <w:pStyle w:val="Tabletext"/>
            </w:pPr>
            <w:r>
              <w:t>244 (84.72)</w:t>
            </w:r>
          </w:p>
        </w:tc>
        <w:tc>
          <w:tcPr>
            <w:tcW w:w="612" w:type="pct"/>
          </w:tcPr>
          <w:p w:rsidR="00114D62" w:rsidRDefault="00114D62" w:rsidP="00624C00">
            <w:pPr>
              <w:pStyle w:val="Tabletext"/>
            </w:pPr>
            <w:r>
              <w:t>226</w:t>
            </w:r>
          </w:p>
        </w:tc>
        <w:tc>
          <w:tcPr>
            <w:tcW w:w="667" w:type="pct"/>
          </w:tcPr>
          <w:p w:rsidR="00114D62" w:rsidRDefault="00114D62" w:rsidP="00624C00">
            <w:pPr>
              <w:pStyle w:val="Tabletext"/>
            </w:pPr>
            <w:r>
              <w:t>36 (15.93)</w:t>
            </w:r>
          </w:p>
        </w:tc>
        <w:tc>
          <w:tcPr>
            <w:tcW w:w="667" w:type="pct"/>
          </w:tcPr>
          <w:p w:rsidR="00114D62" w:rsidRDefault="00114D62" w:rsidP="00624C00">
            <w:pPr>
              <w:pStyle w:val="Tabletext"/>
            </w:pPr>
            <w:r>
              <w:t>190 (84.07)</w:t>
            </w:r>
          </w:p>
        </w:tc>
        <w:tc>
          <w:tcPr>
            <w:tcW w:w="344" w:type="pct"/>
          </w:tcPr>
          <w:p w:rsidR="00114D62" w:rsidRDefault="00114D62" w:rsidP="00624C00">
            <w:pPr>
              <w:pStyle w:val="Tabletext"/>
            </w:pPr>
            <w:r>
              <w:t>0.8398</w:t>
            </w:r>
          </w:p>
        </w:tc>
      </w:tr>
      <w:tr w:rsidR="00114D62" w:rsidRPr="00767F7A" w:rsidTr="00066C0D">
        <w:tc>
          <w:tcPr>
            <w:tcW w:w="876" w:type="pct"/>
          </w:tcPr>
          <w:p w:rsidR="00114D62" w:rsidRDefault="00114D62" w:rsidP="00624C00">
            <w:pPr>
              <w:pStyle w:val="Tabletext"/>
            </w:pPr>
            <w:r>
              <w:t>Squamous cell carcinoma</w:t>
            </w:r>
          </w:p>
        </w:tc>
        <w:tc>
          <w:tcPr>
            <w:tcW w:w="611" w:type="pct"/>
          </w:tcPr>
          <w:p w:rsidR="00114D62" w:rsidRDefault="00114D62" w:rsidP="00624C00">
            <w:pPr>
              <w:pStyle w:val="Tabletext"/>
            </w:pPr>
            <w:r>
              <w:t>4</w:t>
            </w:r>
          </w:p>
        </w:tc>
        <w:tc>
          <w:tcPr>
            <w:tcW w:w="556" w:type="pct"/>
          </w:tcPr>
          <w:p w:rsidR="00114D62" w:rsidRDefault="00114D62" w:rsidP="00624C00">
            <w:pPr>
              <w:pStyle w:val="Tabletext"/>
            </w:pPr>
            <w:r>
              <w:t>1 (25.00)</w:t>
            </w:r>
          </w:p>
        </w:tc>
        <w:tc>
          <w:tcPr>
            <w:tcW w:w="667" w:type="pct"/>
          </w:tcPr>
          <w:p w:rsidR="00114D62" w:rsidRDefault="00114D62" w:rsidP="00624C00">
            <w:pPr>
              <w:pStyle w:val="Tabletext"/>
            </w:pPr>
            <w:r>
              <w:t>3 (75.00)</w:t>
            </w:r>
          </w:p>
        </w:tc>
        <w:tc>
          <w:tcPr>
            <w:tcW w:w="612" w:type="pct"/>
          </w:tcPr>
          <w:p w:rsidR="00114D62" w:rsidRDefault="00114D62" w:rsidP="00624C00">
            <w:pPr>
              <w:pStyle w:val="Tabletext"/>
            </w:pPr>
            <w:r>
              <w:t>2</w:t>
            </w:r>
          </w:p>
        </w:tc>
        <w:tc>
          <w:tcPr>
            <w:tcW w:w="667" w:type="pct"/>
          </w:tcPr>
          <w:p w:rsidR="00114D62" w:rsidRDefault="00114D62" w:rsidP="00624C00">
            <w:pPr>
              <w:pStyle w:val="Tabletext"/>
            </w:pPr>
            <w:r>
              <w:t>0 (0.00)</w:t>
            </w:r>
          </w:p>
        </w:tc>
        <w:tc>
          <w:tcPr>
            <w:tcW w:w="667" w:type="pct"/>
          </w:tcPr>
          <w:p w:rsidR="00114D62" w:rsidRDefault="00114D62" w:rsidP="00624C00">
            <w:pPr>
              <w:pStyle w:val="Tabletext"/>
            </w:pPr>
            <w:r>
              <w:t>2 (100.0)</w:t>
            </w:r>
          </w:p>
        </w:tc>
        <w:tc>
          <w:tcPr>
            <w:tcW w:w="344" w:type="pct"/>
          </w:tcPr>
          <w:p w:rsidR="00114D62" w:rsidRDefault="00114D62" w:rsidP="00624C00">
            <w:pPr>
              <w:pStyle w:val="Tabletext"/>
            </w:pPr>
            <w:r>
              <w:t>1.0</w:t>
            </w:r>
          </w:p>
        </w:tc>
      </w:tr>
    </w:tbl>
    <w:p w:rsidR="00114D62" w:rsidRPr="002C281A" w:rsidRDefault="00114D62" w:rsidP="0025365D">
      <w:pPr>
        <w:pStyle w:val="Tabletext"/>
      </w:pPr>
      <w:r w:rsidRPr="002C281A">
        <w:t>Abbreviations:</w:t>
      </w:r>
      <w:r>
        <w:t xml:space="preserve"> ASCUS, atypical cells of undetermined significance; </w:t>
      </w:r>
      <w:r w:rsidR="00041A06">
        <w:t xml:space="preserve">CIN, cervical intraepithelial neoplasia; </w:t>
      </w:r>
      <w:r>
        <w:t>LSIL, low grade squamous intraepithelial lesion; HSIL+, high-grade squamous intraepithelial lesion or more severe</w:t>
      </w:r>
    </w:p>
    <w:p w:rsidR="0025365D" w:rsidRDefault="00114D62" w:rsidP="00AB012A">
      <w:pPr>
        <w:pStyle w:val="Tabletext"/>
        <w:numPr>
          <w:ilvl w:val="0"/>
          <w:numId w:val="39"/>
        </w:numPr>
      </w:pPr>
      <w:r w:rsidRPr="00C802A4">
        <w:t>21 of the 30 cases (70%) were CIN</w:t>
      </w:r>
      <w:r w:rsidR="0025365D">
        <w:t xml:space="preserve"> </w:t>
      </w:r>
      <w:r w:rsidRPr="00C802A4">
        <w:t>2 or higher</w:t>
      </w:r>
    </w:p>
    <w:p w:rsidR="00114D62" w:rsidRPr="0025365D" w:rsidRDefault="00114D62" w:rsidP="00AB012A">
      <w:pPr>
        <w:pStyle w:val="Tabletext"/>
        <w:numPr>
          <w:ilvl w:val="0"/>
          <w:numId w:val="39"/>
        </w:numPr>
      </w:pPr>
      <w:r w:rsidRPr="0025365D">
        <w:t>7 of the 12 cases (58%) were CIN 2 or higher</w:t>
      </w:r>
    </w:p>
    <w:p w:rsidR="002A5E3A" w:rsidRPr="0025365D" w:rsidRDefault="002A5E3A" w:rsidP="0025365D">
      <w:pPr>
        <w:pStyle w:val="Tabletext"/>
        <w:sectPr w:rsidR="002A5E3A" w:rsidRPr="0025365D" w:rsidSect="008846BA">
          <w:pgSz w:w="16839" w:h="11907" w:orient="landscape" w:code="9"/>
          <w:pgMar w:top="1701" w:right="1701" w:bottom="1418" w:left="1418" w:header="720" w:footer="720" w:gutter="0"/>
          <w:paperSrc w:first="4035" w:other="4035"/>
          <w:cols w:space="720"/>
          <w:noEndnote/>
          <w:docGrid w:linePitch="299"/>
        </w:sectPr>
      </w:pPr>
    </w:p>
    <w:p w:rsidR="002A5E3A" w:rsidRPr="002561B1" w:rsidRDefault="002A5E3A" w:rsidP="002A5E3A">
      <w:pPr>
        <w:pStyle w:val="Heading50"/>
      </w:pPr>
      <w:r>
        <w:lastRenderedPageBreak/>
        <w:t xml:space="preserve">Cell filtration LBC </w:t>
      </w:r>
      <w:r w:rsidR="003954A4">
        <w:t>vs.</w:t>
      </w:r>
      <w:r>
        <w:t xml:space="preserve"> </w:t>
      </w:r>
      <w:r w:rsidR="00066C0D">
        <w:t>CC</w:t>
      </w:r>
    </w:p>
    <w:p w:rsidR="00CE4664" w:rsidRDefault="002A5E3A" w:rsidP="002A5E3A">
      <w:r w:rsidRPr="002A5E3A">
        <w:t xml:space="preserve">The correlation between histological follow-up data, within the study period, and cytological classifications </w:t>
      </w:r>
      <w:r w:rsidR="00066C0D">
        <w:t xml:space="preserve">for women aged 25 to </w:t>
      </w:r>
      <w:r>
        <w:t xml:space="preserve">34 </w:t>
      </w:r>
      <w:r w:rsidR="008E665D">
        <w:t xml:space="preserve">years </w:t>
      </w:r>
      <w:r w:rsidRPr="002A5E3A">
        <w:t>in the</w:t>
      </w:r>
      <w:r>
        <w:t xml:space="preserve"> NTCC trial</w:t>
      </w:r>
      <w:r w:rsidRPr="002A5E3A">
        <w:t xml:space="preserve"> </w:t>
      </w:r>
      <w:r w:rsidR="00066C0D">
        <w:t xml:space="preserve">and women aged 35 to </w:t>
      </w:r>
      <w:r>
        <w:t xml:space="preserve">60 </w:t>
      </w:r>
      <w:r w:rsidR="00066C0D">
        <w:t xml:space="preserve">years </w:t>
      </w:r>
      <w:r w:rsidRPr="002A5E3A">
        <w:t xml:space="preserve">is shown in </w:t>
      </w:r>
      <w:r w:rsidR="00086C77">
        <w:fldChar w:fldCharType="begin"/>
      </w:r>
      <w:r>
        <w:instrText xml:space="preserve"> REF _Ref332185333 \h </w:instrText>
      </w:r>
      <w:r w:rsidR="00086C77">
        <w:fldChar w:fldCharType="separate"/>
      </w:r>
      <w:r w:rsidR="003361A8">
        <w:t xml:space="preserve">Table </w:t>
      </w:r>
      <w:r w:rsidR="003361A8">
        <w:rPr>
          <w:noProof/>
        </w:rPr>
        <w:t>41</w:t>
      </w:r>
      <w:r w:rsidR="00086C77">
        <w:fldChar w:fldCharType="end"/>
      </w:r>
      <w:r>
        <w:t xml:space="preserve"> and </w:t>
      </w:r>
      <w:r w:rsidR="00086C77">
        <w:fldChar w:fldCharType="begin"/>
      </w:r>
      <w:r>
        <w:instrText xml:space="preserve"> REF _Ref332185335 \h </w:instrText>
      </w:r>
      <w:r w:rsidR="00086C77">
        <w:fldChar w:fldCharType="separate"/>
      </w:r>
      <w:r w:rsidR="003361A8">
        <w:t xml:space="preserve">Table </w:t>
      </w:r>
      <w:r w:rsidR="003361A8">
        <w:rPr>
          <w:noProof/>
        </w:rPr>
        <w:t>42</w:t>
      </w:r>
      <w:r w:rsidR="00086C77">
        <w:fldChar w:fldCharType="end"/>
      </w:r>
      <w:r>
        <w:t>, respectively</w:t>
      </w:r>
      <w:r w:rsidRPr="002A5E3A">
        <w:t xml:space="preserve">. </w:t>
      </w:r>
    </w:p>
    <w:p w:rsidR="00CD0ADC" w:rsidRDefault="003E23D0" w:rsidP="002A5E3A">
      <w:r>
        <w:t>Overall</w:t>
      </w:r>
      <w:r w:rsidR="00066C0D">
        <w:t xml:space="preserve">, for the 25 to </w:t>
      </w:r>
      <w:r>
        <w:t>34 year</w:t>
      </w:r>
      <w:r w:rsidR="00066C0D">
        <w:t xml:space="preserve">s </w:t>
      </w:r>
      <w:r>
        <w:t>cohort t</w:t>
      </w:r>
      <w:r w:rsidR="002A5E3A" w:rsidRPr="002A5E3A">
        <w:t>he percentages of ASCUS, LSIL, and HSIL samples showing CIN 1</w:t>
      </w:r>
      <w:r w:rsidR="00CD0ADC">
        <w:t xml:space="preserve"> </w:t>
      </w:r>
      <w:r w:rsidR="00CD0ADC" w:rsidRPr="002A5E3A">
        <w:t xml:space="preserve">histology </w:t>
      </w:r>
      <w:r w:rsidR="00B22B15">
        <w:t xml:space="preserve">with cell filtration LBC </w:t>
      </w:r>
      <w:r w:rsidR="00CD0ADC">
        <w:t xml:space="preserve">are </w:t>
      </w:r>
      <w:r w:rsidR="00B22B15">
        <w:t>double that</w:t>
      </w:r>
      <w:r w:rsidR="00066C0D">
        <w:t xml:space="preserve"> in the CC</w:t>
      </w:r>
      <w:r w:rsidR="005E4D36">
        <w:t xml:space="preserve"> arm. The proportion</w:t>
      </w:r>
      <w:r w:rsidR="00066C0D">
        <w:t>s</w:t>
      </w:r>
      <w:r w:rsidR="005E4D36">
        <w:t xml:space="preserve"> of </w:t>
      </w:r>
      <w:r w:rsidR="00977EE4" w:rsidRPr="002A5E3A">
        <w:t xml:space="preserve">ASCUS, LSIL, and HSIL </w:t>
      </w:r>
      <w:r w:rsidR="00977EE4">
        <w:t>LBC</w:t>
      </w:r>
      <w:r w:rsidR="00977EE4" w:rsidRPr="002A5E3A">
        <w:t xml:space="preserve"> </w:t>
      </w:r>
      <w:r w:rsidR="005E4D36" w:rsidRPr="002A5E3A">
        <w:t xml:space="preserve">cytology samples showing </w:t>
      </w:r>
      <w:r w:rsidR="009100BD">
        <w:t>CIN 2</w:t>
      </w:r>
      <w:r w:rsidR="002A5E3A" w:rsidRPr="002A5E3A">
        <w:t xml:space="preserve"> histo</w:t>
      </w:r>
      <w:r w:rsidR="00066C0D">
        <w:t>logy we</w:t>
      </w:r>
      <w:r w:rsidR="002A5E3A" w:rsidRPr="002A5E3A">
        <w:t>re</w:t>
      </w:r>
      <w:r w:rsidR="002A5E3A">
        <w:t xml:space="preserve"> </w:t>
      </w:r>
      <w:r w:rsidR="00977EE4">
        <w:t xml:space="preserve">also </w:t>
      </w:r>
      <w:r w:rsidR="002A5E3A">
        <w:t>high</w:t>
      </w:r>
      <w:r w:rsidR="00CD0ADC">
        <w:t>er</w:t>
      </w:r>
      <w:r w:rsidR="002A5E3A">
        <w:t xml:space="preserve"> in the </w:t>
      </w:r>
      <w:r w:rsidR="003C0082">
        <w:t>LBC</w:t>
      </w:r>
      <w:r w:rsidR="002A5E3A">
        <w:t xml:space="preserve"> arm</w:t>
      </w:r>
      <w:r w:rsidR="009100BD">
        <w:t xml:space="preserve"> </w:t>
      </w:r>
      <w:r w:rsidR="00977EE4">
        <w:t xml:space="preserve">than in the </w:t>
      </w:r>
      <w:r w:rsidR="00066C0D">
        <w:t>CC</w:t>
      </w:r>
      <w:r w:rsidR="00977EE4">
        <w:t xml:space="preserve"> arm, twice as high</w:t>
      </w:r>
      <w:r w:rsidR="00B22B15">
        <w:t>,</w:t>
      </w:r>
      <w:r w:rsidR="00977EE4">
        <w:t xml:space="preserve"> with the exception</w:t>
      </w:r>
      <w:r w:rsidR="00B22B15">
        <w:t xml:space="preserve"> of HSIL-CIN2 findings. </w:t>
      </w:r>
      <w:r w:rsidR="00B22B15" w:rsidRPr="00673EC8">
        <w:t>There a</w:t>
      </w:r>
      <w:r w:rsidR="00977EE4" w:rsidRPr="00673EC8">
        <w:t xml:space="preserve">re </w:t>
      </w:r>
      <w:r w:rsidR="00673EC8" w:rsidRPr="00673EC8">
        <w:t>a similar number of</w:t>
      </w:r>
      <w:r w:rsidR="00977EE4" w:rsidRPr="00673EC8">
        <w:t xml:space="preserve"> ASCUS, LSIL, and HSIL LBC cytology samples showing CIN 3 histology</w:t>
      </w:r>
      <w:r w:rsidR="00CD0ADC" w:rsidRPr="00673EC8">
        <w:t xml:space="preserve"> </w:t>
      </w:r>
      <w:r w:rsidR="00977EE4" w:rsidRPr="00673EC8">
        <w:t xml:space="preserve">compared with the </w:t>
      </w:r>
      <w:r w:rsidR="00066C0D" w:rsidRPr="00673EC8">
        <w:t>CC</w:t>
      </w:r>
      <w:r w:rsidR="00977EE4" w:rsidRPr="00673EC8">
        <w:t xml:space="preserve"> arm </w:t>
      </w:r>
      <w:r w:rsidR="00CD0ADC" w:rsidRPr="00673EC8">
        <w:t>(</w:t>
      </w:r>
      <w:r w:rsidR="00086C77">
        <w:fldChar w:fldCharType="begin"/>
      </w:r>
      <w:r w:rsidR="00086C77">
        <w:instrText xml:space="preserve"> REF _Ref332185333 \h  \* MERGEFORMAT </w:instrText>
      </w:r>
      <w:r w:rsidR="00086C77">
        <w:fldChar w:fldCharType="separate"/>
      </w:r>
      <w:r w:rsidR="003361A8">
        <w:t xml:space="preserve">Table </w:t>
      </w:r>
      <w:r w:rsidR="003361A8">
        <w:rPr>
          <w:noProof/>
        </w:rPr>
        <w:t>41</w:t>
      </w:r>
      <w:r w:rsidR="00086C77">
        <w:fldChar w:fldCharType="end"/>
      </w:r>
      <w:r w:rsidR="00CD0ADC" w:rsidRPr="00673EC8">
        <w:t>)</w:t>
      </w:r>
      <w:r w:rsidR="009100BD" w:rsidRPr="00673EC8">
        <w:t>.</w:t>
      </w:r>
    </w:p>
    <w:p w:rsidR="00CD0ADC" w:rsidRDefault="00CD0ADC" w:rsidP="00CD0ADC">
      <w:pPr>
        <w:rPr>
          <w:rFonts w:ascii="Arial Narrow" w:hAnsi="Arial Narrow"/>
          <w:sz w:val="16"/>
          <w:szCs w:val="22"/>
        </w:rPr>
      </w:pPr>
      <w:r>
        <w:t>The correlati</w:t>
      </w:r>
      <w:r w:rsidR="00066C0D">
        <w:t xml:space="preserve">on between cytological </w:t>
      </w:r>
      <w:r>
        <w:t>and h</w:t>
      </w:r>
      <w:r w:rsidR="00066C0D">
        <w:t>istological findings for the 35 to 60 years</w:t>
      </w:r>
      <w:r>
        <w:t xml:space="preserve"> cohort is </w:t>
      </w:r>
      <w:r w:rsidR="00AC1F3B">
        <w:t>similar to</w:t>
      </w:r>
      <w:r>
        <w:t xml:space="preserve"> that seen for the younger women</w:t>
      </w:r>
      <w:r w:rsidR="00066C0D">
        <w:t xml:space="preserve"> (25 to </w:t>
      </w:r>
      <w:r w:rsidR="00B22B15">
        <w:t>34</w:t>
      </w:r>
      <w:r w:rsidR="00066C0D">
        <w:t xml:space="preserve"> years</w:t>
      </w:r>
      <w:r w:rsidR="00B22B15">
        <w:t>)</w:t>
      </w:r>
      <w:r>
        <w:t>. T</w:t>
      </w:r>
      <w:r w:rsidRPr="002A5E3A">
        <w:t>he percentages of ASCUS, LSIL, and HSIL cytology samples showing CIN 1</w:t>
      </w:r>
      <w:r>
        <w:t xml:space="preserve"> and CIN 2</w:t>
      </w:r>
      <w:r w:rsidR="00066C0D">
        <w:t xml:space="preserve"> histology we</w:t>
      </w:r>
      <w:r w:rsidRPr="002A5E3A">
        <w:t>re</w:t>
      </w:r>
      <w:r>
        <w:t xml:space="preserve"> high</w:t>
      </w:r>
      <w:r w:rsidR="00977EE4">
        <w:t>er</w:t>
      </w:r>
      <w:r>
        <w:t xml:space="preserve"> in the </w:t>
      </w:r>
      <w:r w:rsidR="00AC1F3B">
        <w:t>cell filtration LBC ar</w:t>
      </w:r>
      <w:r>
        <w:t>m but the same or lower for CIN</w:t>
      </w:r>
      <w:r w:rsidR="00066C0D">
        <w:t xml:space="preserve"> </w:t>
      </w:r>
      <w:r>
        <w:t>3 findings.</w:t>
      </w:r>
    </w:p>
    <w:p w:rsidR="002A5E3A" w:rsidRDefault="002A5E3A" w:rsidP="00114D62">
      <w:pPr>
        <w:pStyle w:val="Tablenotes"/>
        <w:spacing w:before="0" w:after="0"/>
        <w:rPr>
          <w:rFonts w:ascii="Californian FB" w:hAnsi="Californian FB"/>
          <w:sz w:val="22"/>
          <w:szCs w:val="24"/>
        </w:rPr>
        <w:sectPr w:rsidR="002A5E3A" w:rsidSect="008846BA">
          <w:pgSz w:w="11907" w:h="16839" w:code="9"/>
          <w:pgMar w:top="1701" w:right="1418" w:bottom="1418" w:left="1701" w:header="720" w:footer="720" w:gutter="0"/>
          <w:paperSrc w:first="4035" w:other="4035"/>
          <w:cols w:space="720"/>
          <w:noEndnote/>
          <w:docGrid w:linePitch="299"/>
        </w:sectPr>
      </w:pPr>
    </w:p>
    <w:p w:rsidR="00114D62" w:rsidRDefault="00114D62" w:rsidP="00114D62">
      <w:pPr>
        <w:pStyle w:val="Caption"/>
      </w:pPr>
      <w:bookmarkStart w:id="357" w:name="_Ref332185333"/>
      <w:bookmarkStart w:id="358" w:name="_Toc331766472"/>
      <w:bookmarkStart w:id="359" w:name="_Toc335666007"/>
      <w:bookmarkStart w:id="360" w:name="_Toc337546978"/>
      <w:r>
        <w:lastRenderedPageBreak/>
        <w:t xml:space="preserve">Table </w:t>
      </w:r>
      <w:fldSimple w:instr=" SEQ Table \* ARABIC ">
        <w:r w:rsidR="003361A8">
          <w:rPr>
            <w:noProof/>
          </w:rPr>
          <w:t>41</w:t>
        </w:r>
      </w:fldSimple>
      <w:bookmarkEnd w:id="357"/>
      <w:r>
        <w:tab/>
        <w:t>Correlation between cy</w:t>
      </w:r>
      <w:r w:rsidR="00286B64">
        <w:t>tological and histological data</w:t>
      </w:r>
      <w:r w:rsidR="007E7C62">
        <w:t>—</w:t>
      </w:r>
      <w:r w:rsidR="00FB3DC0">
        <w:t>CC</w:t>
      </w:r>
      <w:r>
        <w:t xml:space="preserve"> versus </w:t>
      </w:r>
      <w:r w:rsidR="007E7C62">
        <w:t>cell filtration LBC;</w:t>
      </w:r>
      <w:r w:rsidR="00FB3DC0">
        <w:t xml:space="preserve"> </w:t>
      </w:r>
      <w:r>
        <w:t>NTCC trial</w:t>
      </w:r>
      <w:r w:rsidR="007E7C62">
        <w:t>, a</w:t>
      </w:r>
      <w:r>
        <w:t>ge</w:t>
      </w:r>
      <w:r w:rsidR="00FB3DC0">
        <w:t xml:space="preserve">s 25 to </w:t>
      </w:r>
      <w:r>
        <w:t>34</w:t>
      </w:r>
      <w:r w:rsidR="00286B64">
        <w:t xml:space="preserve"> years:</w:t>
      </w:r>
      <w:r w:rsidR="00FB3DC0">
        <w:t xml:space="preserve"> Ronco </w:t>
      </w:r>
      <w:r>
        <w:t>2006a</w:t>
      </w:r>
      <w:bookmarkEnd w:id="358"/>
      <w:bookmarkEnd w:id="359"/>
      <w:bookmarkEnd w:id="36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0"/>
        <w:gridCol w:w="1749"/>
        <w:gridCol w:w="1185"/>
        <w:gridCol w:w="1013"/>
        <w:gridCol w:w="1023"/>
        <w:gridCol w:w="1013"/>
        <w:gridCol w:w="1749"/>
        <w:gridCol w:w="1185"/>
        <w:gridCol w:w="1023"/>
        <w:gridCol w:w="1023"/>
        <w:gridCol w:w="1023"/>
      </w:tblGrid>
      <w:tr w:rsidR="00114D62" w:rsidRPr="00FB3DC0" w:rsidTr="00FB3DC0">
        <w:tc>
          <w:tcPr>
            <w:tcW w:w="0" w:type="auto"/>
            <w:tcBorders>
              <w:right w:val="single" w:sz="4" w:space="0" w:color="auto"/>
            </w:tcBorders>
          </w:tcPr>
          <w:p w:rsidR="00114D62" w:rsidRPr="00FB3DC0" w:rsidRDefault="00114D62" w:rsidP="00624C00">
            <w:pPr>
              <w:pStyle w:val="Tabletext"/>
              <w:rPr>
                <w:b/>
              </w:rPr>
            </w:pPr>
          </w:p>
        </w:tc>
        <w:tc>
          <w:tcPr>
            <w:tcW w:w="0" w:type="auto"/>
            <w:gridSpan w:val="5"/>
            <w:tcBorders>
              <w:top w:val="single" w:sz="4" w:space="0" w:color="auto"/>
              <w:left w:val="single" w:sz="4" w:space="0" w:color="auto"/>
              <w:right w:val="single" w:sz="4" w:space="0" w:color="auto"/>
            </w:tcBorders>
          </w:tcPr>
          <w:p w:rsidR="00114D62" w:rsidRPr="00FB3DC0" w:rsidRDefault="00114D62" w:rsidP="00FB3DC0">
            <w:pPr>
              <w:pStyle w:val="Tabletext"/>
              <w:jc w:val="center"/>
              <w:rPr>
                <w:b/>
              </w:rPr>
            </w:pPr>
            <w:r w:rsidRPr="00FB3DC0">
              <w:rPr>
                <w:b/>
              </w:rPr>
              <w:t xml:space="preserve">Conventional </w:t>
            </w:r>
            <w:r w:rsidR="00FB3DC0">
              <w:rPr>
                <w:b/>
              </w:rPr>
              <w:br/>
            </w:r>
            <w:r w:rsidRPr="00FB3DC0">
              <w:rPr>
                <w:b/>
              </w:rPr>
              <w:t>N=5808</w:t>
            </w:r>
          </w:p>
        </w:tc>
        <w:tc>
          <w:tcPr>
            <w:tcW w:w="0" w:type="auto"/>
            <w:gridSpan w:val="5"/>
            <w:tcBorders>
              <w:left w:val="single" w:sz="4" w:space="0" w:color="auto"/>
            </w:tcBorders>
          </w:tcPr>
          <w:p w:rsidR="00114D62" w:rsidRPr="00FB3DC0" w:rsidRDefault="003C0082" w:rsidP="00FB3DC0">
            <w:pPr>
              <w:pStyle w:val="Tabletext"/>
              <w:jc w:val="center"/>
              <w:rPr>
                <w:b/>
              </w:rPr>
            </w:pPr>
            <w:r w:rsidRPr="00FB3DC0">
              <w:rPr>
                <w:b/>
              </w:rPr>
              <w:t>LBC</w:t>
            </w:r>
            <w:r w:rsidR="00114D62" w:rsidRPr="00FB3DC0">
              <w:rPr>
                <w:b/>
              </w:rPr>
              <w:t xml:space="preserve"> </w:t>
            </w:r>
            <w:r w:rsidR="00FB3DC0">
              <w:rPr>
                <w:b/>
              </w:rPr>
              <w:br/>
            </w:r>
            <w:r w:rsidR="00114D62" w:rsidRPr="00FB3DC0">
              <w:rPr>
                <w:b/>
              </w:rPr>
              <w:t>N=6002</w:t>
            </w:r>
            <w:r w:rsidR="00114D62" w:rsidRPr="00FB3DC0">
              <w:rPr>
                <w:b/>
                <w:vertAlign w:val="superscript"/>
              </w:rPr>
              <w:t>c</w:t>
            </w:r>
          </w:p>
        </w:tc>
      </w:tr>
      <w:tr w:rsidR="00FB3DC0" w:rsidRPr="00FB3DC0" w:rsidTr="00FB3DC0">
        <w:tc>
          <w:tcPr>
            <w:tcW w:w="0" w:type="auto"/>
            <w:tcBorders>
              <w:right w:val="single" w:sz="4" w:space="0" w:color="auto"/>
            </w:tcBorders>
          </w:tcPr>
          <w:p w:rsidR="00FB3DC0" w:rsidRPr="00FB3DC0" w:rsidRDefault="00FB3DC0" w:rsidP="00624C00">
            <w:pPr>
              <w:pStyle w:val="Tabletext"/>
              <w:rPr>
                <w:b/>
              </w:rPr>
            </w:pPr>
          </w:p>
        </w:tc>
        <w:tc>
          <w:tcPr>
            <w:tcW w:w="0" w:type="auto"/>
            <w:gridSpan w:val="2"/>
            <w:tcBorders>
              <w:left w:val="single" w:sz="4" w:space="0" w:color="auto"/>
            </w:tcBorders>
          </w:tcPr>
          <w:p w:rsidR="00FB3DC0" w:rsidRPr="00FB3DC0" w:rsidRDefault="00FB3DC0" w:rsidP="00624C00">
            <w:pPr>
              <w:pStyle w:val="Tabletext"/>
              <w:rPr>
                <w:b/>
              </w:rPr>
            </w:pPr>
          </w:p>
        </w:tc>
        <w:tc>
          <w:tcPr>
            <w:tcW w:w="0" w:type="auto"/>
            <w:gridSpan w:val="3"/>
            <w:tcBorders>
              <w:right w:val="single" w:sz="4" w:space="0" w:color="auto"/>
            </w:tcBorders>
          </w:tcPr>
          <w:p w:rsidR="00FB3DC0" w:rsidRPr="00FB3DC0" w:rsidRDefault="00FB3DC0" w:rsidP="00FB3DC0">
            <w:pPr>
              <w:pStyle w:val="Tabletext"/>
              <w:jc w:val="center"/>
              <w:rPr>
                <w:b/>
              </w:rPr>
            </w:pPr>
            <w:r w:rsidRPr="00FB3DC0">
              <w:rPr>
                <w:b/>
              </w:rPr>
              <w:t>Histology</w:t>
            </w:r>
          </w:p>
        </w:tc>
        <w:tc>
          <w:tcPr>
            <w:tcW w:w="0" w:type="auto"/>
            <w:gridSpan w:val="2"/>
            <w:tcBorders>
              <w:left w:val="single" w:sz="4" w:space="0" w:color="auto"/>
            </w:tcBorders>
          </w:tcPr>
          <w:p w:rsidR="00FB3DC0" w:rsidRPr="00FB3DC0" w:rsidRDefault="00FB3DC0" w:rsidP="00624C00">
            <w:pPr>
              <w:pStyle w:val="Tabletext"/>
              <w:rPr>
                <w:b/>
              </w:rPr>
            </w:pPr>
          </w:p>
        </w:tc>
        <w:tc>
          <w:tcPr>
            <w:tcW w:w="0" w:type="auto"/>
            <w:gridSpan w:val="3"/>
          </w:tcPr>
          <w:p w:rsidR="00FB3DC0" w:rsidRPr="00FB3DC0" w:rsidRDefault="00FB3DC0" w:rsidP="00FB3DC0">
            <w:pPr>
              <w:pStyle w:val="Tabletext"/>
              <w:jc w:val="center"/>
              <w:rPr>
                <w:b/>
              </w:rPr>
            </w:pPr>
            <w:r w:rsidRPr="00FB3DC0">
              <w:rPr>
                <w:b/>
              </w:rPr>
              <w:t>Histology</w:t>
            </w:r>
          </w:p>
        </w:tc>
      </w:tr>
      <w:tr w:rsidR="00114D62" w:rsidRPr="00FB3DC0" w:rsidTr="00FB3DC0">
        <w:tc>
          <w:tcPr>
            <w:tcW w:w="0" w:type="auto"/>
            <w:tcBorders>
              <w:right w:val="single" w:sz="4" w:space="0" w:color="auto"/>
            </w:tcBorders>
          </w:tcPr>
          <w:p w:rsidR="00114D62" w:rsidRPr="00FB3DC0" w:rsidRDefault="00114D62" w:rsidP="00624C00">
            <w:pPr>
              <w:pStyle w:val="Tabletext"/>
              <w:rPr>
                <w:b/>
              </w:rPr>
            </w:pPr>
          </w:p>
        </w:tc>
        <w:tc>
          <w:tcPr>
            <w:tcW w:w="0" w:type="auto"/>
            <w:tcBorders>
              <w:left w:val="single" w:sz="4" w:space="0" w:color="auto"/>
            </w:tcBorders>
          </w:tcPr>
          <w:p w:rsidR="00114D62" w:rsidRPr="00FB3DC0" w:rsidRDefault="00FB3DC0" w:rsidP="00624C00">
            <w:pPr>
              <w:pStyle w:val="Tabletext"/>
              <w:rPr>
                <w:b/>
              </w:rPr>
            </w:pPr>
            <w:r>
              <w:rPr>
                <w:b/>
              </w:rPr>
              <w:t>No c</w:t>
            </w:r>
            <w:r w:rsidR="00114D62" w:rsidRPr="00FB3DC0">
              <w:rPr>
                <w:b/>
              </w:rPr>
              <w:t xml:space="preserve">olposcopy, </w:t>
            </w:r>
            <w:proofErr w:type="gramStart"/>
            <w:r w:rsidR="00114D62" w:rsidRPr="00FB3DC0">
              <w:rPr>
                <w:b/>
              </w:rPr>
              <w:t>n(</w:t>
            </w:r>
            <w:proofErr w:type="gramEnd"/>
            <w:r w:rsidR="00114D62" w:rsidRPr="00FB3DC0">
              <w:rPr>
                <w:b/>
              </w:rPr>
              <w:t>%)</w:t>
            </w:r>
          </w:p>
        </w:tc>
        <w:tc>
          <w:tcPr>
            <w:tcW w:w="0" w:type="auto"/>
          </w:tcPr>
          <w:p w:rsidR="00114D62" w:rsidRPr="00FB3DC0" w:rsidRDefault="00114D62" w:rsidP="00624C00">
            <w:pPr>
              <w:pStyle w:val="Tabletext"/>
              <w:rPr>
                <w:b/>
              </w:rPr>
            </w:pPr>
            <w:r w:rsidRPr="00FB3DC0">
              <w:rPr>
                <w:b/>
              </w:rPr>
              <w:t>No CIN</w:t>
            </w:r>
            <w:r w:rsidRPr="00FB3DC0">
              <w:rPr>
                <w:b/>
                <w:vertAlign w:val="superscript"/>
              </w:rPr>
              <w:t>a</w:t>
            </w:r>
            <w:r w:rsidRPr="00FB3DC0">
              <w:rPr>
                <w:b/>
              </w:rPr>
              <w:t xml:space="preserve">, </w:t>
            </w:r>
            <w:proofErr w:type="gramStart"/>
            <w:r w:rsidRPr="00FB3DC0">
              <w:rPr>
                <w:b/>
              </w:rPr>
              <w:t>n(</w:t>
            </w:r>
            <w:proofErr w:type="gramEnd"/>
            <w:r w:rsidRPr="00FB3DC0">
              <w:rPr>
                <w:b/>
              </w:rPr>
              <w:t>%)</w:t>
            </w:r>
          </w:p>
        </w:tc>
        <w:tc>
          <w:tcPr>
            <w:tcW w:w="0" w:type="auto"/>
          </w:tcPr>
          <w:p w:rsidR="00114D62" w:rsidRPr="00FB3DC0" w:rsidRDefault="00114D62" w:rsidP="00624C00">
            <w:pPr>
              <w:pStyle w:val="Tabletext"/>
              <w:rPr>
                <w:b/>
              </w:rPr>
            </w:pPr>
            <w:r w:rsidRPr="00FB3DC0">
              <w:rPr>
                <w:b/>
              </w:rPr>
              <w:t xml:space="preserve">CIN 1, </w:t>
            </w:r>
            <w:proofErr w:type="gramStart"/>
            <w:r w:rsidRPr="00FB3DC0">
              <w:rPr>
                <w:b/>
              </w:rPr>
              <w:t>n(</w:t>
            </w:r>
            <w:proofErr w:type="gramEnd"/>
            <w:r w:rsidRPr="00FB3DC0">
              <w:rPr>
                <w:b/>
              </w:rPr>
              <w:t>%)</w:t>
            </w:r>
          </w:p>
        </w:tc>
        <w:tc>
          <w:tcPr>
            <w:tcW w:w="0" w:type="auto"/>
          </w:tcPr>
          <w:p w:rsidR="00114D62" w:rsidRPr="00FB3DC0" w:rsidRDefault="00114D62" w:rsidP="00624C00">
            <w:pPr>
              <w:pStyle w:val="Tabletext"/>
              <w:rPr>
                <w:b/>
              </w:rPr>
            </w:pPr>
            <w:r w:rsidRPr="00FB3DC0">
              <w:rPr>
                <w:b/>
              </w:rPr>
              <w:t xml:space="preserve">CIN 2, </w:t>
            </w:r>
            <w:proofErr w:type="gramStart"/>
            <w:r w:rsidRPr="00FB3DC0">
              <w:rPr>
                <w:b/>
              </w:rPr>
              <w:t>n(</w:t>
            </w:r>
            <w:proofErr w:type="gramEnd"/>
            <w:r w:rsidRPr="00FB3DC0">
              <w:rPr>
                <w:b/>
              </w:rPr>
              <w:t>%)</w:t>
            </w:r>
          </w:p>
        </w:tc>
        <w:tc>
          <w:tcPr>
            <w:tcW w:w="0" w:type="auto"/>
            <w:tcBorders>
              <w:right w:val="single" w:sz="4" w:space="0" w:color="auto"/>
            </w:tcBorders>
          </w:tcPr>
          <w:p w:rsidR="00114D62" w:rsidRPr="00FB3DC0" w:rsidRDefault="00114D62" w:rsidP="00624C00">
            <w:pPr>
              <w:pStyle w:val="Tabletext"/>
              <w:rPr>
                <w:b/>
              </w:rPr>
            </w:pPr>
            <w:r w:rsidRPr="00FB3DC0">
              <w:rPr>
                <w:b/>
              </w:rPr>
              <w:t xml:space="preserve">CIN 3, </w:t>
            </w:r>
            <w:proofErr w:type="gramStart"/>
            <w:r w:rsidRPr="00FB3DC0">
              <w:rPr>
                <w:b/>
              </w:rPr>
              <w:t>n(</w:t>
            </w:r>
            <w:proofErr w:type="gramEnd"/>
            <w:r w:rsidRPr="00FB3DC0">
              <w:rPr>
                <w:b/>
              </w:rPr>
              <w:t>%)</w:t>
            </w:r>
          </w:p>
        </w:tc>
        <w:tc>
          <w:tcPr>
            <w:tcW w:w="0" w:type="auto"/>
            <w:tcBorders>
              <w:left w:val="single" w:sz="4" w:space="0" w:color="auto"/>
            </w:tcBorders>
          </w:tcPr>
          <w:p w:rsidR="00114D62" w:rsidRPr="00FB3DC0" w:rsidRDefault="00FB3DC0" w:rsidP="00624C00">
            <w:pPr>
              <w:pStyle w:val="Tabletext"/>
              <w:rPr>
                <w:b/>
              </w:rPr>
            </w:pPr>
            <w:r>
              <w:rPr>
                <w:b/>
              </w:rPr>
              <w:t>No c</w:t>
            </w:r>
            <w:r w:rsidR="00114D62" w:rsidRPr="00FB3DC0">
              <w:rPr>
                <w:b/>
              </w:rPr>
              <w:t xml:space="preserve">olposcopy, </w:t>
            </w:r>
            <w:proofErr w:type="gramStart"/>
            <w:r w:rsidR="00114D62" w:rsidRPr="00FB3DC0">
              <w:rPr>
                <w:b/>
              </w:rPr>
              <w:t>n(</w:t>
            </w:r>
            <w:proofErr w:type="gramEnd"/>
            <w:r w:rsidR="00114D62" w:rsidRPr="00FB3DC0">
              <w:rPr>
                <w:b/>
              </w:rPr>
              <w:t>%)</w:t>
            </w:r>
          </w:p>
        </w:tc>
        <w:tc>
          <w:tcPr>
            <w:tcW w:w="0" w:type="auto"/>
          </w:tcPr>
          <w:p w:rsidR="00114D62" w:rsidRPr="00FB3DC0" w:rsidRDefault="00114D62" w:rsidP="00624C00">
            <w:pPr>
              <w:pStyle w:val="Tabletext"/>
              <w:rPr>
                <w:b/>
              </w:rPr>
            </w:pPr>
            <w:r w:rsidRPr="00FB3DC0">
              <w:rPr>
                <w:b/>
              </w:rPr>
              <w:t>No CIN</w:t>
            </w:r>
            <w:r w:rsidRPr="00FB3DC0">
              <w:rPr>
                <w:b/>
                <w:vertAlign w:val="superscript"/>
              </w:rPr>
              <w:t>a</w:t>
            </w:r>
            <w:r w:rsidRPr="00FB3DC0">
              <w:rPr>
                <w:b/>
              </w:rPr>
              <w:t xml:space="preserve">, </w:t>
            </w:r>
            <w:proofErr w:type="gramStart"/>
            <w:r w:rsidRPr="00FB3DC0">
              <w:rPr>
                <w:b/>
              </w:rPr>
              <w:t>n(</w:t>
            </w:r>
            <w:proofErr w:type="gramEnd"/>
            <w:r w:rsidRPr="00FB3DC0">
              <w:rPr>
                <w:b/>
              </w:rPr>
              <w:t>%)</w:t>
            </w:r>
          </w:p>
        </w:tc>
        <w:tc>
          <w:tcPr>
            <w:tcW w:w="0" w:type="auto"/>
          </w:tcPr>
          <w:p w:rsidR="00114D62" w:rsidRPr="00FB3DC0" w:rsidRDefault="00114D62" w:rsidP="00624C00">
            <w:pPr>
              <w:pStyle w:val="Tabletext"/>
              <w:rPr>
                <w:b/>
              </w:rPr>
            </w:pPr>
            <w:r w:rsidRPr="00FB3DC0">
              <w:rPr>
                <w:b/>
              </w:rPr>
              <w:t xml:space="preserve">CIN 1, </w:t>
            </w:r>
            <w:proofErr w:type="gramStart"/>
            <w:r w:rsidRPr="00FB3DC0">
              <w:rPr>
                <w:b/>
              </w:rPr>
              <w:t>n(</w:t>
            </w:r>
            <w:proofErr w:type="gramEnd"/>
            <w:r w:rsidRPr="00FB3DC0">
              <w:rPr>
                <w:b/>
              </w:rPr>
              <w:t>%)</w:t>
            </w:r>
          </w:p>
        </w:tc>
        <w:tc>
          <w:tcPr>
            <w:tcW w:w="0" w:type="auto"/>
          </w:tcPr>
          <w:p w:rsidR="00114D62" w:rsidRPr="00FB3DC0" w:rsidRDefault="00114D62" w:rsidP="00624C00">
            <w:pPr>
              <w:pStyle w:val="Tabletext"/>
              <w:rPr>
                <w:b/>
              </w:rPr>
            </w:pPr>
            <w:r w:rsidRPr="00FB3DC0">
              <w:rPr>
                <w:b/>
              </w:rPr>
              <w:t xml:space="preserve">CIN 2, </w:t>
            </w:r>
            <w:proofErr w:type="gramStart"/>
            <w:r w:rsidRPr="00FB3DC0">
              <w:rPr>
                <w:b/>
              </w:rPr>
              <w:t>n(</w:t>
            </w:r>
            <w:proofErr w:type="gramEnd"/>
            <w:r w:rsidRPr="00FB3DC0">
              <w:rPr>
                <w:b/>
              </w:rPr>
              <w:t>%)</w:t>
            </w:r>
          </w:p>
        </w:tc>
        <w:tc>
          <w:tcPr>
            <w:tcW w:w="0" w:type="auto"/>
          </w:tcPr>
          <w:p w:rsidR="00114D62" w:rsidRPr="00FB3DC0" w:rsidRDefault="00114D62" w:rsidP="00624C00">
            <w:pPr>
              <w:pStyle w:val="Tabletext"/>
              <w:rPr>
                <w:b/>
              </w:rPr>
            </w:pPr>
            <w:r w:rsidRPr="00FB3DC0">
              <w:rPr>
                <w:b/>
              </w:rPr>
              <w:t xml:space="preserve">CIN 3, </w:t>
            </w:r>
            <w:proofErr w:type="gramStart"/>
            <w:r w:rsidRPr="00FB3DC0">
              <w:rPr>
                <w:b/>
              </w:rPr>
              <w:t>n(</w:t>
            </w:r>
            <w:proofErr w:type="gramEnd"/>
            <w:r w:rsidRPr="00FB3DC0">
              <w:rPr>
                <w:b/>
              </w:rPr>
              <w:t>%)</w:t>
            </w:r>
          </w:p>
        </w:tc>
      </w:tr>
      <w:tr w:rsidR="00114D62" w:rsidRPr="00767F7A" w:rsidTr="00FB3DC0">
        <w:tc>
          <w:tcPr>
            <w:tcW w:w="0" w:type="auto"/>
            <w:tcBorders>
              <w:right w:val="single" w:sz="4" w:space="0" w:color="auto"/>
            </w:tcBorders>
          </w:tcPr>
          <w:p w:rsidR="00114D62" w:rsidRDefault="00114D62" w:rsidP="00624C00">
            <w:pPr>
              <w:pStyle w:val="Tabletext"/>
            </w:pPr>
            <w:r>
              <w:t>Unsatisfactory</w:t>
            </w:r>
          </w:p>
        </w:tc>
        <w:tc>
          <w:tcPr>
            <w:tcW w:w="0" w:type="auto"/>
            <w:tcBorders>
              <w:left w:val="single" w:sz="4" w:space="0" w:color="auto"/>
            </w:tcBorders>
          </w:tcPr>
          <w:p w:rsidR="00114D62" w:rsidRDefault="00114D62" w:rsidP="00624C00">
            <w:pPr>
              <w:pStyle w:val="Tabletext"/>
            </w:pPr>
            <w:r>
              <w:t>131</w:t>
            </w:r>
            <w:r w:rsidRPr="00591385">
              <w:rPr>
                <w:vertAlign w:val="superscript"/>
              </w:rPr>
              <w:t>b</w:t>
            </w:r>
            <w:r w:rsidR="00FB3DC0">
              <w:rPr>
                <w:vertAlign w:val="superscript"/>
              </w:rPr>
              <w:t xml:space="preserve"> </w:t>
            </w:r>
            <w:r w:rsidRPr="001278D7">
              <w:t>(</w:t>
            </w:r>
            <w:r>
              <w:t>2.3)</w:t>
            </w:r>
          </w:p>
        </w:tc>
        <w:tc>
          <w:tcPr>
            <w:tcW w:w="0" w:type="auto"/>
          </w:tcPr>
          <w:p w:rsidR="00114D62" w:rsidRDefault="00114D62" w:rsidP="00624C00">
            <w:pPr>
              <w:pStyle w:val="Tabletext"/>
            </w:pPr>
            <w:r>
              <w:t>4</w:t>
            </w:r>
            <w:r w:rsidRPr="00591385">
              <w:rPr>
                <w:vertAlign w:val="superscript"/>
              </w:rPr>
              <w:t xml:space="preserve"> b</w:t>
            </w:r>
            <w:r w:rsidR="00FB3DC0">
              <w:rPr>
                <w:vertAlign w:val="superscript"/>
              </w:rPr>
              <w:t xml:space="preserve"> </w:t>
            </w:r>
            <w:r w:rsidRPr="001278D7">
              <w:t>(</w:t>
            </w:r>
            <w:r>
              <w:t>0.1)</w:t>
            </w:r>
          </w:p>
        </w:tc>
        <w:tc>
          <w:tcPr>
            <w:tcW w:w="0" w:type="auto"/>
          </w:tcPr>
          <w:p w:rsidR="00114D62" w:rsidRDefault="00114D62" w:rsidP="00624C00">
            <w:pPr>
              <w:pStyle w:val="Tabletext"/>
            </w:pPr>
            <w:r>
              <w:t>0</w:t>
            </w:r>
          </w:p>
        </w:tc>
        <w:tc>
          <w:tcPr>
            <w:tcW w:w="0" w:type="auto"/>
          </w:tcPr>
          <w:p w:rsidR="00114D62" w:rsidRDefault="00114D62" w:rsidP="00624C00">
            <w:pPr>
              <w:pStyle w:val="Tabletext"/>
            </w:pPr>
            <w:r>
              <w:t>0</w:t>
            </w:r>
          </w:p>
        </w:tc>
        <w:tc>
          <w:tcPr>
            <w:tcW w:w="0" w:type="auto"/>
            <w:tcBorders>
              <w:right w:val="single" w:sz="4" w:space="0" w:color="auto"/>
            </w:tcBorders>
          </w:tcPr>
          <w:p w:rsidR="00114D62" w:rsidRDefault="00114D62" w:rsidP="00624C00">
            <w:pPr>
              <w:pStyle w:val="Tabletext"/>
            </w:pPr>
            <w:r>
              <w:t>0</w:t>
            </w:r>
          </w:p>
        </w:tc>
        <w:tc>
          <w:tcPr>
            <w:tcW w:w="0" w:type="auto"/>
            <w:tcBorders>
              <w:left w:val="single" w:sz="4" w:space="0" w:color="auto"/>
            </w:tcBorders>
          </w:tcPr>
          <w:p w:rsidR="00114D62" w:rsidRDefault="00114D62" w:rsidP="00624C00">
            <w:pPr>
              <w:pStyle w:val="Tabletext"/>
            </w:pPr>
            <w:r>
              <w:t>77</w:t>
            </w:r>
            <w:r w:rsidR="00FB3DC0">
              <w:t xml:space="preserve"> </w:t>
            </w:r>
            <w:r>
              <w:t>(1.3)</w:t>
            </w:r>
          </w:p>
        </w:tc>
        <w:tc>
          <w:tcPr>
            <w:tcW w:w="0" w:type="auto"/>
          </w:tcPr>
          <w:p w:rsidR="00114D62" w:rsidRDefault="00114D62" w:rsidP="00624C00">
            <w:pPr>
              <w:pStyle w:val="Tabletext"/>
            </w:pPr>
            <w:r>
              <w:t>3</w:t>
            </w:r>
            <w:r w:rsidR="00FB3DC0">
              <w:t xml:space="preserve"> </w:t>
            </w:r>
            <w:r>
              <w:t>(0.05)</w:t>
            </w:r>
          </w:p>
        </w:tc>
        <w:tc>
          <w:tcPr>
            <w:tcW w:w="0" w:type="auto"/>
          </w:tcPr>
          <w:p w:rsidR="00114D62" w:rsidRDefault="00114D62" w:rsidP="00624C00">
            <w:pPr>
              <w:pStyle w:val="Tabletext"/>
            </w:pPr>
            <w:r>
              <w:t>0</w:t>
            </w:r>
          </w:p>
        </w:tc>
        <w:tc>
          <w:tcPr>
            <w:tcW w:w="0" w:type="auto"/>
          </w:tcPr>
          <w:p w:rsidR="00114D62" w:rsidRDefault="00114D62" w:rsidP="00624C00">
            <w:pPr>
              <w:pStyle w:val="Tabletext"/>
            </w:pPr>
            <w:r>
              <w:t>0</w:t>
            </w:r>
          </w:p>
        </w:tc>
        <w:tc>
          <w:tcPr>
            <w:tcW w:w="0" w:type="auto"/>
          </w:tcPr>
          <w:p w:rsidR="00114D62" w:rsidRDefault="00114D62" w:rsidP="00624C00">
            <w:pPr>
              <w:pStyle w:val="Tabletext"/>
            </w:pPr>
            <w:r>
              <w:t>0</w:t>
            </w:r>
          </w:p>
        </w:tc>
      </w:tr>
      <w:tr w:rsidR="00114D62" w:rsidRPr="00767F7A" w:rsidTr="00FB3DC0">
        <w:tc>
          <w:tcPr>
            <w:tcW w:w="0" w:type="auto"/>
            <w:tcBorders>
              <w:right w:val="single" w:sz="4" w:space="0" w:color="auto"/>
            </w:tcBorders>
          </w:tcPr>
          <w:p w:rsidR="00114D62" w:rsidRDefault="00114D62" w:rsidP="00624C00">
            <w:pPr>
              <w:pStyle w:val="Tabletext"/>
            </w:pPr>
            <w:r>
              <w:t>Normal or benign change</w:t>
            </w:r>
          </w:p>
        </w:tc>
        <w:tc>
          <w:tcPr>
            <w:tcW w:w="0" w:type="auto"/>
            <w:tcBorders>
              <w:left w:val="single" w:sz="4" w:space="0" w:color="auto"/>
            </w:tcBorders>
          </w:tcPr>
          <w:p w:rsidR="00114D62" w:rsidRDefault="00114D62" w:rsidP="00624C00">
            <w:pPr>
              <w:pStyle w:val="Tabletext"/>
            </w:pPr>
            <w:r>
              <w:t>5410</w:t>
            </w:r>
            <w:r w:rsidR="00FB3DC0">
              <w:t xml:space="preserve"> </w:t>
            </w:r>
            <w:r>
              <w:t>(93.2)</w:t>
            </w:r>
          </w:p>
        </w:tc>
        <w:tc>
          <w:tcPr>
            <w:tcW w:w="0" w:type="auto"/>
          </w:tcPr>
          <w:p w:rsidR="00114D62" w:rsidRDefault="00114D62" w:rsidP="00624C00">
            <w:pPr>
              <w:pStyle w:val="Tabletext"/>
            </w:pPr>
            <w:r>
              <w:t>2</w:t>
            </w:r>
            <w:r w:rsidR="00FB3DC0">
              <w:t xml:space="preserve"> </w:t>
            </w:r>
            <w:r>
              <w:t>(0.03)</w:t>
            </w:r>
          </w:p>
        </w:tc>
        <w:tc>
          <w:tcPr>
            <w:tcW w:w="0" w:type="auto"/>
          </w:tcPr>
          <w:p w:rsidR="00114D62" w:rsidRDefault="00114D62" w:rsidP="00624C00">
            <w:pPr>
              <w:pStyle w:val="Tabletext"/>
            </w:pPr>
            <w:r>
              <w:t>0</w:t>
            </w:r>
          </w:p>
        </w:tc>
        <w:tc>
          <w:tcPr>
            <w:tcW w:w="0" w:type="auto"/>
          </w:tcPr>
          <w:p w:rsidR="00114D62" w:rsidRDefault="00114D62" w:rsidP="00624C00">
            <w:pPr>
              <w:pStyle w:val="Tabletext"/>
            </w:pPr>
            <w:r>
              <w:t>0</w:t>
            </w:r>
          </w:p>
        </w:tc>
        <w:tc>
          <w:tcPr>
            <w:tcW w:w="0" w:type="auto"/>
            <w:tcBorders>
              <w:right w:val="single" w:sz="4" w:space="0" w:color="auto"/>
            </w:tcBorders>
          </w:tcPr>
          <w:p w:rsidR="00114D62" w:rsidRPr="0067783C" w:rsidRDefault="00114D62" w:rsidP="00624C00">
            <w:pPr>
              <w:pStyle w:val="Tabletext"/>
            </w:pPr>
            <w:r>
              <w:t>0</w:t>
            </w:r>
          </w:p>
        </w:tc>
        <w:tc>
          <w:tcPr>
            <w:tcW w:w="0" w:type="auto"/>
            <w:tcBorders>
              <w:left w:val="single" w:sz="4" w:space="0" w:color="auto"/>
            </w:tcBorders>
          </w:tcPr>
          <w:p w:rsidR="00114D62" w:rsidRDefault="00114D62" w:rsidP="00624C00">
            <w:pPr>
              <w:pStyle w:val="Tabletext"/>
            </w:pPr>
            <w:r>
              <w:t>5376</w:t>
            </w:r>
            <w:r w:rsidR="00FB3DC0">
              <w:t xml:space="preserve"> </w:t>
            </w:r>
            <w:r>
              <w:t>(89.6)</w:t>
            </w:r>
          </w:p>
        </w:tc>
        <w:tc>
          <w:tcPr>
            <w:tcW w:w="0" w:type="auto"/>
          </w:tcPr>
          <w:p w:rsidR="00114D62" w:rsidRDefault="00114D62" w:rsidP="00624C00">
            <w:pPr>
              <w:pStyle w:val="Tabletext"/>
            </w:pPr>
            <w:r>
              <w:t>14</w:t>
            </w:r>
            <w:r w:rsidR="00FB3DC0">
              <w:t xml:space="preserve"> </w:t>
            </w:r>
            <w:r>
              <w:t>(0.2)</w:t>
            </w:r>
          </w:p>
        </w:tc>
        <w:tc>
          <w:tcPr>
            <w:tcW w:w="0" w:type="auto"/>
          </w:tcPr>
          <w:p w:rsidR="00114D62" w:rsidRDefault="00114D62" w:rsidP="00624C00">
            <w:pPr>
              <w:pStyle w:val="Tabletext"/>
            </w:pPr>
            <w:r>
              <w:t>2</w:t>
            </w:r>
            <w:r w:rsidR="00FB3DC0">
              <w:t xml:space="preserve"> </w:t>
            </w:r>
            <w:r>
              <w:t>(0.03)</w:t>
            </w:r>
          </w:p>
        </w:tc>
        <w:tc>
          <w:tcPr>
            <w:tcW w:w="0" w:type="auto"/>
          </w:tcPr>
          <w:p w:rsidR="00114D62" w:rsidRDefault="00114D62" w:rsidP="00624C00">
            <w:pPr>
              <w:pStyle w:val="Tabletext"/>
            </w:pPr>
            <w:r>
              <w:t>0</w:t>
            </w:r>
          </w:p>
        </w:tc>
        <w:tc>
          <w:tcPr>
            <w:tcW w:w="0" w:type="auto"/>
          </w:tcPr>
          <w:p w:rsidR="00114D62" w:rsidRPr="0067783C" w:rsidRDefault="00114D62" w:rsidP="00624C00">
            <w:pPr>
              <w:pStyle w:val="Tabletext"/>
            </w:pPr>
            <w:r>
              <w:t>0</w:t>
            </w:r>
          </w:p>
        </w:tc>
      </w:tr>
      <w:tr w:rsidR="00114D62" w:rsidRPr="00767F7A" w:rsidTr="00FB3DC0">
        <w:tc>
          <w:tcPr>
            <w:tcW w:w="0" w:type="auto"/>
            <w:tcBorders>
              <w:right w:val="single" w:sz="4" w:space="0" w:color="auto"/>
            </w:tcBorders>
          </w:tcPr>
          <w:p w:rsidR="00114D62" w:rsidRDefault="00114D62" w:rsidP="00624C00">
            <w:pPr>
              <w:pStyle w:val="Tabletext"/>
            </w:pPr>
            <w:r>
              <w:t>ASCUS or AGUS</w:t>
            </w:r>
          </w:p>
        </w:tc>
        <w:tc>
          <w:tcPr>
            <w:tcW w:w="0" w:type="auto"/>
            <w:tcBorders>
              <w:left w:val="single" w:sz="4" w:space="0" w:color="auto"/>
            </w:tcBorders>
          </w:tcPr>
          <w:p w:rsidR="00114D62" w:rsidRDefault="00114D62" w:rsidP="00624C00">
            <w:pPr>
              <w:pStyle w:val="Tabletext"/>
            </w:pPr>
            <w:r>
              <w:t>40</w:t>
            </w:r>
            <w:r w:rsidR="00FB3DC0">
              <w:t xml:space="preserve"> </w:t>
            </w:r>
            <w:r>
              <w:t>(0.7)</w:t>
            </w:r>
          </w:p>
        </w:tc>
        <w:tc>
          <w:tcPr>
            <w:tcW w:w="0" w:type="auto"/>
          </w:tcPr>
          <w:p w:rsidR="00114D62" w:rsidRDefault="00114D62" w:rsidP="00624C00">
            <w:pPr>
              <w:pStyle w:val="Tabletext"/>
            </w:pPr>
            <w:r>
              <w:t>70</w:t>
            </w:r>
            <w:r w:rsidR="00FB3DC0">
              <w:t xml:space="preserve"> </w:t>
            </w:r>
            <w:r>
              <w:t>(1.2)</w:t>
            </w:r>
          </w:p>
        </w:tc>
        <w:tc>
          <w:tcPr>
            <w:tcW w:w="0" w:type="auto"/>
          </w:tcPr>
          <w:p w:rsidR="00114D62" w:rsidRDefault="00114D62" w:rsidP="00624C00">
            <w:pPr>
              <w:pStyle w:val="Tabletext"/>
            </w:pPr>
            <w:r>
              <w:t>17</w:t>
            </w:r>
            <w:r w:rsidR="00FB3DC0">
              <w:t xml:space="preserve"> </w:t>
            </w:r>
            <w:r>
              <w:t>(0.3)</w:t>
            </w:r>
          </w:p>
        </w:tc>
        <w:tc>
          <w:tcPr>
            <w:tcW w:w="0" w:type="auto"/>
          </w:tcPr>
          <w:p w:rsidR="00114D62" w:rsidRDefault="00114D62" w:rsidP="00624C00">
            <w:pPr>
              <w:pStyle w:val="Tabletext"/>
            </w:pPr>
            <w:r>
              <w:t>1</w:t>
            </w:r>
            <w:r w:rsidR="00FB3DC0">
              <w:t xml:space="preserve"> </w:t>
            </w:r>
            <w:r>
              <w:t>(0.02)</w:t>
            </w:r>
          </w:p>
        </w:tc>
        <w:tc>
          <w:tcPr>
            <w:tcW w:w="0" w:type="auto"/>
            <w:tcBorders>
              <w:right w:val="single" w:sz="4" w:space="0" w:color="auto"/>
            </w:tcBorders>
          </w:tcPr>
          <w:p w:rsidR="00114D62" w:rsidRDefault="00114D62" w:rsidP="00624C00">
            <w:pPr>
              <w:pStyle w:val="Tabletext"/>
            </w:pPr>
            <w:r>
              <w:t>4</w:t>
            </w:r>
            <w:r w:rsidR="00FB3DC0">
              <w:t xml:space="preserve"> </w:t>
            </w:r>
            <w:r>
              <w:t>(0.1)</w:t>
            </w:r>
          </w:p>
        </w:tc>
        <w:tc>
          <w:tcPr>
            <w:tcW w:w="0" w:type="auto"/>
            <w:tcBorders>
              <w:left w:val="single" w:sz="4" w:space="0" w:color="auto"/>
            </w:tcBorders>
          </w:tcPr>
          <w:p w:rsidR="00114D62" w:rsidRDefault="00114D62" w:rsidP="00624C00">
            <w:pPr>
              <w:pStyle w:val="Tabletext"/>
            </w:pPr>
            <w:r>
              <w:t>18</w:t>
            </w:r>
            <w:r w:rsidR="00FB3DC0">
              <w:t xml:space="preserve"> </w:t>
            </w:r>
            <w:r>
              <w:t>(0.3)</w:t>
            </w:r>
          </w:p>
        </w:tc>
        <w:tc>
          <w:tcPr>
            <w:tcW w:w="0" w:type="auto"/>
          </w:tcPr>
          <w:p w:rsidR="00114D62" w:rsidRDefault="00114D62" w:rsidP="00624C00">
            <w:pPr>
              <w:pStyle w:val="Tabletext"/>
            </w:pPr>
            <w:r>
              <w:t>195</w:t>
            </w:r>
            <w:r w:rsidR="00FB3DC0">
              <w:t xml:space="preserve"> </w:t>
            </w:r>
            <w:r>
              <w:t>(3.2)</w:t>
            </w:r>
          </w:p>
        </w:tc>
        <w:tc>
          <w:tcPr>
            <w:tcW w:w="0" w:type="auto"/>
          </w:tcPr>
          <w:p w:rsidR="00114D62" w:rsidRDefault="00114D62" w:rsidP="00624C00">
            <w:pPr>
              <w:pStyle w:val="Tabletext"/>
            </w:pPr>
            <w:r>
              <w:t>37</w:t>
            </w:r>
            <w:r w:rsidR="00FB3DC0">
              <w:t xml:space="preserve"> </w:t>
            </w:r>
            <w:r>
              <w:t>(0.6)</w:t>
            </w:r>
          </w:p>
        </w:tc>
        <w:tc>
          <w:tcPr>
            <w:tcW w:w="0" w:type="auto"/>
          </w:tcPr>
          <w:p w:rsidR="00114D62" w:rsidRDefault="00114D62" w:rsidP="00624C00">
            <w:pPr>
              <w:pStyle w:val="Tabletext"/>
            </w:pPr>
            <w:r>
              <w:t>5</w:t>
            </w:r>
            <w:r w:rsidR="00FB3DC0">
              <w:t xml:space="preserve"> </w:t>
            </w:r>
            <w:r>
              <w:t>(0.08)</w:t>
            </w:r>
          </w:p>
        </w:tc>
        <w:tc>
          <w:tcPr>
            <w:tcW w:w="0" w:type="auto"/>
          </w:tcPr>
          <w:p w:rsidR="00114D62" w:rsidRDefault="00114D62" w:rsidP="00624C00">
            <w:pPr>
              <w:pStyle w:val="Tabletext"/>
            </w:pPr>
            <w:r>
              <w:t>7</w:t>
            </w:r>
            <w:r w:rsidR="00FB3DC0">
              <w:t xml:space="preserve"> </w:t>
            </w:r>
            <w:r>
              <w:t>(0.1)</w:t>
            </w:r>
          </w:p>
        </w:tc>
      </w:tr>
      <w:tr w:rsidR="00114D62" w:rsidRPr="00767F7A" w:rsidTr="00FB3DC0">
        <w:tc>
          <w:tcPr>
            <w:tcW w:w="0" w:type="auto"/>
            <w:tcBorders>
              <w:right w:val="single" w:sz="4" w:space="0" w:color="auto"/>
            </w:tcBorders>
          </w:tcPr>
          <w:p w:rsidR="00114D62" w:rsidRDefault="00114D62" w:rsidP="00624C00">
            <w:pPr>
              <w:pStyle w:val="Tabletext"/>
            </w:pPr>
            <w:r>
              <w:t>LSIL</w:t>
            </w:r>
          </w:p>
        </w:tc>
        <w:tc>
          <w:tcPr>
            <w:tcW w:w="0" w:type="auto"/>
            <w:tcBorders>
              <w:left w:val="single" w:sz="4" w:space="0" w:color="auto"/>
            </w:tcBorders>
          </w:tcPr>
          <w:p w:rsidR="00114D62" w:rsidRDefault="00114D62" w:rsidP="00624C00">
            <w:pPr>
              <w:pStyle w:val="Tabletext"/>
            </w:pPr>
            <w:r>
              <w:t>8</w:t>
            </w:r>
            <w:r w:rsidR="00FB3DC0">
              <w:t xml:space="preserve"> </w:t>
            </w:r>
            <w:r>
              <w:t>(0.1)</w:t>
            </w:r>
          </w:p>
        </w:tc>
        <w:tc>
          <w:tcPr>
            <w:tcW w:w="0" w:type="auto"/>
          </w:tcPr>
          <w:p w:rsidR="00114D62" w:rsidRDefault="00114D62" w:rsidP="00624C00">
            <w:pPr>
              <w:pStyle w:val="Tabletext"/>
            </w:pPr>
            <w:r>
              <w:t>69</w:t>
            </w:r>
            <w:r w:rsidR="00FB3DC0">
              <w:t xml:space="preserve"> </w:t>
            </w:r>
            <w:r>
              <w:t>(1.2)</w:t>
            </w:r>
          </w:p>
        </w:tc>
        <w:tc>
          <w:tcPr>
            <w:tcW w:w="0" w:type="auto"/>
          </w:tcPr>
          <w:p w:rsidR="00114D62" w:rsidRDefault="00114D62" w:rsidP="00624C00">
            <w:pPr>
              <w:pStyle w:val="Tabletext"/>
            </w:pPr>
            <w:r>
              <w:t>21</w:t>
            </w:r>
            <w:r w:rsidR="00FB3DC0">
              <w:t xml:space="preserve"> </w:t>
            </w:r>
            <w:r>
              <w:t>(0.4)</w:t>
            </w:r>
          </w:p>
        </w:tc>
        <w:tc>
          <w:tcPr>
            <w:tcW w:w="0" w:type="auto"/>
          </w:tcPr>
          <w:p w:rsidR="00114D62" w:rsidRDefault="00114D62" w:rsidP="00624C00">
            <w:pPr>
              <w:pStyle w:val="Tabletext"/>
            </w:pPr>
            <w:r>
              <w:t>6</w:t>
            </w:r>
            <w:r w:rsidR="00FB3DC0">
              <w:t xml:space="preserve"> </w:t>
            </w:r>
            <w:r>
              <w:t>(0.1)</w:t>
            </w:r>
          </w:p>
        </w:tc>
        <w:tc>
          <w:tcPr>
            <w:tcW w:w="0" w:type="auto"/>
            <w:tcBorders>
              <w:right w:val="single" w:sz="4" w:space="0" w:color="auto"/>
            </w:tcBorders>
          </w:tcPr>
          <w:p w:rsidR="00114D62" w:rsidRDefault="00114D62" w:rsidP="00624C00">
            <w:pPr>
              <w:pStyle w:val="Tabletext"/>
            </w:pPr>
            <w:r>
              <w:t>9</w:t>
            </w:r>
            <w:r w:rsidR="00FB3DC0">
              <w:t xml:space="preserve"> </w:t>
            </w:r>
            <w:r>
              <w:t>(0.2)</w:t>
            </w:r>
          </w:p>
        </w:tc>
        <w:tc>
          <w:tcPr>
            <w:tcW w:w="0" w:type="auto"/>
            <w:tcBorders>
              <w:left w:val="single" w:sz="4" w:space="0" w:color="auto"/>
            </w:tcBorders>
          </w:tcPr>
          <w:p w:rsidR="00114D62" w:rsidRDefault="00114D62" w:rsidP="00624C00">
            <w:pPr>
              <w:pStyle w:val="Tabletext"/>
            </w:pPr>
            <w:r>
              <w:t>11</w:t>
            </w:r>
            <w:r w:rsidR="00FB3DC0">
              <w:t xml:space="preserve"> </w:t>
            </w:r>
            <w:r>
              <w:t>(0.2)</w:t>
            </w:r>
          </w:p>
        </w:tc>
        <w:tc>
          <w:tcPr>
            <w:tcW w:w="0" w:type="auto"/>
          </w:tcPr>
          <w:p w:rsidR="00114D62" w:rsidRDefault="00114D62" w:rsidP="00624C00">
            <w:pPr>
              <w:pStyle w:val="Tabletext"/>
            </w:pPr>
            <w:r>
              <w:t>130</w:t>
            </w:r>
            <w:r w:rsidR="00FB3DC0">
              <w:t xml:space="preserve"> </w:t>
            </w:r>
            <w:r>
              <w:t>(2.2)</w:t>
            </w:r>
          </w:p>
        </w:tc>
        <w:tc>
          <w:tcPr>
            <w:tcW w:w="0" w:type="auto"/>
          </w:tcPr>
          <w:p w:rsidR="00114D62" w:rsidRDefault="00114D62" w:rsidP="00624C00">
            <w:pPr>
              <w:pStyle w:val="Tabletext"/>
            </w:pPr>
            <w:r>
              <w:t>67</w:t>
            </w:r>
            <w:r w:rsidR="00FB3DC0">
              <w:t xml:space="preserve"> </w:t>
            </w:r>
            <w:r>
              <w:t>(1.1)</w:t>
            </w:r>
          </w:p>
        </w:tc>
        <w:tc>
          <w:tcPr>
            <w:tcW w:w="0" w:type="auto"/>
          </w:tcPr>
          <w:p w:rsidR="00114D62" w:rsidRDefault="00114D62" w:rsidP="00624C00">
            <w:pPr>
              <w:pStyle w:val="Tabletext"/>
            </w:pPr>
            <w:r>
              <w:t>20</w:t>
            </w:r>
            <w:r w:rsidR="00FB3DC0">
              <w:t xml:space="preserve"> </w:t>
            </w:r>
            <w:r>
              <w:t>(0.3)</w:t>
            </w:r>
          </w:p>
        </w:tc>
        <w:tc>
          <w:tcPr>
            <w:tcW w:w="0" w:type="auto"/>
          </w:tcPr>
          <w:p w:rsidR="00114D62" w:rsidRDefault="00114D62" w:rsidP="00624C00">
            <w:pPr>
              <w:pStyle w:val="Tabletext"/>
            </w:pPr>
            <w:r>
              <w:t>2</w:t>
            </w:r>
            <w:r w:rsidR="00FB3DC0">
              <w:t xml:space="preserve"> </w:t>
            </w:r>
            <w:r>
              <w:t>(0.03)</w:t>
            </w:r>
          </w:p>
        </w:tc>
      </w:tr>
      <w:tr w:rsidR="00114D62" w:rsidRPr="00767F7A" w:rsidTr="00FB3DC0">
        <w:tc>
          <w:tcPr>
            <w:tcW w:w="0" w:type="auto"/>
            <w:tcBorders>
              <w:right w:val="single" w:sz="4" w:space="0" w:color="auto"/>
            </w:tcBorders>
          </w:tcPr>
          <w:p w:rsidR="00114D62" w:rsidRDefault="00114D62" w:rsidP="00624C00">
            <w:pPr>
              <w:pStyle w:val="Tabletext"/>
            </w:pPr>
            <w:r>
              <w:t>HSIL+</w:t>
            </w:r>
          </w:p>
        </w:tc>
        <w:tc>
          <w:tcPr>
            <w:tcW w:w="0" w:type="auto"/>
            <w:tcBorders>
              <w:left w:val="single" w:sz="4" w:space="0" w:color="auto"/>
            </w:tcBorders>
          </w:tcPr>
          <w:p w:rsidR="00114D62" w:rsidRDefault="00114D62" w:rsidP="00624C00">
            <w:pPr>
              <w:pStyle w:val="Tabletext"/>
            </w:pPr>
            <w:r>
              <w:t>0</w:t>
            </w:r>
            <w:r w:rsidR="00FB3DC0">
              <w:t xml:space="preserve"> </w:t>
            </w:r>
            <w:r>
              <w:t>(0)</w:t>
            </w:r>
          </w:p>
        </w:tc>
        <w:tc>
          <w:tcPr>
            <w:tcW w:w="0" w:type="auto"/>
          </w:tcPr>
          <w:p w:rsidR="00114D62" w:rsidRDefault="00114D62" w:rsidP="00624C00">
            <w:pPr>
              <w:pStyle w:val="Tabletext"/>
            </w:pPr>
            <w:r>
              <w:t>3</w:t>
            </w:r>
            <w:r w:rsidR="00FB3DC0">
              <w:t xml:space="preserve"> </w:t>
            </w:r>
            <w:r>
              <w:t>(0.05)</w:t>
            </w:r>
          </w:p>
        </w:tc>
        <w:tc>
          <w:tcPr>
            <w:tcW w:w="0" w:type="auto"/>
          </w:tcPr>
          <w:p w:rsidR="00114D62" w:rsidRDefault="00114D62" w:rsidP="00624C00">
            <w:pPr>
              <w:pStyle w:val="Tabletext"/>
            </w:pPr>
            <w:r>
              <w:t>0</w:t>
            </w:r>
          </w:p>
        </w:tc>
        <w:tc>
          <w:tcPr>
            <w:tcW w:w="0" w:type="auto"/>
          </w:tcPr>
          <w:p w:rsidR="00114D62" w:rsidRDefault="00977EE4" w:rsidP="00624C00">
            <w:pPr>
              <w:pStyle w:val="Tabletext"/>
            </w:pPr>
            <w:r>
              <w:t>4</w:t>
            </w:r>
            <w:r w:rsidR="00FB3DC0">
              <w:t xml:space="preserve"> </w:t>
            </w:r>
            <w:r>
              <w:t>(0.07</w:t>
            </w:r>
            <w:r w:rsidR="00114D62">
              <w:t>)</w:t>
            </w:r>
          </w:p>
        </w:tc>
        <w:tc>
          <w:tcPr>
            <w:tcW w:w="0" w:type="auto"/>
            <w:tcBorders>
              <w:right w:val="single" w:sz="4" w:space="0" w:color="auto"/>
            </w:tcBorders>
          </w:tcPr>
          <w:p w:rsidR="00114D62" w:rsidRDefault="00114D62" w:rsidP="00624C00">
            <w:pPr>
              <w:pStyle w:val="Tabletext"/>
            </w:pPr>
            <w:r>
              <w:t>9</w:t>
            </w:r>
            <w:r w:rsidR="00FB3DC0">
              <w:t xml:space="preserve"> </w:t>
            </w:r>
            <w:r>
              <w:t>(0.2)</w:t>
            </w:r>
          </w:p>
        </w:tc>
        <w:tc>
          <w:tcPr>
            <w:tcW w:w="0" w:type="auto"/>
            <w:tcBorders>
              <w:left w:val="single" w:sz="4" w:space="0" w:color="auto"/>
            </w:tcBorders>
          </w:tcPr>
          <w:p w:rsidR="00114D62" w:rsidRDefault="00114D62" w:rsidP="00624C00">
            <w:pPr>
              <w:pStyle w:val="Tabletext"/>
            </w:pPr>
            <w:r>
              <w:t>2</w:t>
            </w:r>
            <w:r w:rsidR="00FB3DC0">
              <w:t xml:space="preserve"> </w:t>
            </w:r>
            <w:r>
              <w:t>(0.03)</w:t>
            </w:r>
          </w:p>
        </w:tc>
        <w:tc>
          <w:tcPr>
            <w:tcW w:w="0" w:type="auto"/>
          </w:tcPr>
          <w:p w:rsidR="00114D62" w:rsidRDefault="00114D62" w:rsidP="00624C00">
            <w:pPr>
              <w:pStyle w:val="Tabletext"/>
            </w:pPr>
            <w:r>
              <w:t>12</w:t>
            </w:r>
            <w:r w:rsidR="00FB3DC0">
              <w:t xml:space="preserve"> </w:t>
            </w:r>
            <w:r>
              <w:t>(0.2)</w:t>
            </w:r>
          </w:p>
        </w:tc>
        <w:tc>
          <w:tcPr>
            <w:tcW w:w="0" w:type="auto"/>
          </w:tcPr>
          <w:p w:rsidR="00114D62" w:rsidRDefault="00114D62" w:rsidP="00624C00">
            <w:pPr>
              <w:pStyle w:val="Tabletext"/>
            </w:pPr>
            <w:r>
              <w:t>13</w:t>
            </w:r>
            <w:r w:rsidR="00FB3DC0">
              <w:t xml:space="preserve"> </w:t>
            </w:r>
            <w:r>
              <w:t>(0.2)</w:t>
            </w:r>
          </w:p>
        </w:tc>
        <w:tc>
          <w:tcPr>
            <w:tcW w:w="0" w:type="auto"/>
          </w:tcPr>
          <w:p w:rsidR="00114D62" w:rsidRDefault="00114D62" w:rsidP="00624C00">
            <w:pPr>
              <w:pStyle w:val="Tabletext"/>
            </w:pPr>
            <w:r>
              <w:t>6</w:t>
            </w:r>
            <w:r w:rsidR="00FB3DC0">
              <w:t xml:space="preserve"> </w:t>
            </w:r>
            <w:r>
              <w:t>(0.1)</w:t>
            </w:r>
          </w:p>
        </w:tc>
        <w:tc>
          <w:tcPr>
            <w:tcW w:w="0" w:type="auto"/>
          </w:tcPr>
          <w:p w:rsidR="00114D62" w:rsidRDefault="00114D62" w:rsidP="00624C00">
            <w:pPr>
              <w:pStyle w:val="Tabletext"/>
            </w:pPr>
            <w:r>
              <w:t>5</w:t>
            </w:r>
            <w:r w:rsidR="00FB3DC0">
              <w:t xml:space="preserve"> </w:t>
            </w:r>
            <w:r>
              <w:t>(0.1)</w:t>
            </w:r>
          </w:p>
        </w:tc>
      </w:tr>
      <w:tr w:rsidR="00114D62" w:rsidRPr="00767F7A" w:rsidTr="00FB3DC0">
        <w:tc>
          <w:tcPr>
            <w:tcW w:w="0" w:type="auto"/>
            <w:gridSpan w:val="10"/>
          </w:tcPr>
          <w:p w:rsidR="00114D62" w:rsidRDefault="00FB3DC0" w:rsidP="00624C00">
            <w:pPr>
              <w:pStyle w:val="Tabletext"/>
            </w:pPr>
            <w:r>
              <w:t xml:space="preserve">Source: Ronco </w:t>
            </w:r>
            <w:r w:rsidR="00114D62">
              <w:t>2006a Table 1</w:t>
            </w:r>
          </w:p>
        </w:tc>
        <w:tc>
          <w:tcPr>
            <w:tcW w:w="0" w:type="auto"/>
          </w:tcPr>
          <w:p w:rsidR="00114D62" w:rsidRDefault="00114D62" w:rsidP="00624C00">
            <w:pPr>
              <w:pStyle w:val="Tabletext"/>
            </w:pPr>
          </w:p>
        </w:tc>
      </w:tr>
    </w:tbl>
    <w:p w:rsidR="00624C00" w:rsidRPr="00624C00" w:rsidRDefault="00624C00" w:rsidP="0025365D">
      <w:pPr>
        <w:pStyle w:val="Tabletext"/>
      </w:pPr>
      <w:r w:rsidRPr="00624C00">
        <w:t xml:space="preserve">Abbreviations: AGUS, atypical glandular cells of undetermined significance; ASCUS, atypical cells of undetermined significance; </w:t>
      </w:r>
      <w:r w:rsidR="00286B64">
        <w:t xml:space="preserve">CIN, cervical intraepithelial neoplasia; </w:t>
      </w:r>
      <w:r w:rsidRPr="00624C00">
        <w:t xml:space="preserve">HSIL, high-grade squamous intraepithelial lesion; </w:t>
      </w:r>
      <w:r w:rsidR="00286B64">
        <w:t xml:space="preserve">LBC, liquid-based cytology; </w:t>
      </w:r>
      <w:r w:rsidRPr="00624C00">
        <w:t xml:space="preserve">LSIL, low grade </w:t>
      </w:r>
      <w:r w:rsidR="00286B64">
        <w:t>squamous intraepithelial lesion</w:t>
      </w:r>
    </w:p>
    <w:p w:rsidR="002A5E3A" w:rsidRDefault="002A5E3A" w:rsidP="0025365D">
      <w:pPr>
        <w:pStyle w:val="Tabletext"/>
      </w:pPr>
      <w:r>
        <w:t xml:space="preserve">Note: Percentages (%) </w:t>
      </w:r>
      <w:r w:rsidRPr="002A5E3A">
        <w:t xml:space="preserve">calculated using </w:t>
      </w:r>
      <w:r>
        <w:t>f</w:t>
      </w:r>
      <w:r w:rsidRPr="002A5E3A">
        <w:t xml:space="preserve">or the purpose of this submission, using </w:t>
      </w:r>
      <w:r>
        <w:t xml:space="preserve">sample size </w:t>
      </w:r>
      <w:r w:rsidRPr="002A5E3A">
        <w:t xml:space="preserve">obtained from </w:t>
      </w:r>
      <w:r>
        <w:t>Ronco</w:t>
      </w:r>
      <w:r w:rsidR="0025365D">
        <w:t xml:space="preserve"> </w:t>
      </w:r>
      <w:r w:rsidRPr="002A5E3A">
        <w:t>200</w:t>
      </w:r>
      <w:r>
        <w:t>6a</w:t>
      </w:r>
      <w:r w:rsidRPr="002A5E3A">
        <w:t>, Table 1.</w:t>
      </w:r>
    </w:p>
    <w:p w:rsidR="00624C00" w:rsidRPr="00624C00" w:rsidRDefault="00624C00" w:rsidP="0025365D">
      <w:pPr>
        <w:pStyle w:val="Tabletext"/>
      </w:pPr>
      <w:r>
        <w:t>a</w:t>
      </w:r>
      <w:r w:rsidRPr="00624C00">
        <w:t>.</w:t>
      </w:r>
      <w:r w:rsidRPr="00624C00">
        <w:tab/>
        <w:t>Includes women who had a colposcopy but not a biopsy</w:t>
      </w:r>
      <w:r w:rsidR="00E2291F">
        <w:t>, only colposcopies done as a result of baseline testing were included</w:t>
      </w:r>
    </w:p>
    <w:p w:rsidR="00624C00" w:rsidRPr="00624C00" w:rsidRDefault="00624C00" w:rsidP="0025365D">
      <w:pPr>
        <w:pStyle w:val="Tabletext"/>
        <w:ind w:left="720" w:hanging="720"/>
      </w:pPr>
      <w:r>
        <w:t>b</w:t>
      </w:r>
      <w:r w:rsidRPr="00624C00">
        <w:t>.</w:t>
      </w:r>
      <w:r w:rsidRPr="00624C00">
        <w:tab/>
        <w:t>Footnote to table 1 in t</w:t>
      </w:r>
      <w:r w:rsidR="0025365D">
        <w:t>he publication by Ronco 2006a</w:t>
      </w:r>
      <w:r w:rsidRPr="00624C00">
        <w:t xml:space="preserve"> from which the data were collected states that “15 women did not receive cytological analysis”. The Figure in the publication with the disposition of patients states</w:t>
      </w:r>
      <w:r w:rsidR="00286B64">
        <w:t xml:space="preserve"> that none of these women had </w:t>
      </w:r>
      <w:r w:rsidRPr="00624C00">
        <w:t>colposcopy.</w:t>
      </w:r>
    </w:p>
    <w:p w:rsidR="00114D62" w:rsidRDefault="00624C00" w:rsidP="0025365D">
      <w:pPr>
        <w:pStyle w:val="Tabletext"/>
        <w:ind w:left="720" w:hanging="720"/>
      </w:pPr>
      <w:r w:rsidRPr="00624C00">
        <w:t xml:space="preserve">c. </w:t>
      </w:r>
      <w:r w:rsidRPr="00624C00">
        <w:tab/>
        <w:t>Footnote to table 1 in t</w:t>
      </w:r>
      <w:r w:rsidR="0025365D">
        <w:t xml:space="preserve">he publication by Ronco </w:t>
      </w:r>
      <w:r w:rsidRPr="00624C00">
        <w:t>2</w:t>
      </w:r>
      <w:r w:rsidR="0025365D">
        <w:t>006a</w:t>
      </w:r>
      <w:r w:rsidRPr="00624C00">
        <w:t xml:space="preserve"> from which the data were collected states that “A total of 77 patients had no valid HPV test, 15 had no valid test (and no colposcopy) and were classified as “unsatisfactory”, </w:t>
      </w:r>
      <w:proofErr w:type="gramStart"/>
      <w:r w:rsidRPr="00624C00">
        <w:t>54</w:t>
      </w:r>
      <w:proofErr w:type="gramEnd"/>
      <w:r w:rsidRPr="00624C00">
        <w:t xml:space="preserve"> patients received test as per conventional group and 8 samples had insu</w:t>
      </w:r>
      <w:r w:rsidR="0025365D">
        <w:t>fficient material”. The f</w:t>
      </w:r>
      <w:r w:rsidRPr="00624C00">
        <w:t xml:space="preserve">igure in the publication with the disposition of </w:t>
      </w:r>
      <w:r w:rsidR="003954A4" w:rsidRPr="00624C00">
        <w:t>patients’</w:t>
      </w:r>
      <w:r w:rsidRPr="00624C00">
        <w:t xml:space="preserve"> states that 4 of these women had a colposcopy, 1 without referral however Table 1 indicate</w:t>
      </w:r>
      <w:r w:rsidR="00286B64">
        <w:t>s that only 3 had colposcopy</w:t>
      </w:r>
      <w:r w:rsidR="00114D62">
        <w:br/>
      </w:r>
    </w:p>
    <w:p w:rsidR="00624C00" w:rsidRDefault="00624C00" w:rsidP="00624C00">
      <w:pPr>
        <w:pStyle w:val="Tabletext"/>
        <w:keepNext w:val="0"/>
      </w:pPr>
    </w:p>
    <w:p w:rsidR="00624C00" w:rsidRDefault="00624C00" w:rsidP="00624C00">
      <w:pPr>
        <w:pStyle w:val="Caption"/>
      </w:pPr>
      <w:bookmarkStart w:id="361" w:name="_Ref332185335"/>
      <w:bookmarkStart w:id="362" w:name="_Toc331766473"/>
      <w:bookmarkStart w:id="363" w:name="_Toc335666008"/>
      <w:bookmarkStart w:id="364" w:name="_Toc337546979"/>
      <w:r>
        <w:lastRenderedPageBreak/>
        <w:t xml:space="preserve">Table </w:t>
      </w:r>
      <w:fldSimple w:instr=" SEQ Table \* ARABIC ">
        <w:r w:rsidR="003361A8">
          <w:rPr>
            <w:noProof/>
          </w:rPr>
          <w:t>42</w:t>
        </w:r>
      </w:fldSimple>
      <w:bookmarkEnd w:id="361"/>
      <w:r>
        <w:tab/>
        <w:t>Correlation between cytological and histological data</w:t>
      </w:r>
      <w:r w:rsidR="007E7C62">
        <w:t>—</w:t>
      </w:r>
      <w:r w:rsidR="00FB3DC0">
        <w:t>CC</w:t>
      </w:r>
      <w:r>
        <w:t xml:space="preserve"> versus </w:t>
      </w:r>
      <w:r w:rsidR="007E7C62">
        <w:t>cell filtration LBC;</w:t>
      </w:r>
      <w:r w:rsidR="00FB3DC0">
        <w:t xml:space="preserve"> </w:t>
      </w:r>
      <w:r>
        <w:t>NTCC trial</w:t>
      </w:r>
      <w:r w:rsidR="007E7C62">
        <w:t>, a</w:t>
      </w:r>
      <w:r>
        <w:t>ge</w:t>
      </w:r>
      <w:r w:rsidR="00286B64">
        <w:t>s 35 to 60 years:</w:t>
      </w:r>
      <w:r w:rsidR="00FB3DC0">
        <w:t xml:space="preserve"> Ronco </w:t>
      </w:r>
      <w:r>
        <w:t>2006b</w:t>
      </w:r>
      <w:bookmarkEnd w:id="362"/>
      <w:bookmarkEnd w:id="363"/>
      <w:bookmarkEnd w:id="3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8"/>
        <w:gridCol w:w="1576"/>
        <w:gridCol w:w="1444"/>
        <w:gridCol w:w="1298"/>
        <w:gridCol w:w="1207"/>
        <w:gridCol w:w="1152"/>
        <w:gridCol w:w="1576"/>
        <w:gridCol w:w="1023"/>
        <w:gridCol w:w="910"/>
        <w:gridCol w:w="946"/>
        <w:gridCol w:w="946"/>
      </w:tblGrid>
      <w:tr w:rsidR="00624C00" w:rsidRPr="00FB3DC0" w:rsidTr="00FD51A3">
        <w:tc>
          <w:tcPr>
            <w:tcW w:w="0" w:type="auto"/>
            <w:tcBorders>
              <w:right w:val="single" w:sz="4" w:space="0" w:color="auto"/>
            </w:tcBorders>
          </w:tcPr>
          <w:p w:rsidR="00624C00" w:rsidRPr="00FB3DC0" w:rsidRDefault="00624C00" w:rsidP="00624C00">
            <w:pPr>
              <w:pStyle w:val="Tabletext"/>
              <w:rPr>
                <w:b/>
              </w:rPr>
            </w:pPr>
          </w:p>
        </w:tc>
        <w:tc>
          <w:tcPr>
            <w:tcW w:w="0" w:type="auto"/>
            <w:gridSpan w:val="5"/>
            <w:tcBorders>
              <w:top w:val="single" w:sz="4" w:space="0" w:color="auto"/>
              <w:left w:val="single" w:sz="4" w:space="0" w:color="auto"/>
              <w:right w:val="single" w:sz="4" w:space="0" w:color="auto"/>
            </w:tcBorders>
          </w:tcPr>
          <w:p w:rsidR="00624C00" w:rsidRPr="00FB3DC0" w:rsidRDefault="00624C00" w:rsidP="00FD51A3">
            <w:pPr>
              <w:pStyle w:val="Tabletext"/>
              <w:jc w:val="center"/>
              <w:rPr>
                <w:b/>
              </w:rPr>
            </w:pPr>
            <w:r w:rsidRPr="00FB3DC0">
              <w:rPr>
                <w:b/>
              </w:rPr>
              <w:t>Conventional</w:t>
            </w:r>
            <w:r w:rsidR="00FD51A3">
              <w:rPr>
                <w:b/>
              </w:rPr>
              <w:br/>
            </w:r>
            <w:r w:rsidRPr="00FB3DC0">
              <w:rPr>
                <w:b/>
              </w:rPr>
              <w:t>N=16658</w:t>
            </w:r>
          </w:p>
        </w:tc>
        <w:tc>
          <w:tcPr>
            <w:tcW w:w="0" w:type="auto"/>
            <w:gridSpan w:val="5"/>
            <w:tcBorders>
              <w:left w:val="single" w:sz="4" w:space="0" w:color="auto"/>
            </w:tcBorders>
          </w:tcPr>
          <w:p w:rsidR="00624C00" w:rsidRPr="00FB3DC0" w:rsidRDefault="003C0082" w:rsidP="00FD51A3">
            <w:pPr>
              <w:pStyle w:val="Tabletext"/>
              <w:jc w:val="center"/>
              <w:rPr>
                <w:b/>
              </w:rPr>
            </w:pPr>
            <w:r w:rsidRPr="00FB3DC0">
              <w:rPr>
                <w:b/>
              </w:rPr>
              <w:t>LBC</w:t>
            </w:r>
            <w:r w:rsidR="00624C00" w:rsidRPr="00FB3DC0">
              <w:rPr>
                <w:b/>
              </w:rPr>
              <w:t xml:space="preserve"> </w:t>
            </w:r>
            <w:r w:rsidR="00FD51A3">
              <w:rPr>
                <w:b/>
              </w:rPr>
              <w:br/>
            </w:r>
            <w:r w:rsidR="00624C00" w:rsidRPr="00FB3DC0">
              <w:rPr>
                <w:b/>
              </w:rPr>
              <w:t>N=16706</w:t>
            </w:r>
            <w:r w:rsidR="00624C00" w:rsidRPr="00FB3DC0">
              <w:rPr>
                <w:b/>
                <w:vertAlign w:val="superscript"/>
              </w:rPr>
              <w:t>c</w:t>
            </w:r>
          </w:p>
        </w:tc>
      </w:tr>
      <w:tr w:rsidR="00FB3DC0" w:rsidRPr="00FB3DC0" w:rsidTr="00FD51A3">
        <w:tc>
          <w:tcPr>
            <w:tcW w:w="0" w:type="auto"/>
            <w:tcBorders>
              <w:right w:val="single" w:sz="4" w:space="0" w:color="auto"/>
            </w:tcBorders>
          </w:tcPr>
          <w:p w:rsidR="00FB3DC0" w:rsidRPr="00FB3DC0" w:rsidRDefault="00FB3DC0" w:rsidP="00624C00">
            <w:pPr>
              <w:pStyle w:val="Tabletext"/>
              <w:rPr>
                <w:b/>
              </w:rPr>
            </w:pPr>
          </w:p>
        </w:tc>
        <w:tc>
          <w:tcPr>
            <w:tcW w:w="0" w:type="auto"/>
            <w:gridSpan w:val="2"/>
            <w:tcBorders>
              <w:left w:val="single" w:sz="4" w:space="0" w:color="auto"/>
            </w:tcBorders>
          </w:tcPr>
          <w:p w:rsidR="00FB3DC0" w:rsidRPr="00FB3DC0" w:rsidRDefault="00FB3DC0" w:rsidP="00624C00">
            <w:pPr>
              <w:pStyle w:val="Tabletext"/>
              <w:rPr>
                <w:b/>
              </w:rPr>
            </w:pPr>
          </w:p>
        </w:tc>
        <w:tc>
          <w:tcPr>
            <w:tcW w:w="0" w:type="auto"/>
            <w:gridSpan w:val="3"/>
            <w:tcBorders>
              <w:right w:val="single" w:sz="4" w:space="0" w:color="auto"/>
            </w:tcBorders>
          </w:tcPr>
          <w:p w:rsidR="00FB3DC0" w:rsidRPr="00FB3DC0" w:rsidRDefault="00FB3DC0" w:rsidP="00FB3DC0">
            <w:pPr>
              <w:pStyle w:val="Tabletext"/>
              <w:jc w:val="center"/>
              <w:rPr>
                <w:b/>
              </w:rPr>
            </w:pPr>
            <w:r w:rsidRPr="00FB3DC0">
              <w:rPr>
                <w:b/>
              </w:rPr>
              <w:t>Histology</w:t>
            </w:r>
          </w:p>
        </w:tc>
        <w:tc>
          <w:tcPr>
            <w:tcW w:w="0" w:type="auto"/>
            <w:gridSpan w:val="2"/>
            <w:tcBorders>
              <w:left w:val="single" w:sz="4" w:space="0" w:color="auto"/>
            </w:tcBorders>
          </w:tcPr>
          <w:p w:rsidR="00FB3DC0" w:rsidRPr="00FB3DC0" w:rsidRDefault="00FB3DC0" w:rsidP="00624C00">
            <w:pPr>
              <w:pStyle w:val="Tabletext"/>
              <w:rPr>
                <w:b/>
              </w:rPr>
            </w:pPr>
          </w:p>
        </w:tc>
        <w:tc>
          <w:tcPr>
            <w:tcW w:w="0" w:type="auto"/>
            <w:gridSpan w:val="3"/>
          </w:tcPr>
          <w:p w:rsidR="00FB3DC0" w:rsidRPr="00FB3DC0" w:rsidRDefault="00FB3DC0" w:rsidP="00FB3DC0">
            <w:pPr>
              <w:pStyle w:val="Tabletext"/>
              <w:jc w:val="center"/>
              <w:rPr>
                <w:b/>
              </w:rPr>
            </w:pPr>
            <w:r w:rsidRPr="00FB3DC0">
              <w:rPr>
                <w:b/>
              </w:rPr>
              <w:t>Histology</w:t>
            </w:r>
          </w:p>
        </w:tc>
      </w:tr>
      <w:tr w:rsidR="00FD51A3" w:rsidRPr="00FB3DC0" w:rsidTr="00FD51A3">
        <w:tc>
          <w:tcPr>
            <w:tcW w:w="0" w:type="auto"/>
            <w:tcBorders>
              <w:right w:val="single" w:sz="4" w:space="0" w:color="auto"/>
            </w:tcBorders>
          </w:tcPr>
          <w:p w:rsidR="00624C00" w:rsidRPr="00FB3DC0" w:rsidRDefault="00624C00" w:rsidP="00624C00">
            <w:pPr>
              <w:pStyle w:val="Tabletext"/>
              <w:rPr>
                <w:b/>
              </w:rPr>
            </w:pPr>
          </w:p>
        </w:tc>
        <w:tc>
          <w:tcPr>
            <w:tcW w:w="0" w:type="auto"/>
            <w:tcBorders>
              <w:left w:val="single" w:sz="4" w:space="0" w:color="auto"/>
            </w:tcBorders>
          </w:tcPr>
          <w:p w:rsidR="00624C00" w:rsidRPr="00FB3DC0" w:rsidRDefault="00FB3DC0" w:rsidP="00624C00">
            <w:pPr>
              <w:pStyle w:val="Tabletext"/>
              <w:rPr>
                <w:b/>
              </w:rPr>
            </w:pPr>
            <w:r>
              <w:rPr>
                <w:b/>
              </w:rPr>
              <w:t>No c</w:t>
            </w:r>
            <w:r w:rsidR="00624C00" w:rsidRPr="00FB3DC0">
              <w:rPr>
                <w:b/>
              </w:rPr>
              <w:t xml:space="preserve">olposcopy, </w:t>
            </w:r>
            <w:proofErr w:type="gramStart"/>
            <w:r w:rsidR="00624C00" w:rsidRPr="00FB3DC0">
              <w:rPr>
                <w:b/>
              </w:rPr>
              <w:t>n(</w:t>
            </w:r>
            <w:proofErr w:type="gramEnd"/>
            <w:r w:rsidR="00624C00" w:rsidRPr="00FB3DC0">
              <w:rPr>
                <w:b/>
              </w:rPr>
              <w:t>%)</w:t>
            </w:r>
          </w:p>
        </w:tc>
        <w:tc>
          <w:tcPr>
            <w:tcW w:w="0" w:type="auto"/>
          </w:tcPr>
          <w:p w:rsidR="00624C00" w:rsidRPr="00FB3DC0" w:rsidRDefault="00624C00" w:rsidP="00624C00">
            <w:pPr>
              <w:pStyle w:val="Tabletext"/>
              <w:rPr>
                <w:b/>
              </w:rPr>
            </w:pPr>
            <w:r w:rsidRPr="00FB3DC0">
              <w:rPr>
                <w:b/>
              </w:rPr>
              <w:t>No CIN</w:t>
            </w:r>
            <w:r w:rsidRPr="00FB3DC0">
              <w:rPr>
                <w:b/>
                <w:vertAlign w:val="superscript"/>
              </w:rPr>
              <w:t>a</w:t>
            </w:r>
            <w:r w:rsidRPr="00FB3DC0">
              <w:rPr>
                <w:b/>
              </w:rPr>
              <w:t xml:space="preserve">, </w:t>
            </w:r>
            <w:proofErr w:type="gramStart"/>
            <w:r w:rsidRPr="00FB3DC0">
              <w:rPr>
                <w:b/>
              </w:rPr>
              <w:t>n(</w:t>
            </w:r>
            <w:proofErr w:type="gramEnd"/>
            <w:r w:rsidRPr="00FB3DC0">
              <w:rPr>
                <w:b/>
              </w:rPr>
              <w:t>%)</w:t>
            </w:r>
          </w:p>
        </w:tc>
        <w:tc>
          <w:tcPr>
            <w:tcW w:w="0" w:type="auto"/>
          </w:tcPr>
          <w:p w:rsidR="00624C00" w:rsidRPr="00FB3DC0" w:rsidRDefault="00624C00" w:rsidP="00624C00">
            <w:pPr>
              <w:pStyle w:val="Tabletext"/>
              <w:rPr>
                <w:b/>
              </w:rPr>
            </w:pPr>
            <w:r w:rsidRPr="00FB3DC0">
              <w:rPr>
                <w:b/>
              </w:rPr>
              <w:t xml:space="preserve">CIN 1, </w:t>
            </w:r>
            <w:proofErr w:type="gramStart"/>
            <w:r w:rsidRPr="00FB3DC0">
              <w:rPr>
                <w:b/>
              </w:rPr>
              <w:t>n(</w:t>
            </w:r>
            <w:proofErr w:type="gramEnd"/>
            <w:r w:rsidRPr="00FB3DC0">
              <w:rPr>
                <w:b/>
              </w:rPr>
              <w:t>%)</w:t>
            </w:r>
          </w:p>
        </w:tc>
        <w:tc>
          <w:tcPr>
            <w:tcW w:w="0" w:type="auto"/>
          </w:tcPr>
          <w:p w:rsidR="00624C00" w:rsidRPr="00FB3DC0" w:rsidRDefault="00624C00" w:rsidP="00624C00">
            <w:pPr>
              <w:pStyle w:val="Tabletext"/>
              <w:rPr>
                <w:b/>
              </w:rPr>
            </w:pPr>
            <w:r w:rsidRPr="00FB3DC0">
              <w:rPr>
                <w:b/>
              </w:rPr>
              <w:t xml:space="preserve">CIN 2, </w:t>
            </w:r>
            <w:proofErr w:type="gramStart"/>
            <w:r w:rsidRPr="00FB3DC0">
              <w:rPr>
                <w:b/>
              </w:rPr>
              <w:t>n(</w:t>
            </w:r>
            <w:proofErr w:type="gramEnd"/>
            <w:r w:rsidRPr="00FB3DC0">
              <w:rPr>
                <w:b/>
              </w:rPr>
              <w:t>%)</w:t>
            </w:r>
          </w:p>
        </w:tc>
        <w:tc>
          <w:tcPr>
            <w:tcW w:w="0" w:type="auto"/>
            <w:tcBorders>
              <w:right w:val="single" w:sz="4" w:space="0" w:color="auto"/>
            </w:tcBorders>
          </w:tcPr>
          <w:p w:rsidR="00624C00" w:rsidRPr="00FB3DC0" w:rsidRDefault="00624C00" w:rsidP="00624C00">
            <w:pPr>
              <w:pStyle w:val="Tabletext"/>
              <w:rPr>
                <w:b/>
              </w:rPr>
            </w:pPr>
            <w:r w:rsidRPr="00FB3DC0">
              <w:rPr>
                <w:b/>
              </w:rPr>
              <w:t xml:space="preserve">CIN 3, </w:t>
            </w:r>
            <w:proofErr w:type="gramStart"/>
            <w:r w:rsidRPr="00FB3DC0">
              <w:rPr>
                <w:b/>
              </w:rPr>
              <w:t>n(</w:t>
            </w:r>
            <w:proofErr w:type="gramEnd"/>
            <w:r w:rsidRPr="00FB3DC0">
              <w:rPr>
                <w:b/>
              </w:rPr>
              <w:t>%)</w:t>
            </w:r>
          </w:p>
        </w:tc>
        <w:tc>
          <w:tcPr>
            <w:tcW w:w="0" w:type="auto"/>
            <w:tcBorders>
              <w:left w:val="single" w:sz="4" w:space="0" w:color="auto"/>
            </w:tcBorders>
          </w:tcPr>
          <w:p w:rsidR="00624C00" w:rsidRPr="00FB3DC0" w:rsidRDefault="00FB3DC0" w:rsidP="00624C00">
            <w:pPr>
              <w:pStyle w:val="Tabletext"/>
              <w:rPr>
                <w:b/>
              </w:rPr>
            </w:pPr>
            <w:r>
              <w:rPr>
                <w:b/>
              </w:rPr>
              <w:t>No c</w:t>
            </w:r>
            <w:r w:rsidR="00624C00" w:rsidRPr="00FB3DC0">
              <w:rPr>
                <w:b/>
              </w:rPr>
              <w:t xml:space="preserve">olposcopy, </w:t>
            </w:r>
            <w:proofErr w:type="gramStart"/>
            <w:r w:rsidR="00624C00" w:rsidRPr="00FB3DC0">
              <w:rPr>
                <w:b/>
              </w:rPr>
              <w:t>n(</w:t>
            </w:r>
            <w:proofErr w:type="gramEnd"/>
            <w:r w:rsidR="00624C00" w:rsidRPr="00FB3DC0">
              <w:rPr>
                <w:b/>
              </w:rPr>
              <w:t>%)</w:t>
            </w:r>
          </w:p>
        </w:tc>
        <w:tc>
          <w:tcPr>
            <w:tcW w:w="0" w:type="auto"/>
          </w:tcPr>
          <w:p w:rsidR="00624C00" w:rsidRPr="00FB3DC0" w:rsidRDefault="00624C00" w:rsidP="00624C00">
            <w:pPr>
              <w:pStyle w:val="Tabletext"/>
              <w:rPr>
                <w:b/>
              </w:rPr>
            </w:pPr>
            <w:r w:rsidRPr="00FB3DC0">
              <w:rPr>
                <w:b/>
              </w:rPr>
              <w:t>No CIN</w:t>
            </w:r>
            <w:r w:rsidRPr="00FB3DC0">
              <w:rPr>
                <w:b/>
                <w:vertAlign w:val="superscript"/>
              </w:rPr>
              <w:t>a</w:t>
            </w:r>
            <w:r w:rsidRPr="00FB3DC0">
              <w:rPr>
                <w:b/>
              </w:rPr>
              <w:t xml:space="preserve">, </w:t>
            </w:r>
            <w:proofErr w:type="gramStart"/>
            <w:r w:rsidRPr="00FB3DC0">
              <w:rPr>
                <w:b/>
              </w:rPr>
              <w:t>n(</w:t>
            </w:r>
            <w:proofErr w:type="gramEnd"/>
            <w:r w:rsidRPr="00FB3DC0">
              <w:rPr>
                <w:b/>
              </w:rPr>
              <w:t>%)</w:t>
            </w:r>
          </w:p>
        </w:tc>
        <w:tc>
          <w:tcPr>
            <w:tcW w:w="0" w:type="auto"/>
          </w:tcPr>
          <w:p w:rsidR="00624C00" w:rsidRPr="00FB3DC0" w:rsidRDefault="00624C00" w:rsidP="00624C00">
            <w:pPr>
              <w:pStyle w:val="Tabletext"/>
              <w:rPr>
                <w:b/>
              </w:rPr>
            </w:pPr>
            <w:r w:rsidRPr="00FB3DC0">
              <w:rPr>
                <w:b/>
              </w:rPr>
              <w:t xml:space="preserve">CIN 1, </w:t>
            </w:r>
            <w:proofErr w:type="gramStart"/>
            <w:r w:rsidRPr="00FB3DC0">
              <w:rPr>
                <w:b/>
              </w:rPr>
              <w:t>n(</w:t>
            </w:r>
            <w:proofErr w:type="gramEnd"/>
            <w:r w:rsidRPr="00FB3DC0">
              <w:rPr>
                <w:b/>
              </w:rPr>
              <w:t>%)</w:t>
            </w:r>
          </w:p>
        </w:tc>
        <w:tc>
          <w:tcPr>
            <w:tcW w:w="0" w:type="auto"/>
          </w:tcPr>
          <w:p w:rsidR="00624C00" w:rsidRPr="00FB3DC0" w:rsidRDefault="00624C00" w:rsidP="00624C00">
            <w:pPr>
              <w:pStyle w:val="Tabletext"/>
              <w:rPr>
                <w:b/>
              </w:rPr>
            </w:pPr>
            <w:r w:rsidRPr="00FB3DC0">
              <w:rPr>
                <w:b/>
              </w:rPr>
              <w:t xml:space="preserve">CIN 2, </w:t>
            </w:r>
            <w:proofErr w:type="gramStart"/>
            <w:r w:rsidRPr="00FB3DC0">
              <w:rPr>
                <w:b/>
              </w:rPr>
              <w:t>n(</w:t>
            </w:r>
            <w:proofErr w:type="gramEnd"/>
            <w:r w:rsidRPr="00FB3DC0">
              <w:rPr>
                <w:b/>
              </w:rPr>
              <w:t>%)</w:t>
            </w:r>
          </w:p>
        </w:tc>
        <w:tc>
          <w:tcPr>
            <w:tcW w:w="0" w:type="auto"/>
          </w:tcPr>
          <w:p w:rsidR="00624C00" w:rsidRPr="00FB3DC0" w:rsidRDefault="00624C00" w:rsidP="00624C00">
            <w:pPr>
              <w:pStyle w:val="Tabletext"/>
              <w:rPr>
                <w:b/>
              </w:rPr>
            </w:pPr>
            <w:r w:rsidRPr="00FB3DC0">
              <w:rPr>
                <w:b/>
              </w:rPr>
              <w:t xml:space="preserve">CIN 3, </w:t>
            </w:r>
            <w:proofErr w:type="gramStart"/>
            <w:r w:rsidRPr="00FB3DC0">
              <w:rPr>
                <w:b/>
              </w:rPr>
              <w:t>n(</w:t>
            </w:r>
            <w:proofErr w:type="gramEnd"/>
            <w:r w:rsidRPr="00FB3DC0">
              <w:rPr>
                <w:b/>
              </w:rPr>
              <w:t>%)</w:t>
            </w:r>
          </w:p>
        </w:tc>
      </w:tr>
      <w:tr w:rsidR="00FD51A3" w:rsidRPr="00767F7A" w:rsidTr="00FD51A3">
        <w:tc>
          <w:tcPr>
            <w:tcW w:w="0" w:type="auto"/>
            <w:tcBorders>
              <w:right w:val="single" w:sz="4" w:space="0" w:color="auto"/>
            </w:tcBorders>
          </w:tcPr>
          <w:p w:rsidR="00624C00" w:rsidRDefault="00624C00" w:rsidP="00624C00">
            <w:pPr>
              <w:pStyle w:val="Tabletext"/>
            </w:pPr>
            <w:r>
              <w:t>Unsatisfactory cytology only</w:t>
            </w:r>
          </w:p>
        </w:tc>
        <w:tc>
          <w:tcPr>
            <w:tcW w:w="0" w:type="auto"/>
            <w:tcBorders>
              <w:left w:val="single" w:sz="4" w:space="0" w:color="auto"/>
            </w:tcBorders>
          </w:tcPr>
          <w:p w:rsidR="00624C00" w:rsidRDefault="00624C00" w:rsidP="00624C00">
            <w:pPr>
              <w:pStyle w:val="Tabletext"/>
            </w:pPr>
            <w:r>
              <w:t>272</w:t>
            </w:r>
            <w:r w:rsidR="00FB3DC0">
              <w:t xml:space="preserve"> </w:t>
            </w:r>
            <w:r w:rsidRPr="001278D7">
              <w:t>(</w:t>
            </w:r>
            <w:r w:rsidR="002A5E3A">
              <w:t>1.63</w:t>
            </w:r>
            <w:r>
              <w:t>)</w:t>
            </w:r>
            <w:r w:rsidRPr="00CE3EE4">
              <w:rPr>
                <w:vertAlign w:val="superscript"/>
              </w:rPr>
              <w:t>b</w:t>
            </w:r>
          </w:p>
        </w:tc>
        <w:tc>
          <w:tcPr>
            <w:tcW w:w="0" w:type="auto"/>
          </w:tcPr>
          <w:p w:rsidR="00624C00" w:rsidRDefault="00624C00" w:rsidP="00624C00">
            <w:pPr>
              <w:pStyle w:val="Tabletext"/>
            </w:pPr>
            <w:r>
              <w:t>3</w:t>
            </w:r>
            <w:r w:rsidR="00FB3DC0">
              <w:t xml:space="preserve"> </w:t>
            </w:r>
            <w:r w:rsidRPr="001278D7">
              <w:t>(</w:t>
            </w:r>
            <w:r w:rsidR="002A5E3A">
              <w:t>0.018</w:t>
            </w:r>
            <w:r>
              <w:t>)</w:t>
            </w:r>
            <w:r w:rsidRPr="00CE3EE4">
              <w:rPr>
                <w:vertAlign w:val="superscript"/>
              </w:rPr>
              <w:t>b</w:t>
            </w:r>
          </w:p>
        </w:tc>
        <w:tc>
          <w:tcPr>
            <w:tcW w:w="0" w:type="auto"/>
          </w:tcPr>
          <w:p w:rsidR="00624C00" w:rsidRDefault="00624C00" w:rsidP="00624C00">
            <w:pPr>
              <w:pStyle w:val="Tabletext"/>
            </w:pPr>
            <w:r>
              <w:t>0</w:t>
            </w:r>
          </w:p>
        </w:tc>
        <w:tc>
          <w:tcPr>
            <w:tcW w:w="0" w:type="auto"/>
          </w:tcPr>
          <w:p w:rsidR="00624C00" w:rsidRDefault="00624C00" w:rsidP="00624C00">
            <w:pPr>
              <w:pStyle w:val="Tabletext"/>
            </w:pPr>
            <w:r>
              <w:t>0</w:t>
            </w:r>
          </w:p>
        </w:tc>
        <w:tc>
          <w:tcPr>
            <w:tcW w:w="0" w:type="auto"/>
            <w:tcBorders>
              <w:right w:val="single" w:sz="4" w:space="0" w:color="auto"/>
            </w:tcBorders>
          </w:tcPr>
          <w:p w:rsidR="00624C00" w:rsidRDefault="00624C00" w:rsidP="00624C00">
            <w:pPr>
              <w:pStyle w:val="Tabletext"/>
            </w:pPr>
            <w:r>
              <w:t>0</w:t>
            </w:r>
          </w:p>
        </w:tc>
        <w:tc>
          <w:tcPr>
            <w:tcW w:w="0" w:type="auto"/>
            <w:tcBorders>
              <w:left w:val="single" w:sz="4" w:space="0" w:color="auto"/>
            </w:tcBorders>
          </w:tcPr>
          <w:p w:rsidR="00624C00" w:rsidRDefault="00624C00" w:rsidP="00624C00">
            <w:pPr>
              <w:pStyle w:val="Tabletext"/>
            </w:pPr>
            <w:r>
              <w:t>152</w:t>
            </w:r>
            <w:r w:rsidR="00FB3DC0">
              <w:t xml:space="preserve"> </w:t>
            </w:r>
            <w:r>
              <w:t>(</w:t>
            </w:r>
            <w:r w:rsidR="002A5E3A">
              <w:t>0.91</w:t>
            </w:r>
            <w:r>
              <w:t>)</w:t>
            </w:r>
          </w:p>
        </w:tc>
        <w:tc>
          <w:tcPr>
            <w:tcW w:w="0" w:type="auto"/>
          </w:tcPr>
          <w:p w:rsidR="00624C00" w:rsidRDefault="00624C00" w:rsidP="00624C00">
            <w:pPr>
              <w:pStyle w:val="Tabletext"/>
            </w:pPr>
            <w:r>
              <w:t>36</w:t>
            </w:r>
            <w:r w:rsidR="00FB3DC0">
              <w:t xml:space="preserve"> </w:t>
            </w:r>
            <w:r>
              <w:t>(</w:t>
            </w:r>
            <w:r w:rsidR="002A5E3A">
              <w:t>0.22</w:t>
            </w:r>
            <w:r>
              <w:t>)</w:t>
            </w:r>
          </w:p>
        </w:tc>
        <w:tc>
          <w:tcPr>
            <w:tcW w:w="0" w:type="auto"/>
          </w:tcPr>
          <w:p w:rsidR="00624C00" w:rsidRDefault="00AC1F3B" w:rsidP="00624C00">
            <w:pPr>
              <w:pStyle w:val="Tabletext"/>
            </w:pPr>
            <w:r>
              <w:t>0</w:t>
            </w:r>
          </w:p>
        </w:tc>
        <w:tc>
          <w:tcPr>
            <w:tcW w:w="0" w:type="auto"/>
          </w:tcPr>
          <w:p w:rsidR="00624C00" w:rsidRDefault="00624C00" w:rsidP="00624C00">
            <w:pPr>
              <w:pStyle w:val="Tabletext"/>
            </w:pPr>
            <w:r>
              <w:t>1</w:t>
            </w:r>
            <w:r w:rsidR="00FB3DC0">
              <w:t xml:space="preserve"> </w:t>
            </w:r>
            <w:r>
              <w:t>(</w:t>
            </w:r>
            <w:r w:rsidR="002A5E3A">
              <w:t>0.006</w:t>
            </w:r>
            <w:r>
              <w:t>)</w:t>
            </w:r>
          </w:p>
        </w:tc>
        <w:tc>
          <w:tcPr>
            <w:tcW w:w="0" w:type="auto"/>
          </w:tcPr>
          <w:p w:rsidR="00624C00" w:rsidRDefault="00624C00" w:rsidP="00624C00">
            <w:pPr>
              <w:pStyle w:val="Tabletext"/>
            </w:pPr>
            <w:r>
              <w:t>1</w:t>
            </w:r>
            <w:r w:rsidR="00FB3DC0">
              <w:t xml:space="preserve"> </w:t>
            </w:r>
            <w:r>
              <w:t>(</w:t>
            </w:r>
            <w:r w:rsidR="002A5E3A">
              <w:t>0.006</w:t>
            </w:r>
            <w:r>
              <w:t>)</w:t>
            </w:r>
          </w:p>
        </w:tc>
      </w:tr>
      <w:tr w:rsidR="00FD51A3" w:rsidRPr="00767F7A" w:rsidTr="00FD51A3">
        <w:tc>
          <w:tcPr>
            <w:tcW w:w="0" w:type="auto"/>
            <w:tcBorders>
              <w:right w:val="single" w:sz="4" w:space="0" w:color="auto"/>
            </w:tcBorders>
          </w:tcPr>
          <w:p w:rsidR="00624C00" w:rsidRDefault="00624C00" w:rsidP="00624C00">
            <w:pPr>
              <w:pStyle w:val="Tabletext"/>
            </w:pPr>
            <w:r>
              <w:t>Normal or benign change</w:t>
            </w:r>
          </w:p>
        </w:tc>
        <w:tc>
          <w:tcPr>
            <w:tcW w:w="0" w:type="auto"/>
            <w:tcBorders>
              <w:left w:val="single" w:sz="4" w:space="0" w:color="auto"/>
            </w:tcBorders>
          </w:tcPr>
          <w:p w:rsidR="00624C00" w:rsidRDefault="00624C00" w:rsidP="00624C00">
            <w:pPr>
              <w:pStyle w:val="Tabletext"/>
            </w:pPr>
            <w:r>
              <w:t>15785</w:t>
            </w:r>
            <w:r w:rsidR="00FB3DC0">
              <w:t xml:space="preserve"> </w:t>
            </w:r>
            <w:r>
              <w:t>(</w:t>
            </w:r>
            <w:r w:rsidR="002A5E3A">
              <w:t>94.76</w:t>
            </w:r>
            <w:r>
              <w:t>)</w:t>
            </w:r>
          </w:p>
        </w:tc>
        <w:tc>
          <w:tcPr>
            <w:tcW w:w="0" w:type="auto"/>
          </w:tcPr>
          <w:p w:rsidR="00624C00" w:rsidRDefault="00624C00" w:rsidP="00624C00">
            <w:pPr>
              <w:pStyle w:val="Tabletext"/>
            </w:pPr>
            <w:r>
              <w:t>3</w:t>
            </w:r>
            <w:r w:rsidR="00FB3DC0">
              <w:t xml:space="preserve"> </w:t>
            </w:r>
            <w:r>
              <w:t>(</w:t>
            </w:r>
            <w:r w:rsidR="002A5E3A">
              <w:t>0.018</w:t>
            </w:r>
            <w:r>
              <w:t>)</w:t>
            </w:r>
          </w:p>
        </w:tc>
        <w:tc>
          <w:tcPr>
            <w:tcW w:w="0" w:type="auto"/>
          </w:tcPr>
          <w:p w:rsidR="00624C00" w:rsidRDefault="00624C00" w:rsidP="00624C00">
            <w:pPr>
              <w:pStyle w:val="Tabletext"/>
            </w:pPr>
            <w:r>
              <w:t>1</w:t>
            </w:r>
            <w:r w:rsidR="00FB3DC0">
              <w:t xml:space="preserve"> </w:t>
            </w:r>
            <w:r>
              <w:t>(</w:t>
            </w:r>
            <w:r w:rsidR="002A5E3A">
              <w:t>0.006</w:t>
            </w:r>
            <w:r>
              <w:t>)</w:t>
            </w:r>
          </w:p>
        </w:tc>
        <w:tc>
          <w:tcPr>
            <w:tcW w:w="0" w:type="auto"/>
          </w:tcPr>
          <w:p w:rsidR="00624C00" w:rsidRDefault="00624C00" w:rsidP="00624C00">
            <w:pPr>
              <w:pStyle w:val="Tabletext"/>
            </w:pPr>
            <w:r>
              <w:t>0</w:t>
            </w:r>
          </w:p>
        </w:tc>
        <w:tc>
          <w:tcPr>
            <w:tcW w:w="0" w:type="auto"/>
            <w:tcBorders>
              <w:right w:val="single" w:sz="4" w:space="0" w:color="auto"/>
            </w:tcBorders>
          </w:tcPr>
          <w:p w:rsidR="00624C00" w:rsidRPr="0067783C" w:rsidRDefault="00624C00" w:rsidP="00624C00">
            <w:pPr>
              <w:pStyle w:val="Tabletext"/>
            </w:pPr>
            <w:r>
              <w:t>0</w:t>
            </w:r>
          </w:p>
        </w:tc>
        <w:tc>
          <w:tcPr>
            <w:tcW w:w="0" w:type="auto"/>
            <w:tcBorders>
              <w:left w:val="single" w:sz="4" w:space="0" w:color="auto"/>
            </w:tcBorders>
          </w:tcPr>
          <w:p w:rsidR="00624C00" w:rsidRDefault="00624C00" w:rsidP="00624C00">
            <w:pPr>
              <w:pStyle w:val="Tabletext"/>
            </w:pPr>
            <w:r>
              <w:t>14818</w:t>
            </w:r>
            <w:r w:rsidR="00FB3DC0">
              <w:t xml:space="preserve"> </w:t>
            </w:r>
            <w:r>
              <w:t>(</w:t>
            </w:r>
            <w:r w:rsidR="002A5E3A">
              <w:t>88.7</w:t>
            </w:r>
            <w:r>
              <w:t>)</w:t>
            </w:r>
          </w:p>
        </w:tc>
        <w:tc>
          <w:tcPr>
            <w:tcW w:w="0" w:type="auto"/>
          </w:tcPr>
          <w:p w:rsidR="00624C00" w:rsidRDefault="00624C00" w:rsidP="00624C00">
            <w:pPr>
              <w:pStyle w:val="Tabletext"/>
            </w:pPr>
            <w:r>
              <w:t>702</w:t>
            </w:r>
            <w:r w:rsidR="00FB3DC0">
              <w:t xml:space="preserve"> </w:t>
            </w:r>
            <w:r>
              <w:t>(</w:t>
            </w:r>
            <w:r w:rsidR="002A5E3A">
              <w:t>4.2</w:t>
            </w:r>
            <w:r>
              <w:t>)</w:t>
            </w:r>
          </w:p>
        </w:tc>
        <w:tc>
          <w:tcPr>
            <w:tcW w:w="0" w:type="auto"/>
          </w:tcPr>
          <w:p w:rsidR="00624C00" w:rsidRDefault="00624C00" w:rsidP="00624C00">
            <w:pPr>
              <w:pStyle w:val="Tabletext"/>
            </w:pPr>
            <w:r>
              <w:t>73 (</w:t>
            </w:r>
            <w:r w:rsidR="002A5E3A">
              <w:t>0.44</w:t>
            </w:r>
            <w:r>
              <w:t>)</w:t>
            </w:r>
          </w:p>
        </w:tc>
        <w:tc>
          <w:tcPr>
            <w:tcW w:w="0" w:type="auto"/>
          </w:tcPr>
          <w:p w:rsidR="00624C00" w:rsidRDefault="00624C00" w:rsidP="00624C00">
            <w:pPr>
              <w:pStyle w:val="Tabletext"/>
            </w:pPr>
            <w:r>
              <w:t>12</w:t>
            </w:r>
            <w:r w:rsidR="00FB3DC0">
              <w:t xml:space="preserve"> </w:t>
            </w:r>
            <w:r>
              <w:t>(</w:t>
            </w:r>
            <w:r w:rsidR="002A5E3A">
              <w:t>0.07</w:t>
            </w:r>
            <w:r>
              <w:t>)</w:t>
            </w:r>
          </w:p>
        </w:tc>
        <w:tc>
          <w:tcPr>
            <w:tcW w:w="0" w:type="auto"/>
          </w:tcPr>
          <w:p w:rsidR="00624C00" w:rsidRPr="0067783C" w:rsidRDefault="00624C00" w:rsidP="00624C00">
            <w:pPr>
              <w:pStyle w:val="Tabletext"/>
            </w:pPr>
            <w:r>
              <w:t>7</w:t>
            </w:r>
            <w:r w:rsidR="00FB3DC0">
              <w:t xml:space="preserve"> </w:t>
            </w:r>
            <w:r>
              <w:t>(</w:t>
            </w:r>
            <w:r w:rsidR="002A5E3A">
              <w:t>0.04</w:t>
            </w:r>
            <w:r>
              <w:t>)</w:t>
            </w:r>
          </w:p>
        </w:tc>
      </w:tr>
      <w:tr w:rsidR="00FD51A3" w:rsidRPr="00767F7A" w:rsidTr="00FD51A3">
        <w:tc>
          <w:tcPr>
            <w:tcW w:w="0" w:type="auto"/>
            <w:tcBorders>
              <w:right w:val="single" w:sz="4" w:space="0" w:color="auto"/>
            </w:tcBorders>
          </w:tcPr>
          <w:p w:rsidR="00624C00" w:rsidRDefault="00624C00" w:rsidP="00624C00">
            <w:pPr>
              <w:pStyle w:val="Tabletext"/>
            </w:pPr>
            <w:r>
              <w:t>ASCUS or AGUS</w:t>
            </w:r>
          </w:p>
        </w:tc>
        <w:tc>
          <w:tcPr>
            <w:tcW w:w="0" w:type="auto"/>
            <w:tcBorders>
              <w:left w:val="single" w:sz="4" w:space="0" w:color="auto"/>
            </w:tcBorders>
          </w:tcPr>
          <w:p w:rsidR="00624C00" w:rsidRDefault="00624C00" w:rsidP="00624C00">
            <w:pPr>
              <w:pStyle w:val="Tabletext"/>
            </w:pPr>
            <w:r>
              <w:t>130</w:t>
            </w:r>
            <w:r w:rsidR="00FB3DC0">
              <w:t xml:space="preserve"> </w:t>
            </w:r>
            <w:r>
              <w:t>(</w:t>
            </w:r>
            <w:r w:rsidR="002A5E3A">
              <w:t>0.78</w:t>
            </w:r>
            <w:r>
              <w:t>)/27</w:t>
            </w:r>
            <w:r w:rsidR="00FB3DC0">
              <w:t xml:space="preserve"> </w:t>
            </w:r>
            <w:r>
              <w:t>(</w:t>
            </w:r>
            <w:r w:rsidR="002A5E3A">
              <w:t>0.16</w:t>
            </w:r>
            <w:r>
              <w:t>)</w:t>
            </w:r>
          </w:p>
        </w:tc>
        <w:tc>
          <w:tcPr>
            <w:tcW w:w="0" w:type="auto"/>
          </w:tcPr>
          <w:p w:rsidR="00624C00" w:rsidRDefault="00624C00" w:rsidP="00624C00">
            <w:pPr>
              <w:pStyle w:val="Tabletext"/>
            </w:pPr>
            <w:r>
              <w:t>213</w:t>
            </w:r>
            <w:r w:rsidR="00FB3DC0">
              <w:t xml:space="preserve"> </w:t>
            </w:r>
            <w:r>
              <w:t>(</w:t>
            </w:r>
            <w:r w:rsidR="002A5E3A">
              <w:t>1.28</w:t>
            </w:r>
            <w:r>
              <w:t>)/211</w:t>
            </w:r>
            <w:r w:rsidR="00FB3DC0">
              <w:t xml:space="preserve"> </w:t>
            </w:r>
            <w:r>
              <w:t>(</w:t>
            </w:r>
            <w:r w:rsidR="002A5E3A">
              <w:t>1.27</w:t>
            </w:r>
            <w:r>
              <w:t>)</w:t>
            </w:r>
          </w:p>
        </w:tc>
        <w:tc>
          <w:tcPr>
            <w:tcW w:w="0" w:type="auto"/>
          </w:tcPr>
          <w:p w:rsidR="00624C00" w:rsidRDefault="00624C00" w:rsidP="00624C00">
            <w:pPr>
              <w:pStyle w:val="Tabletext"/>
            </w:pPr>
            <w:r>
              <w:t>30</w:t>
            </w:r>
            <w:r w:rsidR="00FB3DC0">
              <w:t xml:space="preserve"> </w:t>
            </w:r>
            <w:r>
              <w:t>(</w:t>
            </w:r>
            <w:r w:rsidR="002A5E3A">
              <w:t>0.18</w:t>
            </w:r>
            <w:r>
              <w:t>)/30</w:t>
            </w:r>
            <w:r w:rsidR="00FB3DC0">
              <w:t xml:space="preserve"> </w:t>
            </w:r>
            <w:r>
              <w:t>(</w:t>
            </w:r>
            <w:r w:rsidR="002A5E3A">
              <w:t>0.18</w:t>
            </w:r>
            <w:r>
              <w:t>)</w:t>
            </w:r>
          </w:p>
        </w:tc>
        <w:tc>
          <w:tcPr>
            <w:tcW w:w="0" w:type="auto"/>
          </w:tcPr>
          <w:p w:rsidR="00624C00" w:rsidRDefault="00624C00" w:rsidP="00624C00">
            <w:pPr>
              <w:pStyle w:val="Tabletext"/>
            </w:pPr>
            <w:r>
              <w:t>4</w:t>
            </w:r>
            <w:r w:rsidR="00FB3DC0">
              <w:t xml:space="preserve"> </w:t>
            </w:r>
            <w:r>
              <w:t>(</w:t>
            </w:r>
            <w:r w:rsidR="002A5E3A">
              <w:t>0.02</w:t>
            </w:r>
            <w:r>
              <w:t>)/3</w:t>
            </w:r>
            <w:r w:rsidR="00FB3DC0">
              <w:t xml:space="preserve"> </w:t>
            </w:r>
            <w:r>
              <w:t>(</w:t>
            </w:r>
            <w:r w:rsidR="002A5E3A">
              <w:t>0.018</w:t>
            </w:r>
            <w:r>
              <w:t>)</w:t>
            </w:r>
          </w:p>
        </w:tc>
        <w:tc>
          <w:tcPr>
            <w:tcW w:w="0" w:type="auto"/>
            <w:tcBorders>
              <w:right w:val="single" w:sz="4" w:space="0" w:color="auto"/>
            </w:tcBorders>
          </w:tcPr>
          <w:p w:rsidR="00624C00" w:rsidRDefault="00624C00" w:rsidP="00624C00">
            <w:pPr>
              <w:pStyle w:val="Tabletext"/>
            </w:pPr>
            <w:r>
              <w:t>5</w:t>
            </w:r>
            <w:r w:rsidR="00FB3DC0">
              <w:t xml:space="preserve"> </w:t>
            </w:r>
            <w:r>
              <w:t>(</w:t>
            </w:r>
            <w:r w:rsidR="002A5E3A">
              <w:t>0.03</w:t>
            </w:r>
            <w:r>
              <w:t>)/4</w:t>
            </w:r>
            <w:r w:rsidR="00FB3DC0">
              <w:t xml:space="preserve"> </w:t>
            </w:r>
            <w:r>
              <w:t>(</w:t>
            </w:r>
            <w:r w:rsidR="002A5E3A">
              <w:t>0.02</w:t>
            </w:r>
            <w:r>
              <w:t>)</w:t>
            </w:r>
          </w:p>
        </w:tc>
        <w:tc>
          <w:tcPr>
            <w:tcW w:w="0" w:type="auto"/>
            <w:tcBorders>
              <w:left w:val="single" w:sz="4" w:space="0" w:color="auto"/>
            </w:tcBorders>
          </w:tcPr>
          <w:p w:rsidR="00624C00" w:rsidRDefault="00624C00" w:rsidP="00624C00">
            <w:pPr>
              <w:pStyle w:val="Tabletext"/>
            </w:pPr>
            <w:r>
              <w:t>34</w:t>
            </w:r>
            <w:r w:rsidR="00FB3DC0">
              <w:t xml:space="preserve"> </w:t>
            </w:r>
            <w:r>
              <w:t>(</w:t>
            </w:r>
            <w:r w:rsidR="002A5E3A">
              <w:t>0.2</w:t>
            </w:r>
            <w:r>
              <w:t>)</w:t>
            </w:r>
          </w:p>
        </w:tc>
        <w:tc>
          <w:tcPr>
            <w:tcW w:w="0" w:type="auto"/>
          </w:tcPr>
          <w:p w:rsidR="00624C00" w:rsidRDefault="00624C00" w:rsidP="00624C00">
            <w:pPr>
              <w:pStyle w:val="Tabletext"/>
            </w:pPr>
            <w:r>
              <w:t>466</w:t>
            </w:r>
            <w:r w:rsidR="00FB3DC0">
              <w:t xml:space="preserve"> </w:t>
            </w:r>
            <w:r>
              <w:t>(</w:t>
            </w:r>
            <w:r w:rsidR="002A5E3A">
              <w:t>2.8</w:t>
            </w:r>
            <w:r>
              <w:t>)</w:t>
            </w:r>
          </w:p>
        </w:tc>
        <w:tc>
          <w:tcPr>
            <w:tcW w:w="0" w:type="auto"/>
          </w:tcPr>
          <w:p w:rsidR="00624C00" w:rsidRDefault="00624C00" w:rsidP="00624C00">
            <w:pPr>
              <w:pStyle w:val="Tabletext"/>
            </w:pPr>
            <w:r>
              <w:t>39</w:t>
            </w:r>
            <w:r w:rsidR="00FB3DC0">
              <w:t xml:space="preserve"> </w:t>
            </w:r>
            <w:r>
              <w:t>(</w:t>
            </w:r>
            <w:r w:rsidR="002A5E3A">
              <w:t>0.23</w:t>
            </w:r>
            <w:r>
              <w:t>)</w:t>
            </w:r>
          </w:p>
        </w:tc>
        <w:tc>
          <w:tcPr>
            <w:tcW w:w="0" w:type="auto"/>
          </w:tcPr>
          <w:p w:rsidR="00624C00" w:rsidRDefault="00624C00" w:rsidP="00624C00">
            <w:pPr>
              <w:pStyle w:val="Tabletext"/>
            </w:pPr>
            <w:r>
              <w:t>0</w:t>
            </w:r>
            <w:r w:rsidR="002A5E3A">
              <w:t>/</w:t>
            </w:r>
            <w:r>
              <w:t>8</w:t>
            </w:r>
            <w:r w:rsidR="00FB3DC0">
              <w:t xml:space="preserve"> </w:t>
            </w:r>
            <w:r>
              <w:t>(</w:t>
            </w:r>
            <w:r w:rsidR="002A5E3A">
              <w:t>0.05</w:t>
            </w:r>
            <w:r>
              <w:t>)</w:t>
            </w:r>
          </w:p>
        </w:tc>
        <w:tc>
          <w:tcPr>
            <w:tcW w:w="0" w:type="auto"/>
          </w:tcPr>
          <w:p w:rsidR="00624C00" w:rsidRDefault="00624C00" w:rsidP="00624C00">
            <w:pPr>
              <w:pStyle w:val="Tabletext"/>
            </w:pPr>
            <w:r>
              <w:t>6</w:t>
            </w:r>
            <w:r w:rsidR="00FB3DC0">
              <w:t xml:space="preserve"> </w:t>
            </w:r>
            <w:r>
              <w:t>(</w:t>
            </w:r>
            <w:r w:rsidR="002A5E3A">
              <w:t>0.04</w:t>
            </w:r>
            <w:r>
              <w:t>)</w:t>
            </w:r>
          </w:p>
        </w:tc>
      </w:tr>
      <w:tr w:rsidR="00FD51A3" w:rsidRPr="00767F7A" w:rsidTr="00FD51A3">
        <w:tc>
          <w:tcPr>
            <w:tcW w:w="0" w:type="auto"/>
            <w:tcBorders>
              <w:right w:val="single" w:sz="4" w:space="0" w:color="auto"/>
            </w:tcBorders>
          </w:tcPr>
          <w:p w:rsidR="00624C00" w:rsidRDefault="00624C00" w:rsidP="00624C00">
            <w:pPr>
              <w:pStyle w:val="Tabletext"/>
            </w:pPr>
            <w:r>
              <w:t>LSIL</w:t>
            </w:r>
          </w:p>
        </w:tc>
        <w:tc>
          <w:tcPr>
            <w:tcW w:w="0" w:type="auto"/>
            <w:tcBorders>
              <w:left w:val="single" w:sz="4" w:space="0" w:color="auto"/>
            </w:tcBorders>
          </w:tcPr>
          <w:p w:rsidR="00624C00" w:rsidRDefault="00624C00" w:rsidP="00624C00">
            <w:pPr>
              <w:pStyle w:val="Tabletext"/>
            </w:pPr>
            <w:r>
              <w:t>14</w:t>
            </w:r>
            <w:r w:rsidR="00FB3DC0">
              <w:t xml:space="preserve"> </w:t>
            </w:r>
            <w:r>
              <w:t>(</w:t>
            </w:r>
            <w:r w:rsidR="002A5E3A">
              <w:t>0.08</w:t>
            </w:r>
            <w:r>
              <w:t>)</w:t>
            </w:r>
          </w:p>
        </w:tc>
        <w:tc>
          <w:tcPr>
            <w:tcW w:w="0" w:type="auto"/>
          </w:tcPr>
          <w:p w:rsidR="00624C00" w:rsidRDefault="00624C00" w:rsidP="00624C00">
            <w:pPr>
              <w:pStyle w:val="Tabletext"/>
            </w:pPr>
            <w:r>
              <w:t>111</w:t>
            </w:r>
            <w:r w:rsidR="00FB3DC0">
              <w:t xml:space="preserve"> </w:t>
            </w:r>
            <w:r>
              <w:t>(</w:t>
            </w:r>
            <w:r w:rsidR="002A5E3A">
              <w:t>0.67</w:t>
            </w:r>
            <w:r>
              <w:t>)</w:t>
            </w:r>
          </w:p>
        </w:tc>
        <w:tc>
          <w:tcPr>
            <w:tcW w:w="0" w:type="auto"/>
          </w:tcPr>
          <w:p w:rsidR="00624C00" w:rsidRDefault="00624C00" w:rsidP="00624C00">
            <w:pPr>
              <w:pStyle w:val="Tabletext"/>
            </w:pPr>
            <w:r>
              <w:t>29</w:t>
            </w:r>
            <w:r w:rsidR="00FB3DC0">
              <w:t xml:space="preserve"> </w:t>
            </w:r>
            <w:r>
              <w:t>(</w:t>
            </w:r>
            <w:r w:rsidR="002A5E3A">
              <w:t>0.17</w:t>
            </w:r>
            <w:r>
              <w:t>)</w:t>
            </w:r>
          </w:p>
        </w:tc>
        <w:tc>
          <w:tcPr>
            <w:tcW w:w="0" w:type="auto"/>
          </w:tcPr>
          <w:p w:rsidR="00624C00" w:rsidRDefault="00624C00" w:rsidP="00624C00">
            <w:pPr>
              <w:pStyle w:val="Tabletext"/>
            </w:pPr>
            <w:r>
              <w:t>8</w:t>
            </w:r>
            <w:r w:rsidR="00FB3DC0">
              <w:t xml:space="preserve"> </w:t>
            </w:r>
            <w:r>
              <w:t>(</w:t>
            </w:r>
            <w:r w:rsidR="002A5E3A">
              <w:t>0.05</w:t>
            </w:r>
            <w:r>
              <w:t>)</w:t>
            </w:r>
          </w:p>
        </w:tc>
        <w:tc>
          <w:tcPr>
            <w:tcW w:w="0" w:type="auto"/>
            <w:tcBorders>
              <w:right w:val="single" w:sz="4" w:space="0" w:color="auto"/>
            </w:tcBorders>
          </w:tcPr>
          <w:p w:rsidR="00624C00" w:rsidRDefault="00624C00" w:rsidP="00624C00">
            <w:pPr>
              <w:pStyle w:val="Tabletext"/>
            </w:pPr>
            <w:r>
              <w:t>8</w:t>
            </w:r>
            <w:r w:rsidR="00FB3DC0">
              <w:t xml:space="preserve"> </w:t>
            </w:r>
            <w:r>
              <w:t>(</w:t>
            </w:r>
            <w:r w:rsidR="002A5E3A">
              <w:t>0.05</w:t>
            </w:r>
            <w:r>
              <w:t>)</w:t>
            </w:r>
          </w:p>
        </w:tc>
        <w:tc>
          <w:tcPr>
            <w:tcW w:w="0" w:type="auto"/>
            <w:tcBorders>
              <w:left w:val="single" w:sz="4" w:space="0" w:color="auto"/>
            </w:tcBorders>
          </w:tcPr>
          <w:p w:rsidR="00624C00" w:rsidRDefault="00624C00" w:rsidP="00624C00">
            <w:pPr>
              <w:pStyle w:val="Tabletext"/>
            </w:pPr>
            <w:r>
              <w:t>29</w:t>
            </w:r>
            <w:r w:rsidR="00FB3DC0">
              <w:t xml:space="preserve"> </w:t>
            </w:r>
            <w:r>
              <w:t>(</w:t>
            </w:r>
            <w:r w:rsidR="002A5E3A">
              <w:t>0.17</w:t>
            </w:r>
            <w:r>
              <w:t>)</w:t>
            </w:r>
          </w:p>
        </w:tc>
        <w:tc>
          <w:tcPr>
            <w:tcW w:w="0" w:type="auto"/>
          </w:tcPr>
          <w:p w:rsidR="00624C00" w:rsidRDefault="00624C00" w:rsidP="00624C00">
            <w:pPr>
              <w:pStyle w:val="Tabletext"/>
            </w:pPr>
            <w:r>
              <w:t>209</w:t>
            </w:r>
            <w:r w:rsidR="00FB3DC0">
              <w:t xml:space="preserve"> </w:t>
            </w:r>
            <w:r>
              <w:t>(</w:t>
            </w:r>
            <w:r w:rsidR="002A5E3A">
              <w:t>1.25</w:t>
            </w:r>
            <w:r>
              <w:t>)</w:t>
            </w:r>
          </w:p>
        </w:tc>
        <w:tc>
          <w:tcPr>
            <w:tcW w:w="0" w:type="auto"/>
          </w:tcPr>
          <w:p w:rsidR="00624C00" w:rsidRDefault="00624C00" w:rsidP="00624C00">
            <w:pPr>
              <w:pStyle w:val="Tabletext"/>
            </w:pPr>
            <w:r>
              <w:t>49</w:t>
            </w:r>
            <w:r w:rsidR="00FB3DC0">
              <w:t xml:space="preserve"> </w:t>
            </w:r>
            <w:r>
              <w:t>(</w:t>
            </w:r>
            <w:r w:rsidR="002A5E3A">
              <w:t>0.29</w:t>
            </w:r>
            <w:r>
              <w:t>)</w:t>
            </w:r>
          </w:p>
        </w:tc>
        <w:tc>
          <w:tcPr>
            <w:tcW w:w="0" w:type="auto"/>
          </w:tcPr>
          <w:p w:rsidR="00624C00" w:rsidRDefault="00624C00" w:rsidP="00624C00">
            <w:pPr>
              <w:pStyle w:val="Tabletext"/>
            </w:pPr>
            <w:r>
              <w:t>4</w:t>
            </w:r>
            <w:r w:rsidR="00FB3DC0">
              <w:t xml:space="preserve"> </w:t>
            </w:r>
            <w:r>
              <w:t>(</w:t>
            </w:r>
            <w:r w:rsidR="002A5E3A">
              <w:t>0.023</w:t>
            </w:r>
            <w:r>
              <w:t>)</w:t>
            </w:r>
          </w:p>
        </w:tc>
        <w:tc>
          <w:tcPr>
            <w:tcW w:w="0" w:type="auto"/>
          </w:tcPr>
          <w:p w:rsidR="00624C00" w:rsidRDefault="00624C00" w:rsidP="00624C00">
            <w:pPr>
              <w:pStyle w:val="Tabletext"/>
            </w:pPr>
            <w:r>
              <w:t>6</w:t>
            </w:r>
            <w:r w:rsidR="00FB3DC0">
              <w:t xml:space="preserve"> </w:t>
            </w:r>
            <w:r>
              <w:t>(</w:t>
            </w:r>
            <w:r w:rsidR="002A5E3A">
              <w:t>0.04</w:t>
            </w:r>
            <w:r>
              <w:t>)</w:t>
            </w:r>
          </w:p>
        </w:tc>
      </w:tr>
      <w:tr w:rsidR="00FD51A3" w:rsidRPr="00767F7A" w:rsidTr="00FD51A3">
        <w:tc>
          <w:tcPr>
            <w:tcW w:w="0" w:type="auto"/>
            <w:tcBorders>
              <w:right w:val="single" w:sz="4" w:space="0" w:color="auto"/>
            </w:tcBorders>
          </w:tcPr>
          <w:p w:rsidR="00624C00" w:rsidRDefault="00624C00" w:rsidP="00624C00">
            <w:pPr>
              <w:pStyle w:val="Tabletext"/>
            </w:pPr>
            <w:r>
              <w:t>HSIL+</w:t>
            </w:r>
          </w:p>
        </w:tc>
        <w:tc>
          <w:tcPr>
            <w:tcW w:w="0" w:type="auto"/>
            <w:tcBorders>
              <w:left w:val="single" w:sz="4" w:space="0" w:color="auto"/>
            </w:tcBorders>
          </w:tcPr>
          <w:p w:rsidR="00624C00" w:rsidRDefault="00624C00" w:rsidP="00624C00">
            <w:pPr>
              <w:pStyle w:val="Tabletext"/>
            </w:pPr>
            <w:r>
              <w:t>2</w:t>
            </w:r>
            <w:r w:rsidR="00FB3DC0">
              <w:t xml:space="preserve"> </w:t>
            </w:r>
            <w:r>
              <w:t>(</w:t>
            </w:r>
            <w:r w:rsidR="002A5E3A">
              <w:t>0.012</w:t>
            </w:r>
            <w:r>
              <w:t>)</w:t>
            </w:r>
          </w:p>
        </w:tc>
        <w:tc>
          <w:tcPr>
            <w:tcW w:w="0" w:type="auto"/>
          </w:tcPr>
          <w:p w:rsidR="00624C00" w:rsidRDefault="00624C00" w:rsidP="00624C00">
            <w:pPr>
              <w:pStyle w:val="Tabletext"/>
            </w:pPr>
            <w:r>
              <w:t>11</w:t>
            </w:r>
            <w:r w:rsidR="00FB3DC0">
              <w:t xml:space="preserve"> </w:t>
            </w:r>
            <w:r>
              <w:t>(</w:t>
            </w:r>
            <w:r w:rsidR="002A5E3A">
              <w:t>0.07</w:t>
            </w:r>
            <w:r>
              <w:t>)</w:t>
            </w:r>
          </w:p>
        </w:tc>
        <w:tc>
          <w:tcPr>
            <w:tcW w:w="0" w:type="auto"/>
          </w:tcPr>
          <w:p w:rsidR="00624C00" w:rsidRDefault="00624C00" w:rsidP="00624C00">
            <w:pPr>
              <w:pStyle w:val="Tabletext"/>
            </w:pPr>
            <w:r>
              <w:t>3</w:t>
            </w:r>
            <w:r w:rsidR="00FB3DC0">
              <w:t xml:space="preserve"> </w:t>
            </w:r>
            <w:r>
              <w:t>(</w:t>
            </w:r>
            <w:r w:rsidR="002A5E3A">
              <w:t>0.018</w:t>
            </w:r>
            <w:r>
              <w:t>)</w:t>
            </w:r>
          </w:p>
        </w:tc>
        <w:tc>
          <w:tcPr>
            <w:tcW w:w="0" w:type="auto"/>
          </w:tcPr>
          <w:p w:rsidR="00624C00" w:rsidRDefault="00624C00" w:rsidP="00624C00">
            <w:pPr>
              <w:pStyle w:val="Tabletext"/>
            </w:pPr>
            <w:r>
              <w:t>8</w:t>
            </w:r>
            <w:r w:rsidR="00FB3DC0">
              <w:t xml:space="preserve"> </w:t>
            </w:r>
            <w:r>
              <w:t>(</w:t>
            </w:r>
            <w:r w:rsidR="002A5E3A">
              <w:t>0.05</w:t>
            </w:r>
            <w:r>
              <w:t>)</w:t>
            </w:r>
          </w:p>
        </w:tc>
        <w:tc>
          <w:tcPr>
            <w:tcW w:w="0" w:type="auto"/>
            <w:tcBorders>
              <w:right w:val="single" w:sz="4" w:space="0" w:color="auto"/>
            </w:tcBorders>
          </w:tcPr>
          <w:p w:rsidR="00624C00" w:rsidRDefault="00624C00" w:rsidP="00624C00">
            <w:pPr>
              <w:pStyle w:val="Tabletext"/>
            </w:pPr>
            <w:r>
              <w:t>18</w:t>
            </w:r>
            <w:r w:rsidR="00FB3DC0">
              <w:t xml:space="preserve"> </w:t>
            </w:r>
            <w:r>
              <w:t>(</w:t>
            </w:r>
            <w:r w:rsidR="002A5E3A">
              <w:t>0.11</w:t>
            </w:r>
            <w:r>
              <w:t>)</w:t>
            </w:r>
          </w:p>
        </w:tc>
        <w:tc>
          <w:tcPr>
            <w:tcW w:w="0" w:type="auto"/>
            <w:tcBorders>
              <w:left w:val="single" w:sz="4" w:space="0" w:color="auto"/>
            </w:tcBorders>
          </w:tcPr>
          <w:p w:rsidR="00624C00" w:rsidRDefault="00624C00" w:rsidP="00624C00">
            <w:pPr>
              <w:pStyle w:val="Tabletext"/>
            </w:pPr>
            <w:r>
              <w:t>4</w:t>
            </w:r>
            <w:r w:rsidR="00FB3DC0">
              <w:t xml:space="preserve"> </w:t>
            </w:r>
            <w:r>
              <w:t>(</w:t>
            </w:r>
            <w:r w:rsidR="002A5E3A">
              <w:t>0.024</w:t>
            </w:r>
            <w:r>
              <w:t>)</w:t>
            </w:r>
          </w:p>
        </w:tc>
        <w:tc>
          <w:tcPr>
            <w:tcW w:w="0" w:type="auto"/>
          </w:tcPr>
          <w:p w:rsidR="00624C00" w:rsidRDefault="00624C00" w:rsidP="00624C00">
            <w:pPr>
              <w:pStyle w:val="Tabletext"/>
            </w:pPr>
            <w:r>
              <w:t>11</w:t>
            </w:r>
            <w:r w:rsidR="00FB3DC0">
              <w:t xml:space="preserve"> </w:t>
            </w:r>
            <w:r>
              <w:t>(</w:t>
            </w:r>
            <w:r w:rsidR="002A5E3A">
              <w:t>0.07</w:t>
            </w:r>
            <w:r>
              <w:t>)</w:t>
            </w:r>
          </w:p>
        </w:tc>
        <w:tc>
          <w:tcPr>
            <w:tcW w:w="0" w:type="auto"/>
          </w:tcPr>
          <w:p w:rsidR="00624C00" w:rsidRDefault="00624C00" w:rsidP="00624C00">
            <w:pPr>
              <w:pStyle w:val="Tabletext"/>
            </w:pPr>
            <w:r>
              <w:t>9</w:t>
            </w:r>
            <w:r w:rsidR="00FB3DC0">
              <w:t xml:space="preserve"> </w:t>
            </w:r>
            <w:r>
              <w:t>(</w:t>
            </w:r>
            <w:r w:rsidR="002A5E3A">
              <w:t>0.05</w:t>
            </w:r>
            <w:r>
              <w:t>)</w:t>
            </w:r>
          </w:p>
        </w:tc>
        <w:tc>
          <w:tcPr>
            <w:tcW w:w="0" w:type="auto"/>
          </w:tcPr>
          <w:p w:rsidR="00624C00" w:rsidRDefault="00624C00" w:rsidP="00624C00">
            <w:pPr>
              <w:pStyle w:val="Tabletext"/>
            </w:pPr>
            <w:r>
              <w:t>11</w:t>
            </w:r>
            <w:r w:rsidR="00FB3DC0">
              <w:t xml:space="preserve"> </w:t>
            </w:r>
            <w:r>
              <w:t>(</w:t>
            </w:r>
            <w:r w:rsidR="002A5E3A">
              <w:t>0.07</w:t>
            </w:r>
            <w:r>
              <w:t>)</w:t>
            </w:r>
          </w:p>
        </w:tc>
        <w:tc>
          <w:tcPr>
            <w:tcW w:w="0" w:type="auto"/>
          </w:tcPr>
          <w:p w:rsidR="00624C00" w:rsidRDefault="00624C00" w:rsidP="00624C00">
            <w:pPr>
              <w:pStyle w:val="Tabletext"/>
            </w:pPr>
            <w:r>
              <w:t>19</w:t>
            </w:r>
            <w:r w:rsidR="00FB3DC0">
              <w:t xml:space="preserve"> </w:t>
            </w:r>
            <w:r>
              <w:t>(</w:t>
            </w:r>
            <w:r w:rsidR="002A5E3A">
              <w:t>0.11</w:t>
            </w:r>
            <w:r>
              <w:t>)</w:t>
            </w:r>
          </w:p>
        </w:tc>
      </w:tr>
      <w:tr w:rsidR="00624C00" w:rsidRPr="00767F7A" w:rsidTr="00FD51A3">
        <w:tc>
          <w:tcPr>
            <w:tcW w:w="0" w:type="auto"/>
            <w:gridSpan w:val="11"/>
          </w:tcPr>
          <w:p w:rsidR="00624C00" w:rsidRDefault="00624C00" w:rsidP="00624C00">
            <w:pPr>
              <w:pStyle w:val="Tabletext"/>
            </w:pPr>
            <w:r>
              <w:t>Source: Ronco 2006b Table 2</w:t>
            </w:r>
          </w:p>
        </w:tc>
      </w:tr>
    </w:tbl>
    <w:p w:rsidR="00624C00" w:rsidRDefault="00624C00" w:rsidP="0025365D">
      <w:pPr>
        <w:pStyle w:val="Tabletext"/>
      </w:pPr>
      <w:r>
        <w:t xml:space="preserve">Abbreviations: AGUS, atypical glandular cells of undetermined significance; ASCUS, atypical cells of undetermined significance; </w:t>
      </w:r>
      <w:r w:rsidR="00286B64">
        <w:t xml:space="preserve">CIN, cervical intraepithelial neoplasia; </w:t>
      </w:r>
      <w:r>
        <w:t>HSIL, high-grade squamous intraepithelial lesion;</w:t>
      </w:r>
      <w:r w:rsidR="00286B64">
        <w:t xml:space="preserve"> LBC, liquid-based cytology;</w:t>
      </w:r>
      <w:r>
        <w:t xml:space="preserve"> LSIL, low grade </w:t>
      </w:r>
      <w:r w:rsidR="00286B64">
        <w:t>squamous intraepithelial lesion</w:t>
      </w:r>
    </w:p>
    <w:p w:rsidR="002A5E3A" w:rsidRDefault="002A5E3A" w:rsidP="0025365D">
      <w:pPr>
        <w:pStyle w:val="Tabletext"/>
      </w:pPr>
      <w:r w:rsidRPr="002A5E3A">
        <w:t>Note: Percentages (%) calculated using for the purpose of this submission, using sample size obtained from Ronc</w:t>
      </w:r>
      <w:r w:rsidR="0025365D">
        <w:t xml:space="preserve">o </w:t>
      </w:r>
      <w:r w:rsidRPr="002A5E3A">
        <w:t>2006</w:t>
      </w:r>
      <w:r>
        <w:t>b</w:t>
      </w:r>
      <w:r w:rsidRPr="002A5E3A">
        <w:t xml:space="preserve">, Table </w:t>
      </w:r>
      <w:r>
        <w:t>2</w:t>
      </w:r>
    </w:p>
    <w:p w:rsidR="00624C00" w:rsidRDefault="00624C00" w:rsidP="00AB012A">
      <w:pPr>
        <w:pStyle w:val="Tabletext"/>
        <w:numPr>
          <w:ilvl w:val="0"/>
          <w:numId w:val="40"/>
        </w:numPr>
      </w:pPr>
      <w:r>
        <w:t>Includes women who had a colposcopy but not histology</w:t>
      </w:r>
    </w:p>
    <w:p w:rsidR="00624C00" w:rsidRDefault="00624C00" w:rsidP="00AB012A">
      <w:pPr>
        <w:pStyle w:val="Tabletext"/>
        <w:numPr>
          <w:ilvl w:val="0"/>
          <w:numId w:val="40"/>
        </w:numPr>
      </w:pPr>
      <w:r>
        <w:t xml:space="preserve">Footnote to table 2 in </w:t>
      </w:r>
      <w:r w:rsidR="0025365D">
        <w:t>the publication by Ronco 2006b</w:t>
      </w:r>
      <w:r>
        <w:t xml:space="preserve"> from which the data were collected states </w:t>
      </w:r>
      <w:proofErr w:type="gramStart"/>
      <w:r>
        <w:t>that ”</w:t>
      </w:r>
      <w:proofErr w:type="gramEnd"/>
      <w:r>
        <w:t>In 30 women, no test was performed. Women directly referred to colposcopy are shown in parenthe</w:t>
      </w:r>
      <w:r w:rsidR="0025365D">
        <w:t>ses (under ASCUS/AGUS cytology)</w:t>
      </w:r>
      <w:r>
        <w:t>”. A total of 275 slides had unsatisfactory cytology and all of these patients were referred for colposcopy and the results presented under ASCUS/AGUS cytology. IT is uncertain whether all of these unsatisfactory slides were repeated and resulted in a finding of ASCUS/AGUS.</w:t>
      </w:r>
    </w:p>
    <w:p w:rsidR="00624C00" w:rsidRDefault="00624C00" w:rsidP="00AB012A">
      <w:pPr>
        <w:pStyle w:val="Tabletext"/>
        <w:numPr>
          <w:ilvl w:val="0"/>
          <w:numId w:val="40"/>
        </w:numPr>
      </w:pPr>
      <w:r>
        <w:t>Table 2 in t</w:t>
      </w:r>
      <w:r w:rsidR="0025365D">
        <w:t>he publication by Ronco 2006b</w:t>
      </w:r>
      <w:r>
        <w:t xml:space="preserve"> indicates that 296 patients had “No valid HPV test”. The footnote to Table 2 that “In 35 women, no test was performed; in 247, conventional samples were taken; and in 14, there was insufficient materials”</w:t>
      </w:r>
    </w:p>
    <w:p w:rsidR="002A5E3A" w:rsidRDefault="002A5E3A" w:rsidP="0025365D">
      <w:pPr>
        <w:pStyle w:val="Tabletext"/>
        <w:rPr>
          <w:rFonts w:ascii="Californian FB" w:hAnsi="Californian FB"/>
          <w:sz w:val="22"/>
          <w:szCs w:val="24"/>
        </w:rPr>
        <w:sectPr w:rsidR="002A5E3A" w:rsidSect="008846BA">
          <w:pgSz w:w="16839" w:h="11907" w:orient="landscape" w:code="9"/>
          <w:pgMar w:top="1701" w:right="1701" w:bottom="1418" w:left="1418" w:header="720" w:footer="720" w:gutter="0"/>
          <w:paperSrc w:first="4035" w:other="4035"/>
          <w:cols w:space="720"/>
          <w:noEndnote/>
          <w:docGrid w:linePitch="299"/>
        </w:sectPr>
      </w:pPr>
    </w:p>
    <w:p w:rsidR="00E22701" w:rsidRDefault="00191CFE" w:rsidP="00CE306E">
      <w:pPr>
        <w:pStyle w:val="Tablenotes"/>
        <w:spacing w:before="0" w:after="240" w:line="360" w:lineRule="auto"/>
        <w:rPr>
          <w:rFonts w:ascii="Californian FB" w:hAnsi="Californian FB"/>
          <w:sz w:val="22"/>
          <w:szCs w:val="24"/>
        </w:rPr>
      </w:pPr>
      <w:r>
        <w:rPr>
          <w:rFonts w:ascii="Californian FB" w:hAnsi="Californian FB"/>
          <w:sz w:val="22"/>
          <w:szCs w:val="24"/>
        </w:rPr>
        <w:lastRenderedPageBreak/>
        <w:t>T</w:t>
      </w:r>
      <w:r w:rsidR="00E22701" w:rsidRPr="00E22701">
        <w:rPr>
          <w:rFonts w:ascii="Californian FB" w:hAnsi="Californian FB"/>
          <w:sz w:val="22"/>
          <w:szCs w:val="24"/>
        </w:rPr>
        <w:t>he correlation</w:t>
      </w:r>
      <w:r w:rsidR="00E22701">
        <w:rPr>
          <w:rFonts w:ascii="Californian FB" w:hAnsi="Californian FB"/>
          <w:sz w:val="22"/>
          <w:szCs w:val="24"/>
        </w:rPr>
        <w:t xml:space="preserve"> </w:t>
      </w:r>
      <w:r w:rsidR="00E22701" w:rsidRPr="00E22701">
        <w:rPr>
          <w:rFonts w:ascii="Californian FB" w:hAnsi="Californian FB"/>
          <w:sz w:val="22"/>
          <w:szCs w:val="24"/>
        </w:rPr>
        <w:t>between the baseline cytological</w:t>
      </w:r>
      <w:r w:rsidR="00E22701">
        <w:rPr>
          <w:rFonts w:ascii="Californian FB" w:hAnsi="Californian FB"/>
          <w:sz w:val="22"/>
          <w:szCs w:val="24"/>
        </w:rPr>
        <w:t xml:space="preserve"> </w:t>
      </w:r>
      <w:r w:rsidR="00E22701" w:rsidRPr="00E22701">
        <w:rPr>
          <w:rFonts w:ascii="Californian FB" w:hAnsi="Californian FB"/>
          <w:sz w:val="22"/>
          <w:szCs w:val="24"/>
        </w:rPr>
        <w:t>result and the verified outcome for</w:t>
      </w:r>
      <w:r w:rsidR="00E22701">
        <w:rPr>
          <w:rFonts w:ascii="Californian FB" w:hAnsi="Californian FB"/>
          <w:sz w:val="22"/>
          <w:szCs w:val="24"/>
        </w:rPr>
        <w:t xml:space="preserve"> </w:t>
      </w:r>
      <w:r w:rsidR="00AC1F3B">
        <w:rPr>
          <w:rFonts w:ascii="Californian FB" w:hAnsi="Californian FB"/>
          <w:sz w:val="22"/>
          <w:szCs w:val="24"/>
        </w:rPr>
        <w:t>cell filtration LBC</w:t>
      </w:r>
      <w:r w:rsidR="00E22701" w:rsidRPr="00E22701">
        <w:rPr>
          <w:rFonts w:ascii="Californian FB" w:hAnsi="Californian FB"/>
          <w:sz w:val="22"/>
          <w:szCs w:val="24"/>
        </w:rPr>
        <w:t xml:space="preserve"> and </w:t>
      </w:r>
      <w:r w:rsidR="00FD51A3">
        <w:rPr>
          <w:rFonts w:ascii="Californian FB" w:hAnsi="Californian FB"/>
          <w:sz w:val="22"/>
          <w:szCs w:val="24"/>
        </w:rPr>
        <w:t>CC</w:t>
      </w:r>
      <w:r w:rsidR="00E22701" w:rsidRPr="00E22701">
        <w:rPr>
          <w:rFonts w:ascii="Californian FB" w:hAnsi="Californian FB"/>
          <w:sz w:val="22"/>
          <w:szCs w:val="24"/>
        </w:rPr>
        <w:t xml:space="preserve"> </w:t>
      </w:r>
      <w:r w:rsidR="00AC1F3B">
        <w:rPr>
          <w:rFonts w:ascii="Californian FB" w:hAnsi="Californian FB"/>
          <w:sz w:val="22"/>
          <w:szCs w:val="24"/>
        </w:rPr>
        <w:t>from</w:t>
      </w:r>
      <w:r w:rsidR="00E22701" w:rsidRPr="00E22701">
        <w:rPr>
          <w:rFonts w:ascii="Californian FB" w:hAnsi="Californian FB"/>
          <w:sz w:val="22"/>
          <w:szCs w:val="24"/>
        </w:rPr>
        <w:t xml:space="preserve"> the intention-to</w:t>
      </w:r>
      <w:r w:rsidR="009C5922">
        <w:rPr>
          <w:rFonts w:ascii="Californian FB" w:hAnsi="Californian FB"/>
          <w:sz w:val="22"/>
          <w:szCs w:val="24"/>
        </w:rPr>
        <w:t>-</w:t>
      </w:r>
      <w:r w:rsidR="00E22701" w:rsidRPr="00E22701">
        <w:rPr>
          <w:rFonts w:ascii="Californian FB" w:hAnsi="Californian FB"/>
          <w:sz w:val="22"/>
          <w:szCs w:val="24"/>
        </w:rPr>
        <w:t>treat</w:t>
      </w:r>
      <w:r w:rsidR="00E22701">
        <w:rPr>
          <w:rFonts w:ascii="Californian FB" w:hAnsi="Californian FB"/>
          <w:sz w:val="22"/>
          <w:szCs w:val="24"/>
        </w:rPr>
        <w:t xml:space="preserve"> </w:t>
      </w:r>
      <w:r w:rsidR="00E22701" w:rsidRPr="00E22701">
        <w:rPr>
          <w:rFonts w:ascii="Californian FB" w:hAnsi="Californian FB"/>
          <w:sz w:val="22"/>
          <w:szCs w:val="24"/>
        </w:rPr>
        <w:t>analysis</w:t>
      </w:r>
      <w:r>
        <w:rPr>
          <w:rFonts w:ascii="Californian FB" w:hAnsi="Californian FB"/>
          <w:sz w:val="22"/>
          <w:szCs w:val="24"/>
        </w:rPr>
        <w:t xml:space="preserve"> r</w:t>
      </w:r>
      <w:r w:rsidR="0006170F">
        <w:rPr>
          <w:rFonts w:ascii="Californian FB" w:hAnsi="Californian FB"/>
          <w:sz w:val="22"/>
          <w:szCs w:val="24"/>
        </w:rPr>
        <w:t xml:space="preserve">eported </w:t>
      </w:r>
      <w:r>
        <w:rPr>
          <w:rFonts w:ascii="Californian FB" w:hAnsi="Californian FB"/>
          <w:sz w:val="22"/>
          <w:szCs w:val="24"/>
        </w:rPr>
        <w:t xml:space="preserve">in the NETHCON trial </w:t>
      </w:r>
      <w:r w:rsidR="00FD51A3">
        <w:rPr>
          <w:rFonts w:ascii="Californian FB" w:hAnsi="Californian FB"/>
          <w:sz w:val="22"/>
          <w:szCs w:val="24"/>
        </w:rPr>
        <w:t>by Siebers 2009</w:t>
      </w:r>
      <w:r>
        <w:rPr>
          <w:rFonts w:ascii="Californian FB" w:hAnsi="Californian FB"/>
          <w:sz w:val="22"/>
          <w:szCs w:val="24"/>
        </w:rPr>
        <w:t xml:space="preserve"> is provided in </w:t>
      </w:r>
      <w:r w:rsidR="00086C77">
        <w:fldChar w:fldCharType="begin"/>
      </w:r>
      <w:r w:rsidR="00086C77">
        <w:instrText xml:space="preserve"> REF _Ref332703648 \h  \* MERGEFORMAT </w:instrText>
      </w:r>
      <w:r w:rsidR="00086C77">
        <w:fldChar w:fldCharType="separate"/>
      </w:r>
      <w:r w:rsidR="003361A8" w:rsidRPr="003361A8">
        <w:rPr>
          <w:rFonts w:ascii="Californian FB" w:hAnsi="Californian FB"/>
          <w:sz w:val="22"/>
          <w:szCs w:val="24"/>
        </w:rPr>
        <w:t>Table 43</w:t>
      </w:r>
      <w:r w:rsidR="00086C77">
        <w:fldChar w:fldCharType="end"/>
      </w:r>
      <w:r>
        <w:rPr>
          <w:rFonts w:ascii="Californian FB" w:hAnsi="Californian FB"/>
          <w:sz w:val="22"/>
          <w:szCs w:val="24"/>
        </w:rPr>
        <w:t xml:space="preserve">. </w:t>
      </w:r>
    </w:p>
    <w:p w:rsidR="00E22701" w:rsidRDefault="00E22701" w:rsidP="00CE306E">
      <w:pPr>
        <w:pStyle w:val="Tablenotes"/>
        <w:spacing w:before="0" w:after="240" w:line="360" w:lineRule="auto"/>
        <w:rPr>
          <w:rFonts w:ascii="Californian FB" w:hAnsi="Californian FB"/>
          <w:sz w:val="22"/>
          <w:szCs w:val="24"/>
        </w:rPr>
        <w:sectPr w:rsidR="00E22701" w:rsidSect="008846BA">
          <w:pgSz w:w="11907" w:h="16839" w:code="9"/>
          <w:pgMar w:top="1701" w:right="1418" w:bottom="1418" w:left="1701" w:header="720" w:footer="720" w:gutter="0"/>
          <w:paperSrc w:first="4035" w:other="4035"/>
          <w:cols w:space="720"/>
          <w:noEndnote/>
          <w:docGrid w:linePitch="299"/>
        </w:sectPr>
      </w:pPr>
      <w:r>
        <w:rPr>
          <w:rFonts w:ascii="Californian FB" w:hAnsi="Californian FB"/>
          <w:sz w:val="22"/>
          <w:szCs w:val="24"/>
        </w:rPr>
        <w:t>Overall</w:t>
      </w:r>
      <w:r w:rsidR="00FD51A3">
        <w:rPr>
          <w:rFonts w:ascii="Californian FB" w:hAnsi="Californian FB"/>
          <w:sz w:val="22"/>
          <w:szCs w:val="24"/>
        </w:rPr>
        <w:t>,</w:t>
      </w:r>
      <w:r>
        <w:rPr>
          <w:rFonts w:ascii="Californian FB" w:hAnsi="Californian FB"/>
          <w:sz w:val="22"/>
          <w:szCs w:val="24"/>
        </w:rPr>
        <w:t xml:space="preserve"> any difference</w:t>
      </w:r>
      <w:r w:rsidR="00FD51A3">
        <w:rPr>
          <w:rFonts w:ascii="Californian FB" w:hAnsi="Californian FB"/>
          <w:sz w:val="22"/>
          <w:szCs w:val="24"/>
        </w:rPr>
        <w:t>s</w:t>
      </w:r>
      <w:r>
        <w:rPr>
          <w:rFonts w:ascii="Californian FB" w:hAnsi="Californian FB"/>
          <w:sz w:val="22"/>
          <w:szCs w:val="24"/>
        </w:rPr>
        <w:t xml:space="preserve"> in the percentage</w:t>
      </w:r>
      <w:r w:rsidRPr="00E22701">
        <w:rPr>
          <w:rFonts w:ascii="Californian FB" w:hAnsi="Californian FB"/>
          <w:sz w:val="22"/>
          <w:szCs w:val="24"/>
        </w:rPr>
        <w:t xml:space="preserve"> of ASCUS, LSIL, and HSIL cytology samples showing normal</w:t>
      </w:r>
      <w:r>
        <w:rPr>
          <w:rFonts w:ascii="Californian FB" w:hAnsi="Californian FB"/>
          <w:sz w:val="22"/>
          <w:szCs w:val="24"/>
        </w:rPr>
        <w:t xml:space="preserve">, </w:t>
      </w:r>
      <w:r w:rsidRPr="00E22701">
        <w:rPr>
          <w:rFonts w:ascii="Californian FB" w:hAnsi="Californian FB"/>
          <w:sz w:val="22"/>
          <w:szCs w:val="24"/>
        </w:rPr>
        <w:t>CIN 1+</w:t>
      </w:r>
      <w:r>
        <w:rPr>
          <w:rFonts w:ascii="Californian FB" w:hAnsi="Californian FB"/>
          <w:sz w:val="22"/>
          <w:szCs w:val="24"/>
        </w:rPr>
        <w:t>, CIN 2+, CIN 3+</w:t>
      </w:r>
      <w:r w:rsidRPr="00E22701">
        <w:rPr>
          <w:rFonts w:ascii="Californian FB" w:hAnsi="Californian FB"/>
          <w:sz w:val="22"/>
          <w:szCs w:val="24"/>
        </w:rPr>
        <w:t xml:space="preserve"> histology </w:t>
      </w:r>
      <w:r w:rsidR="000F17D3">
        <w:rPr>
          <w:rFonts w:ascii="Californian FB" w:hAnsi="Californian FB"/>
          <w:sz w:val="22"/>
          <w:szCs w:val="24"/>
        </w:rPr>
        <w:t>between</w:t>
      </w:r>
      <w:r w:rsidRPr="00E22701">
        <w:rPr>
          <w:rFonts w:ascii="Californian FB" w:hAnsi="Californian FB"/>
          <w:sz w:val="22"/>
          <w:szCs w:val="24"/>
        </w:rPr>
        <w:t xml:space="preserve"> the </w:t>
      </w:r>
      <w:r w:rsidR="000B27AB">
        <w:rPr>
          <w:rFonts w:ascii="Californian FB" w:hAnsi="Californian FB"/>
          <w:sz w:val="22"/>
          <w:szCs w:val="24"/>
        </w:rPr>
        <w:t>cell filtration LBC</w:t>
      </w:r>
      <w:r w:rsidR="000F17D3">
        <w:rPr>
          <w:rFonts w:ascii="Californian FB" w:hAnsi="Californian FB"/>
          <w:sz w:val="22"/>
          <w:szCs w:val="24"/>
        </w:rPr>
        <w:t xml:space="preserve"> arm</w:t>
      </w:r>
      <w:r w:rsidR="00FD51A3">
        <w:rPr>
          <w:rFonts w:ascii="Californian FB" w:hAnsi="Californian FB"/>
          <w:sz w:val="22"/>
          <w:szCs w:val="24"/>
        </w:rPr>
        <w:t>s</w:t>
      </w:r>
      <w:r w:rsidR="000F17D3">
        <w:rPr>
          <w:rFonts w:ascii="Californian FB" w:hAnsi="Californian FB"/>
          <w:sz w:val="22"/>
          <w:szCs w:val="24"/>
        </w:rPr>
        <w:t xml:space="preserve"> compared with </w:t>
      </w:r>
      <w:r w:rsidR="00FD51A3">
        <w:rPr>
          <w:rFonts w:ascii="Californian FB" w:hAnsi="Californian FB"/>
          <w:sz w:val="22"/>
          <w:szCs w:val="24"/>
        </w:rPr>
        <w:t>CC</w:t>
      </w:r>
      <w:r w:rsidR="000B27AB">
        <w:rPr>
          <w:rFonts w:ascii="Californian FB" w:hAnsi="Californian FB"/>
          <w:sz w:val="22"/>
          <w:szCs w:val="24"/>
        </w:rPr>
        <w:t xml:space="preserve"> </w:t>
      </w:r>
      <w:r w:rsidR="00FD51A3">
        <w:rPr>
          <w:rFonts w:ascii="Californian FB" w:hAnsi="Californian FB"/>
          <w:sz w:val="22"/>
          <w:szCs w:val="24"/>
        </w:rPr>
        <w:t>we</w:t>
      </w:r>
      <w:r w:rsidR="000F17D3">
        <w:rPr>
          <w:rFonts w:ascii="Californian FB" w:hAnsi="Californian FB"/>
          <w:sz w:val="22"/>
          <w:szCs w:val="24"/>
        </w:rPr>
        <w:t>re not statistically significant.</w:t>
      </w:r>
      <w:r w:rsidR="0053155D">
        <w:rPr>
          <w:rFonts w:ascii="Californian FB" w:hAnsi="Californian FB"/>
          <w:sz w:val="22"/>
          <w:szCs w:val="24"/>
        </w:rPr>
        <w:t xml:space="preserve"> Both the intention to treat and per pro</w:t>
      </w:r>
      <w:r w:rsidR="0025365D">
        <w:rPr>
          <w:rFonts w:ascii="Californian FB" w:hAnsi="Californian FB"/>
          <w:sz w:val="22"/>
          <w:szCs w:val="24"/>
        </w:rPr>
        <w:t>tocol analyses demonstrated non-</w:t>
      </w:r>
      <w:r w:rsidR="0053155D">
        <w:rPr>
          <w:rFonts w:ascii="Californian FB" w:hAnsi="Californian FB"/>
          <w:sz w:val="22"/>
          <w:szCs w:val="24"/>
        </w:rPr>
        <w:t xml:space="preserve">significant differences between the </w:t>
      </w:r>
      <w:r w:rsidR="000B27AB">
        <w:rPr>
          <w:rFonts w:ascii="Californian FB" w:hAnsi="Californian FB"/>
          <w:sz w:val="22"/>
          <w:szCs w:val="24"/>
        </w:rPr>
        <w:t xml:space="preserve">cell filtration </w:t>
      </w:r>
      <w:r w:rsidR="0053155D">
        <w:rPr>
          <w:rFonts w:ascii="Californian FB" w:hAnsi="Californian FB"/>
          <w:sz w:val="22"/>
          <w:szCs w:val="24"/>
        </w:rPr>
        <w:t xml:space="preserve">LBC arm and </w:t>
      </w:r>
      <w:r w:rsidR="00FD51A3">
        <w:rPr>
          <w:rFonts w:ascii="Californian FB" w:hAnsi="Californian FB"/>
          <w:sz w:val="22"/>
          <w:szCs w:val="24"/>
        </w:rPr>
        <w:t xml:space="preserve">CC (Siebers </w:t>
      </w:r>
      <w:r w:rsidR="000B27AB">
        <w:rPr>
          <w:rFonts w:ascii="Californian FB" w:hAnsi="Californian FB"/>
          <w:sz w:val="22"/>
          <w:szCs w:val="24"/>
        </w:rPr>
        <w:t>2009 p.1762)</w:t>
      </w:r>
      <w:r w:rsidR="0053155D">
        <w:rPr>
          <w:rFonts w:ascii="Californian FB" w:hAnsi="Californian FB"/>
          <w:sz w:val="22"/>
          <w:szCs w:val="24"/>
        </w:rPr>
        <w:t xml:space="preserve">. </w:t>
      </w:r>
    </w:p>
    <w:p w:rsidR="00624C00" w:rsidRDefault="00624C00" w:rsidP="00624C00">
      <w:pPr>
        <w:pStyle w:val="Caption"/>
      </w:pPr>
      <w:bookmarkStart w:id="365" w:name="_Ref332703648"/>
      <w:bookmarkStart w:id="366" w:name="_Toc331766474"/>
      <w:bookmarkStart w:id="367" w:name="_Toc335666009"/>
      <w:bookmarkStart w:id="368" w:name="_Toc337546980"/>
      <w:r>
        <w:lastRenderedPageBreak/>
        <w:t xml:space="preserve">Table </w:t>
      </w:r>
      <w:fldSimple w:instr=" SEQ Table \* ARABIC ">
        <w:r w:rsidR="003361A8">
          <w:rPr>
            <w:noProof/>
          </w:rPr>
          <w:t>43</w:t>
        </w:r>
      </w:fldSimple>
      <w:bookmarkEnd w:id="365"/>
      <w:r>
        <w:tab/>
        <w:t>Correlation between cytological and verified follow up outcome</w:t>
      </w:r>
      <w:r w:rsidRPr="00955D01">
        <w:rPr>
          <w:vertAlign w:val="superscript"/>
        </w:rPr>
        <w:t>a</w:t>
      </w:r>
      <w:r w:rsidR="007E7C62">
        <w:t>—</w:t>
      </w:r>
      <w:r w:rsidR="00FD51A3">
        <w:t>CC</w:t>
      </w:r>
      <w:r>
        <w:t xml:space="preserve"> versus </w:t>
      </w:r>
      <w:r w:rsidR="007E7C62">
        <w:t>cell filtration LBC;</w:t>
      </w:r>
      <w:r w:rsidR="00FD51A3">
        <w:t xml:space="preserve"> NETHCON trial: Siebers </w:t>
      </w:r>
      <w:r>
        <w:t>2009</w:t>
      </w:r>
      <w:bookmarkEnd w:id="366"/>
      <w:bookmarkEnd w:id="367"/>
      <w:bookmarkEnd w:id="36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5"/>
        <w:gridCol w:w="1714"/>
        <w:gridCol w:w="1165"/>
        <w:gridCol w:w="1642"/>
        <w:gridCol w:w="1614"/>
        <w:gridCol w:w="1714"/>
        <w:gridCol w:w="1165"/>
        <w:gridCol w:w="1653"/>
        <w:gridCol w:w="1396"/>
        <w:gridCol w:w="928"/>
      </w:tblGrid>
      <w:tr w:rsidR="006737E4" w:rsidRPr="00FD51A3" w:rsidTr="00FD51A3">
        <w:tc>
          <w:tcPr>
            <w:tcW w:w="0" w:type="auto"/>
            <w:tcBorders>
              <w:right w:val="single" w:sz="4" w:space="0" w:color="auto"/>
            </w:tcBorders>
          </w:tcPr>
          <w:p w:rsidR="00624C00" w:rsidRPr="00FD51A3" w:rsidRDefault="00624C00" w:rsidP="00624C00">
            <w:pPr>
              <w:pStyle w:val="Tabletext"/>
              <w:rPr>
                <w:b/>
              </w:rPr>
            </w:pPr>
          </w:p>
        </w:tc>
        <w:tc>
          <w:tcPr>
            <w:tcW w:w="0" w:type="auto"/>
            <w:gridSpan w:val="4"/>
            <w:tcBorders>
              <w:top w:val="single" w:sz="4" w:space="0" w:color="auto"/>
              <w:left w:val="single" w:sz="4" w:space="0" w:color="auto"/>
            </w:tcBorders>
          </w:tcPr>
          <w:p w:rsidR="00624C00" w:rsidRPr="00FD51A3" w:rsidRDefault="00624C00" w:rsidP="00FD51A3">
            <w:pPr>
              <w:pStyle w:val="Tabletext"/>
              <w:jc w:val="center"/>
              <w:rPr>
                <w:b/>
              </w:rPr>
            </w:pPr>
            <w:r w:rsidRPr="00FD51A3">
              <w:rPr>
                <w:b/>
              </w:rPr>
              <w:t>Conventional</w:t>
            </w:r>
          </w:p>
        </w:tc>
        <w:tc>
          <w:tcPr>
            <w:tcW w:w="6022" w:type="dxa"/>
            <w:gridSpan w:val="4"/>
            <w:tcBorders>
              <w:top w:val="single" w:sz="4" w:space="0" w:color="auto"/>
            </w:tcBorders>
          </w:tcPr>
          <w:p w:rsidR="00624C00" w:rsidRPr="00FD51A3" w:rsidRDefault="003C0082" w:rsidP="00FD51A3">
            <w:pPr>
              <w:pStyle w:val="Tabletext"/>
              <w:jc w:val="center"/>
              <w:rPr>
                <w:b/>
              </w:rPr>
            </w:pPr>
            <w:r w:rsidRPr="00FD51A3">
              <w:rPr>
                <w:b/>
              </w:rPr>
              <w:t>LBC</w:t>
            </w:r>
          </w:p>
        </w:tc>
        <w:tc>
          <w:tcPr>
            <w:tcW w:w="928" w:type="dxa"/>
          </w:tcPr>
          <w:p w:rsidR="00624C00" w:rsidRPr="00FD51A3" w:rsidRDefault="00FD51A3" w:rsidP="00624C00">
            <w:pPr>
              <w:pStyle w:val="Tabletext"/>
              <w:rPr>
                <w:b/>
              </w:rPr>
            </w:pPr>
            <w:r>
              <w:rPr>
                <w:b/>
              </w:rPr>
              <w:t xml:space="preserve">P </w:t>
            </w:r>
            <w:r w:rsidR="00624C00" w:rsidRPr="00FD51A3">
              <w:rPr>
                <w:b/>
              </w:rPr>
              <w:t>value</w:t>
            </w:r>
          </w:p>
        </w:tc>
      </w:tr>
      <w:tr w:rsidR="006737E4" w:rsidRPr="00FD51A3" w:rsidTr="00FD51A3">
        <w:tc>
          <w:tcPr>
            <w:tcW w:w="0" w:type="auto"/>
            <w:tcBorders>
              <w:right w:val="single" w:sz="4" w:space="0" w:color="auto"/>
            </w:tcBorders>
          </w:tcPr>
          <w:p w:rsidR="00624C00" w:rsidRPr="00FD51A3" w:rsidRDefault="00624C00" w:rsidP="00624C00">
            <w:pPr>
              <w:pStyle w:val="Tabletext"/>
              <w:rPr>
                <w:b/>
              </w:rPr>
            </w:pPr>
          </w:p>
        </w:tc>
        <w:tc>
          <w:tcPr>
            <w:tcW w:w="0" w:type="auto"/>
            <w:tcBorders>
              <w:left w:val="single" w:sz="4" w:space="0" w:color="auto"/>
            </w:tcBorders>
          </w:tcPr>
          <w:p w:rsidR="00624C00" w:rsidRPr="00FD51A3" w:rsidRDefault="00624C00" w:rsidP="00624C00">
            <w:pPr>
              <w:pStyle w:val="Tabletext"/>
              <w:rPr>
                <w:b/>
              </w:rPr>
            </w:pPr>
            <w:r w:rsidRPr="00FD51A3">
              <w:rPr>
                <w:b/>
              </w:rPr>
              <w:t>Within normal limits, ATYPIA or ASCUS, n/</w:t>
            </w:r>
            <w:proofErr w:type="gramStart"/>
            <w:r w:rsidRPr="00FD51A3">
              <w:rPr>
                <w:b/>
              </w:rPr>
              <w:t>N(</w:t>
            </w:r>
            <w:proofErr w:type="gramEnd"/>
            <w:r w:rsidRPr="00FD51A3">
              <w:rPr>
                <w:b/>
              </w:rPr>
              <w:t>%)</w:t>
            </w:r>
            <w:r w:rsidR="00FD51A3">
              <w:rPr>
                <w:b/>
              </w:rPr>
              <w:t xml:space="preserve"> </w:t>
            </w:r>
            <w:r w:rsidRPr="00FD51A3">
              <w:rPr>
                <w:b/>
              </w:rPr>
              <w:t>[95%</w:t>
            </w:r>
            <w:r w:rsidR="00FD51A3">
              <w:rPr>
                <w:b/>
              </w:rPr>
              <w:t xml:space="preserve"> </w:t>
            </w:r>
            <w:r w:rsidRPr="00FD51A3">
              <w:rPr>
                <w:b/>
              </w:rPr>
              <w:t>CI]</w:t>
            </w:r>
          </w:p>
        </w:tc>
        <w:tc>
          <w:tcPr>
            <w:tcW w:w="0" w:type="auto"/>
          </w:tcPr>
          <w:p w:rsidR="00624C00" w:rsidRPr="00FD51A3" w:rsidRDefault="00FD51A3" w:rsidP="00624C00">
            <w:pPr>
              <w:pStyle w:val="Tabletext"/>
              <w:rPr>
                <w:b/>
              </w:rPr>
            </w:pPr>
            <w:r>
              <w:rPr>
                <w:b/>
              </w:rPr>
              <w:t>CIN 1 or l</w:t>
            </w:r>
            <w:r w:rsidR="00624C00" w:rsidRPr="00FD51A3">
              <w:rPr>
                <w:b/>
              </w:rPr>
              <w:t>ow-grade SIL, n/N(%)</w:t>
            </w:r>
            <w:r>
              <w:rPr>
                <w:b/>
              </w:rPr>
              <w:t xml:space="preserve"> </w:t>
            </w:r>
            <w:r w:rsidR="00286B64">
              <w:rPr>
                <w:b/>
              </w:rPr>
              <w:br/>
            </w:r>
            <w:r w:rsidR="00624C00" w:rsidRPr="00FD51A3">
              <w:rPr>
                <w:b/>
              </w:rPr>
              <w:t>[95%</w:t>
            </w:r>
            <w:r>
              <w:rPr>
                <w:b/>
              </w:rPr>
              <w:t xml:space="preserve"> </w:t>
            </w:r>
            <w:r w:rsidR="00624C00" w:rsidRPr="00FD51A3">
              <w:rPr>
                <w:b/>
              </w:rPr>
              <w:t>CI]</w:t>
            </w:r>
          </w:p>
        </w:tc>
        <w:tc>
          <w:tcPr>
            <w:tcW w:w="0" w:type="auto"/>
          </w:tcPr>
          <w:p w:rsidR="00624C00" w:rsidRPr="00FD51A3" w:rsidRDefault="00FD51A3" w:rsidP="00624C00">
            <w:pPr>
              <w:pStyle w:val="Tabletext"/>
              <w:rPr>
                <w:b/>
              </w:rPr>
            </w:pPr>
            <w:r>
              <w:rPr>
                <w:b/>
              </w:rPr>
              <w:t>CIN 2 or m</w:t>
            </w:r>
            <w:r w:rsidR="00624C00" w:rsidRPr="00FD51A3">
              <w:rPr>
                <w:b/>
              </w:rPr>
              <w:t>oderate dysplasia, n/</w:t>
            </w:r>
            <w:proofErr w:type="gramStart"/>
            <w:r w:rsidR="00624C00" w:rsidRPr="00FD51A3">
              <w:rPr>
                <w:b/>
              </w:rPr>
              <w:t>N(</w:t>
            </w:r>
            <w:proofErr w:type="gramEnd"/>
            <w:r w:rsidR="00624C00" w:rsidRPr="00FD51A3">
              <w:rPr>
                <w:b/>
              </w:rPr>
              <w:t>%)</w:t>
            </w:r>
            <w:r>
              <w:rPr>
                <w:b/>
              </w:rPr>
              <w:t xml:space="preserve"> </w:t>
            </w:r>
            <w:r w:rsidR="00624C00" w:rsidRPr="00FD51A3">
              <w:rPr>
                <w:b/>
              </w:rPr>
              <w:t>[95%</w:t>
            </w:r>
            <w:r>
              <w:rPr>
                <w:b/>
              </w:rPr>
              <w:t xml:space="preserve"> </w:t>
            </w:r>
            <w:r w:rsidR="00624C00" w:rsidRPr="00FD51A3">
              <w:rPr>
                <w:b/>
              </w:rPr>
              <w:t>CI]</w:t>
            </w:r>
          </w:p>
        </w:tc>
        <w:tc>
          <w:tcPr>
            <w:tcW w:w="0" w:type="auto"/>
          </w:tcPr>
          <w:p w:rsidR="00624C00" w:rsidRPr="00FD51A3" w:rsidRDefault="00FD51A3" w:rsidP="00624C00">
            <w:pPr>
              <w:pStyle w:val="Tabletext"/>
              <w:rPr>
                <w:b/>
              </w:rPr>
            </w:pPr>
            <w:r>
              <w:rPr>
                <w:b/>
              </w:rPr>
              <w:t>CIN 3+ or s</w:t>
            </w:r>
            <w:r w:rsidR="00624C00" w:rsidRPr="00FD51A3">
              <w:rPr>
                <w:b/>
              </w:rPr>
              <w:t>evere dysplasia, n/</w:t>
            </w:r>
            <w:proofErr w:type="gramStart"/>
            <w:r w:rsidR="00624C00" w:rsidRPr="00FD51A3">
              <w:rPr>
                <w:b/>
              </w:rPr>
              <w:t>N(</w:t>
            </w:r>
            <w:proofErr w:type="gramEnd"/>
            <w:r w:rsidR="00624C00" w:rsidRPr="00FD51A3">
              <w:rPr>
                <w:b/>
              </w:rPr>
              <w:t>%)</w:t>
            </w:r>
            <w:r>
              <w:rPr>
                <w:b/>
              </w:rPr>
              <w:t xml:space="preserve"> </w:t>
            </w:r>
            <w:r w:rsidR="00624C00" w:rsidRPr="00FD51A3">
              <w:rPr>
                <w:b/>
              </w:rPr>
              <w:t>[95%</w:t>
            </w:r>
            <w:r>
              <w:rPr>
                <w:b/>
              </w:rPr>
              <w:t xml:space="preserve"> </w:t>
            </w:r>
            <w:r w:rsidR="00624C00" w:rsidRPr="00FD51A3">
              <w:rPr>
                <w:b/>
              </w:rPr>
              <w:t>CI]</w:t>
            </w:r>
          </w:p>
        </w:tc>
        <w:tc>
          <w:tcPr>
            <w:tcW w:w="0" w:type="auto"/>
            <w:tcBorders>
              <w:right w:val="single" w:sz="4" w:space="0" w:color="auto"/>
            </w:tcBorders>
          </w:tcPr>
          <w:p w:rsidR="00624C00" w:rsidRPr="00FD51A3" w:rsidRDefault="00624C00" w:rsidP="00624C00">
            <w:pPr>
              <w:pStyle w:val="Tabletext"/>
              <w:rPr>
                <w:b/>
              </w:rPr>
            </w:pPr>
            <w:r w:rsidRPr="00FD51A3">
              <w:rPr>
                <w:b/>
              </w:rPr>
              <w:t>Within normal limits, ATYPIA or ASCUS, n/</w:t>
            </w:r>
            <w:proofErr w:type="gramStart"/>
            <w:r w:rsidRPr="00FD51A3">
              <w:rPr>
                <w:b/>
              </w:rPr>
              <w:t>N(</w:t>
            </w:r>
            <w:proofErr w:type="gramEnd"/>
            <w:r w:rsidRPr="00FD51A3">
              <w:rPr>
                <w:b/>
              </w:rPr>
              <w:t>%)</w:t>
            </w:r>
            <w:r w:rsidR="00FD51A3">
              <w:rPr>
                <w:b/>
              </w:rPr>
              <w:t xml:space="preserve"> </w:t>
            </w:r>
            <w:r w:rsidRPr="00FD51A3">
              <w:rPr>
                <w:b/>
              </w:rPr>
              <w:t>[95%</w:t>
            </w:r>
            <w:r w:rsidR="00FD51A3">
              <w:rPr>
                <w:b/>
              </w:rPr>
              <w:t xml:space="preserve"> </w:t>
            </w:r>
            <w:r w:rsidRPr="00FD51A3">
              <w:rPr>
                <w:b/>
              </w:rPr>
              <w:t>CI]</w:t>
            </w:r>
          </w:p>
        </w:tc>
        <w:tc>
          <w:tcPr>
            <w:tcW w:w="0" w:type="auto"/>
            <w:tcBorders>
              <w:left w:val="single" w:sz="4" w:space="0" w:color="auto"/>
            </w:tcBorders>
          </w:tcPr>
          <w:p w:rsidR="00624C00" w:rsidRPr="00FD51A3" w:rsidRDefault="00FD51A3" w:rsidP="00624C00">
            <w:pPr>
              <w:pStyle w:val="Tabletext"/>
              <w:rPr>
                <w:b/>
              </w:rPr>
            </w:pPr>
            <w:r>
              <w:rPr>
                <w:b/>
              </w:rPr>
              <w:t xml:space="preserve">CIN </w:t>
            </w:r>
            <w:r w:rsidR="00624C00" w:rsidRPr="00FD51A3">
              <w:rPr>
                <w:b/>
              </w:rPr>
              <w:t xml:space="preserve">1 or </w:t>
            </w:r>
            <w:r>
              <w:rPr>
                <w:b/>
              </w:rPr>
              <w:t>l</w:t>
            </w:r>
            <w:r w:rsidR="00624C00" w:rsidRPr="00FD51A3">
              <w:rPr>
                <w:b/>
              </w:rPr>
              <w:t>ow-grade SIL, n/N(%)</w:t>
            </w:r>
            <w:r>
              <w:rPr>
                <w:b/>
              </w:rPr>
              <w:t xml:space="preserve"> </w:t>
            </w:r>
            <w:r w:rsidR="00286B64">
              <w:rPr>
                <w:b/>
              </w:rPr>
              <w:br/>
            </w:r>
            <w:r w:rsidR="00624C00" w:rsidRPr="00FD51A3">
              <w:rPr>
                <w:b/>
              </w:rPr>
              <w:t>[95%</w:t>
            </w:r>
            <w:r>
              <w:rPr>
                <w:b/>
              </w:rPr>
              <w:t xml:space="preserve"> </w:t>
            </w:r>
            <w:r w:rsidR="00624C00" w:rsidRPr="00FD51A3">
              <w:rPr>
                <w:b/>
              </w:rPr>
              <w:t>CI]</w:t>
            </w:r>
          </w:p>
        </w:tc>
        <w:tc>
          <w:tcPr>
            <w:tcW w:w="0" w:type="auto"/>
          </w:tcPr>
          <w:p w:rsidR="00624C00" w:rsidRPr="00FD51A3" w:rsidRDefault="00FD51A3" w:rsidP="00624C00">
            <w:pPr>
              <w:pStyle w:val="Tabletext"/>
              <w:rPr>
                <w:b/>
              </w:rPr>
            </w:pPr>
            <w:r>
              <w:rPr>
                <w:b/>
              </w:rPr>
              <w:t>CIN 2 or m</w:t>
            </w:r>
            <w:r w:rsidR="00624C00" w:rsidRPr="00FD51A3">
              <w:rPr>
                <w:b/>
              </w:rPr>
              <w:t>oderate dysplasia, n/N</w:t>
            </w:r>
            <w:r>
              <w:rPr>
                <w:b/>
              </w:rPr>
              <w:t xml:space="preserve"> </w:t>
            </w:r>
            <w:r w:rsidR="00624C00" w:rsidRPr="00FD51A3">
              <w:rPr>
                <w:b/>
              </w:rPr>
              <w:t>(%)</w:t>
            </w:r>
            <w:r>
              <w:rPr>
                <w:b/>
              </w:rPr>
              <w:t xml:space="preserve"> </w:t>
            </w:r>
            <w:r w:rsidR="00624C00" w:rsidRPr="00FD51A3">
              <w:rPr>
                <w:b/>
              </w:rPr>
              <w:t>[95%</w:t>
            </w:r>
            <w:r>
              <w:rPr>
                <w:b/>
              </w:rPr>
              <w:t xml:space="preserve"> </w:t>
            </w:r>
            <w:r w:rsidR="00624C00" w:rsidRPr="00FD51A3">
              <w:rPr>
                <w:b/>
              </w:rPr>
              <w:t>CI]</w:t>
            </w:r>
          </w:p>
        </w:tc>
        <w:tc>
          <w:tcPr>
            <w:tcW w:w="1396" w:type="dxa"/>
          </w:tcPr>
          <w:p w:rsidR="00624C00" w:rsidRPr="00FD51A3" w:rsidRDefault="00FD51A3" w:rsidP="00FD51A3">
            <w:pPr>
              <w:pStyle w:val="Tabletext"/>
              <w:rPr>
                <w:b/>
              </w:rPr>
            </w:pPr>
            <w:r>
              <w:rPr>
                <w:b/>
              </w:rPr>
              <w:t xml:space="preserve">CIN </w:t>
            </w:r>
            <w:r w:rsidR="00624C00" w:rsidRPr="00FD51A3">
              <w:rPr>
                <w:b/>
              </w:rPr>
              <w:t xml:space="preserve">3+ or </w:t>
            </w:r>
            <w:r>
              <w:rPr>
                <w:b/>
              </w:rPr>
              <w:t>s</w:t>
            </w:r>
            <w:r w:rsidR="00624C00" w:rsidRPr="00FD51A3">
              <w:rPr>
                <w:b/>
              </w:rPr>
              <w:t>evere dysplasia, n/</w:t>
            </w:r>
            <w:proofErr w:type="gramStart"/>
            <w:r w:rsidR="00624C00" w:rsidRPr="00FD51A3">
              <w:rPr>
                <w:b/>
              </w:rPr>
              <w:t>N(</w:t>
            </w:r>
            <w:proofErr w:type="gramEnd"/>
            <w:r w:rsidR="00624C00" w:rsidRPr="00FD51A3">
              <w:rPr>
                <w:b/>
              </w:rPr>
              <w:t>%)</w:t>
            </w:r>
            <w:r>
              <w:rPr>
                <w:b/>
              </w:rPr>
              <w:br/>
            </w:r>
            <w:r w:rsidR="00624C00" w:rsidRPr="00FD51A3">
              <w:rPr>
                <w:b/>
              </w:rPr>
              <w:t>[95%</w:t>
            </w:r>
            <w:r>
              <w:rPr>
                <w:b/>
              </w:rPr>
              <w:t xml:space="preserve"> </w:t>
            </w:r>
            <w:r w:rsidR="00624C00" w:rsidRPr="00FD51A3">
              <w:rPr>
                <w:b/>
              </w:rPr>
              <w:t>CI]</w:t>
            </w:r>
          </w:p>
        </w:tc>
        <w:tc>
          <w:tcPr>
            <w:tcW w:w="928" w:type="dxa"/>
          </w:tcPr>
          <w:p w:rsidR="00624C00" w:rsidRPr="00FD51A3" w:rsidRDefault="00624C00" w:rsidP="00624C00">
            <w:pPr>
              <w:pStyle w:val="Tabletext"/>
              <w:rPr>
                <w:b/>
              </w:rPr>
            </w:pPr>
          </w:p>
        </w:tc>
      </w:tr>
      <w:tr w:rsidR="006737E4" w:rsidRPr="00767F7A" w:rsidTr="00FD51A3">
        <w:tc>
          <w:tcPr>
            <w:tcW w:w="0" w:type="auto"/>
            <w:tcBorders>
              <w:right w:val="single" w:sz="4" w:space="0" w:color="auto"/>
            </w:tcBorders>
          </w:tcPr>
          <w:p w:rsidR="00624C00" w:rsidRDefault="00624C00" w:rsidP="00624C00">
            <w:pPr>
              <w:pStyle w:val="Tabletext"/>
            </w:pPr>
            <w:r>
              <w:t xml:space="preserve">ASCUS or AGUS </w:t>
            </w:r>
          </w:p>
        </w:tc>
        <w:tc>
          <w:tcPr>
            <w:tcW w:w="0" w:type="auto"/>
            <w:tcBorders>
              <w:left w:val="single" w:sz="4" w:space="0" w:color="auto"/>
            </w:tcBorders>
          </w:tcPr>
          <w:p w:rsidR="00624C00" w:rsidRDefault="00624C00" w:rsidP="00624C00">
            <w:pPr>
              <w:pStyle w:val="Tabletext"/>
            </w:pPr>
            <w:r>
              <w:t>563/640</w:t>
            </w:r>
            <w:r w:rsidR="00FD51A3">
              <w:t xml:space="preserve"> </w:t>
            </w:r>
            <w:r>
              <w:t>(88.0)</w:t>
            </w:r>
            <w:r w:rsidR="00FD51A3">
              <w:t xml:space="preserve"> </w:t>
            </w:r>
            <w:r w:rsidR="006737E4">
              <w:t xml:space="preserve">[82.2, </w:t>
            </w:r>
            <w:r>
              <w:t>90.4]</w:t>
            </w:r>
          </w:p>
        </w:tc>
        <w:tc>
          <w:tcPr>
            <w:tcW w:w="0" w:type="auto"/>
          </w:tcPr>
          <w:p w:rsidR="00624C00" w:rsidRDefault="00624C00" w:rsidP="00624C00">
            <w:pPr>
              <w:pStyle w:val="Tabletext"/>
            </w:pPr>
            <w:r>
              <w:t>38/640</w:t>
            </w:r>
            <w:r w:rsidR="00FD51A3">
              <w:t xml:space="preserve"> </w:t>
            </w:r>
            <w:r>
              <w:t>(5.9)</w:t>
            </w:r>
            <w:r w:rsidR="00FD51A3">
              <w:t xml:space="preserve"> </w:t>
            </w:r>
            <w:r w:rsidR="006737E4">
              <w:t xml:space="preserve">[4.2, </w:t>
            </w:r>
            <w:r>
              <w:t>8.1]</w:t>
            </w:r>
          </w:p>
        </w:tc>
        <w:tc>
          <w:tcPr>
            <w:tcW w:w="0" w:type="auto"/>
          </w:tcPr>
          <w:p w:rsidR="00624C00" w:rsidRDefault="00624C00" w:rsidP="00624C00">
            <w:pPr>
              <w:pStyle w:val="Tabletext"/>
            </w:pPr>
            <w:r>
              <w:t>18/640</w:t>
            </w:r>
            <w:r w:rsidR="00FD51A3">
              <w:t xml:space="preserve"> </w:t>
            </w:r>
            <w:r>
              <w:t>(2.8)</w:t>
            </w:r>
            <w:r w:rsidR="00FD51A3">
              <w:t xml:space="preserve"> </w:t>
            </w:r>
            <w:r w:rsidR="00FD51A3">
              <w:br/>
              <w:t xml:space="preserve">[1.7, </w:t>
            </w:r>
            <w:r>
              <w:t>4.4]</w:t>
            </w:r>
          </w:p>
        </w:tc>
        <w:tc>
          <w:tcPr>
            <w:tcW w:w="0" w:type="auto"/>
          </w:tcPr>
          <w:p w:rsidR="00624C00" w:rsidRDefault="00624C00" w:rsidP="00624C00">
            <w:pPr>
              <w:pStyle w:val="Tabletext"/>
            </w:pPr>
            <w:r>
              <w:t>21/640</w:t>
            </w:r>
            <w:r w:rsidR="00FD51A3">
              <w:t xml:space="preserve"> </w:t>
            </w:r>
            <w:r>
              <w:t>(3.3)</w:t>
            </w:r>
            <w:r w:rsidR="00FD51A3">
              <w:t xml:space="preserve"> </w:t>
            </w:r>
            <w:r w:rsidR="00FD51A3">
              <w:br/>
              <w:t xml:space="preserve">[2.0, </w:t>
            </w:r>
            <w:r>
              <w:t>5.0]</w:t>
            </w:r>
          </w:p>
        </w:tc>
        <w:tc>
          <w:tcPr>
            <w:tcW w:w="0" w:type="auto"/>
            <w:tcBorders>
              <w:right w:val="single" w:sz="4" w:space="0" w:color="auto"/>
            </w:tcBorders>
          </w:tcPr>
          <w:p w:rsidR="00624C00" w:rsidRDefault="00624C00" w:rsidP="00624C00">
            <w:pPr>
              <w:pStyle w:val="Tabletext"/>
            </w:pPr>
            <w:r>
              <w:t>613/696</w:t>
            </w:r>
            <w:r w:rsidR="00FD51A3">
              <w:t xml:space="preserve"> </w:t>
            </w:r>
            <w:r>
              <w:t>(88.1)</w:t>
            </w:r>
            <w:r w:rsidR="00FD51A3">
              <w:t xml:space="preserve"> [84.4, </w:t>
            </w:r>
            <w:r>
              <w:t>90.4]</w:t>
            </w:r>
          </w:p>
        </w:tc>
        <w:tc>
          <w:tcPr>
            <w:tcW w:w="0" w:type="auto"/>
            <w:tcBorders>
              <w:left w:val="single" w:sz="4" w:space="0" w:color="auto"/>
            </w:tcBorders>
          </w:tcPr>
          <w:p w:rsidR="00624C00" w:rsidRDefault="00624C00" w:rsidP="00624C00">
            <w:pPr>
              <w:pStyle w:val="Tabletext"/>
            </w:pPr>
            <w:r>
              <w:t>35/696</w:t>
            </w:r>
            <w:r w:rsidR="00FD51A3">
              <w:t xml:space="preserve"> </w:t>
            </w:r>
            <w:r>
              <w:t>(5.0)</w:t>
            </w:r>
            <w:r w:rsidR="00FD51A3">
              <w:t xml:space="preserve"> </w:t>
            </w:r>
            <w:r>
              <w:t>[3.5-6.9]</w:t>
            </w:r>
          </w:p>
        </w:tc>
        <w:tc>
          <w:tcPr>
            <w:tcW w:w="0" w:type="auto"/>
          </w:tcPr>
          <w:p w:rsidR="00624C00" w:rsidRDefault="00624C00" w:rsidP="00624C00">
            <w:pPr>
              <w:pStyle w:val="Tabletext"/>
            </w:pPr>
            <w:r>
              <w:t>28/696</w:t>
            </w:r>
            <w:r w:rsidR="00FD51A3">
              <w:t xml:space="preserve"> </w:t>
            </w:r>
            <w:r>
              <w:t>(4.0)</w:t>
            </w:r>
            <w:r w:rsidR="00FD51A3">
              <w:t xml:space="preserve"> </w:t>
            </w:r>
            <w:r w:rsidR="00FD51A3">
              <w:br/>
              <w:t xml:space="preserve">[2.7, </w:t>
            </w:r>
            <w:r>
              <w:t>5.8]</w:t>
            </w:r>
          </w:p>
        </w:tc>
        <w:tc>
          <w:tcPr>
            <w:tcW w:w="1396" w:type="dxa"/>
          </w:tcPr>
          <w:p w:rsidR="00624C00" w:rsidRDefault="00624C00" w:rsidP="00624C00">
            <w:pPr>
              <w:pStyle w:val="Tabletext"/>
            </w:pPr>
            <w:r>
              <w:t>20/696</w:t>
            </w:r>
            <w:r w:rsidR="00FD51A3">
              <w:t xml:space="preserve"> </w:t>
            </w:r>
            <w:r>
              <w:t>(2.9)</w:t>
            </w:r>
            <w:r w:rsidR="00FD51A3">
              <w:t xml:space="preserve"> [1.8, </w:t>
            </w:r>
            <w:r>
              <w:t>4.4]</w:t>
            </w:r>
          </w:p>
        </w:tc>
        <w:tc>
          <w:tcPr>
            <w:tcW w:w="928" w:type="dxa"/>
          </w:tcPr>
          <w:p w:rsidR="00624C00" w:rsidRDefault="00FD51A3" w:rsidP="00624C00">
            <w:pPr>
              <w:pStyle w:val="Tabletext"/>
            </w:pPr>
            <w:r>
              <w:t>P=0.5</w:t>
            </w:r>
            <w:r w:rsidR="00624C00" w:rsidRPr="00287273">
              <w:rPr>
                <w:vertAlign w:val="superscript"/>
              </w:rPr>
              <w:t>b</w:t>
            </w:r>
          </w:p>
        </w:tc>
      </w:tr>
      <w:tr w:rsidR="006737E4" w:rsidRPr="00767F7A" w:rsidTr="00FD51A3">
        <w:tc>
          <w:tcPr>
            <w:tcW w:w="0" w:type="auto"/>
            <w:tcBorders>
              <w:right w:val="single" w:sz="4" w:space="0" w:color="auto"/>
            </w:tcBorders>
          </w:tcPr>
          <w:p w:rsidR="00624C00" w:rsidRDefault="00624C00" w:rsidP="00624C00">
            <w:pPr>
              <w:pStyle w:val="Tabletext"/>
            </w:pPr>
            <w:r>
              <w:t>LSIL</w:t>
            </w:r>
          </w:p>
        </w:tc>
        <w:tc>
          <w:tcPr>
            <w:tcW w:w="0" w:type="auto"/>
            <w:tcBorders>
              <w:left w:val="single" w:sz="4" w:space="0" w:color="auto"/>
            </w:tcBorders>
          </w:tcPr>
          <w:p w:rsidR="00624C00" w:rsidRDefault="00624C00" w:rsidP="00624C00">
            <w:pPr>
              <w:pStyle w:val="Tabletext"/>
            </w:pPr>
            <w:r>
              <w:t>85/149</w:t>
            </w:r>
            <w:r w:rsidR="00FD51A3">
              <w:t xml:space="preserve"> </w:t>
            </w:r>
            <w:r>
              <w:t>(57.1)</w:t>
            </w:r>
            <w:r w:rsidR="00FD51A3">
              <w:t xml:space="preserve"> </w:t>
            </w:r>
            <w:r w:rsidR="006737E4">
              <w:br/>
              <w:t xml:space="preserve">[48.7, </w:t>
            </w:r>
            <w:r>
              <w:t>65.1]</w:t>
            </w:r>
          </w:p>
        </w:tc>
        <w:tc>
          <w:tcPr>
            <w:tcW w:w="0" w:type="auto"/>
          </w:tcPr>
          <w:p w:rsidR="00624C00" w:rsidRDefault="00624C00" w:rsidP="00624C00">
            <w:pPr>
              <w:pStyle w:val="Tabletext"/>
            </w:pPr>
            <w:r>
              <w:t>23/149</w:t>
            </w:r>
            <w:r w:rsidR="00FD51A3">
              <w:t xml:space="preserve"> </w:t>
            </w:r>
            <w:r>
              <w:t>(15.4)</w:t>
            </w:r>
            <w:r w:rsidR="00FD51A3">
              <w:t xml:space="preserve"> </w:t>
            </w:r>
            <w:r w:rsidR="006737E4">
              <w:t xml:space="preserve">[10.0, </w:t>
            </w:r>
            <w:r>
              <w:t>22.3]</w:t>
            </w:r>
          </w:p>
        </w:tc>
        <w:tc>
          <w:tcPr>
            <w:tcW w:w="0" w:type="auto"/>
          </w:tcPr>
          <w:p w:rsidR="00624C00" w:rsidRDefault="00624C00" w:rsidP="00624C00">
            <w:pPr>
              <w:pStyle w:val="Tabletext"/>
            </w:pPr>
            <w:r>
              <w:t>21/149</w:t>
            </w:r>
            <w:r w:rsidR="00FD51A3">
              <w:t xml:space="preserve"> </w:t>
            </w:r>
            <w:r>
              <w:t>(14.1)</w:t>
            </w:r>
            <w:r w:rsidR="00FD51A3">
              <w:br/>
              <w:t xml:space="preserve"> [8.9, </w:t>
            </w:r>
            <w:r>
              <w:t>20.7]</w:t>
            </w:r>
          </w:p>
        </w:tc>
        <w:tc>
          <w:tcPr>
            <w:tcW w:w="0" w:type="auto"/>
          </w:tcPr>
          <w:p w:rsidR="00624C00" w:rsidRDefault="00624C00" w:rsidP="00624C00">
            <w:pPr>
              <w:pStyle w:val="Tabletext"/>
            </w:pPr>
            <w:r>
              <w:t>20/149</w:t>
            </w:r>
            <w:r w:rsidR="00FD51A3">
              <w:t xml:space="preserve"> </w:t>
            </w:r>
            <w:r>
              <w:t>(13.4)</w:t>
            </w:r>
            <w:r w:rsidR="00FD51A3">
              <w:br/>
              <w:t xml:space="preserve">[8.4, </w:t>
            </w:r>
            <w:r>
              <w:t>20.0]</w:t>
            </w:r>
          </w:p>
        </w:tc>
        <w:tc>
          <w:tcPr>
            <w:tcW w:w="0" w:type="auto"/>
            <w:tcBorders>
              <w:right w:val="single" w:sz="4" w:space="0" w:color="auto"/>
            </w:tcBorders>
          </w:tcPr>
          <w:p w:rsidR="00624C00" w:rsidRDefault="00624C00" w:rsidP="00624C00">
            <w:pPr>
              <w:pStyle w:val="Tabletext"/>
            </w:pPr>
            <w:r>
              <w:t>98/179</w:t>
            </w:r>
            <w:r w:rsidR="00FD51A3">
              <w:t xml:space="preserve"> </w:t>
            </w:r>
            <w:r>
              <w:t>(54.8)</w:t>
            </w:r>
            <w:r w:rsidR="00FD51A3">
              <w:t xml:space="preserve"> </w:t>
            </w:r>
            <w:r w:rsidR="00FD51A3">
              <w:br/>
              <w:t xml:space="preserve">[47.2, </w:t>
            </w:r>
            <w:r>
              <w:t>62.2]</w:t>
            </w:r>
          </w:p>
        </w:tc>
        <w:tc>
          <w:tcPr>
            <w:tcW w:w="0" w:type="auto"/>
            <w:tcBorders>
              <w:left w:val="single" w:sz="4" w:space="0" w:color="auto"/>
            </w:tcBorders>
          </w:tcPr>
          <w:p w:rsidR="00624C00" w:rsidRDefault="00624C00" w:rsidP="00624C00">
            <w:pPr>
              <w:pStyle w:val="Tabletext"/>
            </w:pPr>
            <w:r>
              <w:t>31/179</w:t>
            </w:r>
            <w:r w:rsidR="00FD51A3">
              <w:t xml:space="preserve"> </w:t>
            </w:r>
            <w:r>
              <w:t>(17.3)</w:t>
            </w:r>
            <w:r w:rsidR="00FD51A3">
              <w:t xml:space="preserve"> </w:t>
            </w:r>
            <w:r>
              <w:t>[12.1-23.7]</w:t>
            </w:r>
          </w:p>
        </w:tc>
        <w:tc>
          <w:tcPr>
            <w:tcW w:w="0" w:type="auto"/>
          </w:tcPr>
          <w:p w:rsidR="00624C00" w:rsidRDefault="00624C00" w:rsidP="00624C00">
            <w:pPr>
              <w:pStyle w:val="Tabletext"/>
            </w:pPr>
            <w:r>
              <w:t>16/179</w:t>
            </w:r>
            <w:r w:rsidR="00FD51A3">
              <w:t xml:space="preserve"> </w:t>
            </w:r>
            <w:r>
              <w:t>(8.9)</w:t>
            </w:r>
            <w:r w:rsidR="00FD51A3">
              <w:t xml:space="preserve"> </w:t>
            </w:r>
            <w:r w:rsidR="00FD51A3">
              <w:br/>
              <w:t xml:space="preserve">[5.2, </w:t>
            </w:r>
            <w:r>
              <w:t>14.1]</w:t>
            </w:r>
          </w:p>
        </w:tc>
        <w:tc>
          <w:tcPr>
            <w:tcW w:w="1396" w:type="dxa"/>
          </w:tcPr>
          <w:p w:rsidR="00624C00" w:rsidRDefault="00624C00" w:rsidP="00624C00">
            <w:pPr>
              <w:pStyle w:val="Tabletext"/>
            </w:pPr>
            <w:r>
              <w:t>34</w:t>
            </w:r>
            <w:r w:rsidR="00FD51A3">
              <w:t xml:space="preserve"> </w:t>
            </w:r>
            <w:r>
              <w:t>(19.0)</w:t>
            </w:r>
            <w:r w:rsidR="00FD51A3">
              <w:t xml:space="preserve"> </w:t>
            </w:r>
            <w:r w:rsidR="00FD51A3">
              <w:br/>
              <w:t xml:space="preserve">[13.5, </w:t>
            </w:r>
            <w:r>
              <w:t>23.5]</w:t>
            </w:r>
          </w:p>
        </w:tc>
        <w:tc>
          <w:tcPr>
            <w:tcW w:w="928" w:type="dxa"/>
          </w:tcPr>
          <w:p w:rsidR="00624C00" w:rsidRDefault="00624C00" w:rsidP="00624C00">
            <w:pPr>
              <w:pStyle w:val="Tabletext"/>
            </w:pPr>
            <w:r>
              <w:t>P=0.42</w:t>
            </w:r>
            <w:r w:rsidRPr="00287273">
              <w:rPr>
                <w:vertAlign w:val="superscript"/>
              </w:rPr>
              <w:t xml:space="preserve"> b</w:t>
            </w:r>
          </w:p>
        </w:tc>
      </w:tr>
      <w:tr w:rsidR="006737E4" w:rsidRPr="00767F7A" w:rsidTr="00FD51A3">
        <w:tc>
          <w:tcPr>
            <w:tcW w:w="0" w:type="auto"/>
            <w:tcBorders>
              <w:right w:val="single" w:sz="4" w:space="0" w:color="auto"/>
            </w:tcBorders>
          </w:tcPr>
          <w:p w:rsidR="00624C00" w:rsidRDefault="00624C00" w:rsidP="00624C00">
            <w:pPr>
              <w:pStyle w:val="Tabletext"/>
            </w:pPr>
            <w:r>
              <w:t>HSIL+</w:t>
            </w:r>
          </w:p>
        </w:tc>
        <w:tc>
          <w:tcPr>
            <w:tcW w:w="0" w:type="auto"/>
            <w:tcBorders>
              <w:left w:val="single" w:sz="4" w:space="0" w:color="auto"/>
            </w:tcBorders>
          </w:tcPr>
          <w:p w:rsidR="00624C00" w:rsidRDefault="00624C00" w:rsidP="00624C00">
            <w:pPr>
              <w:pStyle w:val="Tabletext"/>
            </w:pPr>
            <w:r>
              <w:t>30/238</w:t>
            </w:r>
            <w:r w:rsidR="00FD51A3">
              <w:t xml:space="preserve"> </w:t>
            </w:r>
            <w:r>
              <w:t>(12.6)</w:t>
            </w:r>
            <w:r w:rsidR="00FD51A3">
              <w:t xml:space="preserve"> </w:t>
            </w:r>
            <w:r w:rsidR="006737E4">
              <w:br/>
              <w:t xml:space="preserve">[8.7, </w:t>
            </w:r>
            <w:r>
              <w:t>17.5]</w:t>
            </w:r>
          </w:p>
        </w:tc>
        <w:tc>
          <w:tcPr>
            <w:tcW w:w="0" w:type="auto"/>
          </w:tcPr>
          <w:p w:rsidR="00624C00" w:rsidRDefault="00624C00" w:rsidP="00624C00">
            <w:pPr>
              <w:pStyle w:val="Tabletext"/>
            </w:pPr>
            <w:r>
              <w:t>14/238</w:t>
            </w:r>
            <w:r w:rsidR="00FD51A3">
              <w:t xml:space="preserve"> </w:t>
            </w:r>
            <w:r>
              <w:t>(5.9)</w:t>
            </w:r>
            <w:r w:rsidR="00FD51A3">
              <w:t xml:space="preserve"> </w:t>
            </w:r>
            <w:r w:rsidR="006737E4">
              <w:t xml:space="preserve">[3.2, </w:t>
            </w:r>
            <w:r>
              <w:t>9.7]</w:t>
            </w:r>
          </w:p>
        </w:tc>
        <w:tc>
          <w:tcPr>
            <w:tcW w:w="0" w:type="auto"/>
          </w:tcPr>
          <w:p w:rsidR="00624C00" w:rsidRDefault="00624C00" w:rsidP="00624C00">
            <w:pPr>
              <w:pStyle w:val="Tabletext"/>
            </w:pPr>
            <w:r>
              <w:t>52/238</w:t>
            </w:r>
            <w:r w:rsidR="00FD51A3">
              <w:t xml:space="preserve"> </w:t>
            </w:r>
            <w:r>
              <w:t>(21.9)</w:t>
            </w:r>
            <w:r w:rsidR="00FD51A3">
              <w:t xml:space="preserve"> [16.8, </w:t>
            </w:r>
            <w:r>
              <w:t>27.6]</w:t>
            </w:r>
          </w:p>
        </w:tc>
        <w:tc>
          <w:tcPr>
            <w:tcW w:w="0" w:type="auto"/>
          </w:tcPr>
          <w:p w:rsidR="00624C00" w:rsidRDefault="00624C00" w:rsidP="00624C00">
            <w:pPr>
              <w:pStyle w:val="Tabletext"/>
            </w:pPr>
            <w:r>
              <w:t>142/238</w:t>
            </w:r>
            <w:r w:rsidR="00FD51A3">
              <w:t xml:space="preserve"> </w:t>
            </w:r>
            <w:r>
              <w:t>(59.7)</w:t>
            </w:r>
            <w:r w:rsidR="00FD51A3">
              <w:t xml:space="preserve"> [53.1, </w:t>
            </w:r>
            <w:r>
              <w:t>66.0]</w:t>
            </w:r>
          </w:p>
        </w:tc>
        <w:tc>
          <w:tcPr>
            <w:tcW w:w="0" w:type="auto"/>
            <w:tcBorders>
              <w:right w:val="single" w:sz="4" w:space="0" w:color="auto"/>
            </w:tcBorders>
          </w:tcPr>
          <w:p w:rsidR="00624C00" w:rsidRDefault="00624C00" w:rsidP="00624C00">
            <w:pPr>
              <w:pStyle w:val="Tabletext"/>
            </w:pPr>
            <w:r>
              <w:t>21/269</w:t>
            </w:r>
            <w:r w:rsidR="00FD51A3">
              <w:t xml:space="preserve"> </w:t>
            </w:r>
            <w:r>
              <w:t>(7.8)</w:t>
            </w:r>
            <w:r w:rsidR="00FD51A3">
              <w:t xml:space="preserve"> </w:t>
            </w:r>
            <w:r w:rsidR="00FD51A3">
              <w:br/>
              <w:t xml:space="preserve">[5.0, </w:t>
            </w:r>
            <w:r>
              <w:t>11.9]</w:t>
            </w:r>
          </w:p>
        </w:tc>
        <w:tc>
          <w:tcPr>
            <w:tcW w:w="0" w:type="auto"/>
            <w:tcBorders>
              <w:left w:val="single" w:sz="4" w:space="0" w:color="auto"/>
            </w:tcBorders>
          </w:tcPr>
          <w:p w:rsidR="00624C00" w:rsidRDefault="00624C00" w:rsidP="00624C00">
            <w:pPr>
              <w:pStyle w:val="Tabletext"/>
            </w:pPr>
            <w:r>
              <w:t>15/269</w:t>
            </w:r>
            <w:r w:rsidR="00FD51A3">
              <w:t xml:space="preserve"> </w:t>
            </w:r>
            <w:r>
              <w:t>(5.6)</w:t>
            </w:r>
            <w:r w:rsidR="00FD51A3">
              <w:t xml:space="preserve"> </w:t>
            </w:r>
            <w:r>
              <w:t>[3.2-9.2]</w:t>
            </w:r>
          </w:p>
        </w:tc>
        <w:tc>
          <w:tcPr>
            <w:tcW w:w="0" w:type="auto"/>
          </w:tcPr>
          <w:p w:rsidR="00624C00" w:rsidRDefault="00624C00" w:rsidP="00624C00">
            <w:pPr>
              <w:pStyle w:val="Tabletext"/>
            </w:pPr>
            <w:r>
              <w:t>51/269</w:t>
            </w:r>
            <w:r w:rsidR="00FD51A3">
              <w:t xml:space="preserve"> </w:t>
            </w:r>
            <w:r>
              <w:t>(19.0)</w:t>
            </w:r>
            <w:r w:rsidR="00FD51A3">
              <w:t xml:space="preserve"> [14.8, </w:t>
            </w:r>
            <w:r>
              <w:t>24.7]</w:t>
            </w:r>
          </w:p>
        </w:tc>
        <w:tc>
          <w:tcPr>
            <w:tcW w:w="1396" w:type="dxa"/>
          </w:tcPr>
          <w:p w:rsidR="00624C00" w:rsidRDefault="00624C00" w:rsidP="00624C00">
            <w:pPr>
              <w:pStyle w:val="Tabletext"/>
            </w:pPr>
            <w:r>
              <w:t>182/269</w:t>
            </w:r>
            <w:r w:rsidR="00FD51A3">
              <w:t xml:space="preserve"> </w:t>
            </w:r>
            <w:r>
              <w:t>(67.7)</w:t>
            </w:r>
            <w:r w:rsidR="00FD51A3">
              <w:t xml:space="preserve"> [63.2, </w:t>
            </w:r>
            <w:r>
              <w:t>74.7]</w:t>
            </w:r>
          </w:p>
        </w:tc>
        <w:tc>
          <w:tcPr>
            <w:tcW w:w="928" w:type="dxa"/>
          </w:tcPr>
          <w:p w:rsidR="00624C00" w:rsidRDefault="00624C00" w:rsidP="00624C00">
            <w:pPr>
              <w:pStyle w:val="Tabletext"/>
            </w:pPr>
            <w:r>
              <w:t>P=0.23</w:t>
            </w:r>
            <w:r w:rsidRPr="00287273">
              <w:rPr>
                <w:vertAlign w:val="superscript"/>
              </w:rPr>
              <w:t xml:space="preserve"> b</w:t>
            </w:r>
          </w:p>
        </w:tc>
      </w:tr>
      <w:tr w:rsidR="00624C00" w:rsidRPr="00767F7A" w:rsidTr="00FD51A3">
        <w:tc>
          <w:tcPr>
            <w:tcW w:w="0" w:type="auto"/>
            <w:gridSpan w:val="10"/>
          </w:tcPr>
          <w:p w:rsidR="00624C00" w:rsidRDefault="006737E4" w:rsidP="00624C00">
            <w:pPr>
              <w:pStyle w:val="Tabletext"/>
            </w:pPr>
            <w:r>
              <w:t xml:space="preserve">Source: Siebers </w:t>
            </w:r>
            <w:r w:rsidR="00624C00">
              <w:t>2009 Table 4</w:t>
            </w:r>
          </w:p>
        </w:tc>
      </w:tr>
    </w:tbl>
    <w:p w:rsidR="00624C00" w:rsidRPr="00287273" w:rsidRDefault="00624C00" w:rsidP="0025365D">
      <w:pPr>
        <w:pStyle w:val="Tabletext"/>
      </w:pPr>
      <w:r w:rsidRPr="00287273">
        <w:t>Abbreviations: AGUS, atypical glandular cells of undetermined significance; ASCUS, atypical cells of undetermined significance; ATYPIA or ASCUS, atypical epithelium or atypical squamous cells of undetermined significance; CI, confidence interval; CIN, cervical</w:t>
      </w:r>
      <w:r w:rsidR="00286B64">
        <w:t xml:space="preserve"> intraepithelial neoplasia</w:t>
      </w:r>
      <w:r w:rsidRPr="00287273">
        <w:t xml:space="preserve">; HSIL+, high-grade squamous intraepithelial lesion or more severe; LSIL, low grade squamous intraepithelial lesion; </w:t>
      </w:r>
      <w:r w:rsidR="00286B64">
        <w:t>SIL, squamous epithelial lesion</w:t>
      </w:r>
    </w:p>
    <w:p w:rsidR="00624C00" w:rsidRDefault="00624C00" w:rsidP="00AB012A">
      <w:pPr>
        <w:pStyle w:val="Tabletext"/>
        <w:numPr>
          <w:ilvl w:val="0"/>
          <w:numId w:val="41"/>
        </w:numPr>
        <w:sectPr w:rsidR="00624C00" w:rsidSect="008846BA">
          <w:pgSz w:w="16839" w:h="11907" w:orient="landscape" w:code="9"/>
          <w:pgMar w:top="1701" w:right="1701" w:bottom="1418" w:left="1418" w:header="720" w:footer="720" w:gutter="0"/>
          <w:paperSrc w:first="4035" w:other="4035"/>
          <w:cols w:space="720"/>
          <w:noEndnote/>
          <w:docGrid w:linePitch="299"/>
        </w:sectPr>
      </w:pPr>
      <w:r w:rsidRPr="00287273">
        <w:t>Follow up tests included cytological testing, colposcopy, or histology depending on the baseline cytological finding.</w:t>
      </w:r>
      <w:r w:rsidR="00884E64">
        <w:t xml:space="preserve"> </w:t>
      </w:r>
      <w:r>
        <w:t>Per-</w:t>
      </w:r>
      <w:r w:rsidR="00286B64">
        <w:t xml:space="preserve">protocol analysis </w:t>
      </w:r>
      <w:r>
        <w:t>of correlation between the baseline cytological result and verified outcome (histology, colposcopy, or cytolo</w:t>
      </w:r>
      <w:r w:rsidR="00286B64">
        <w:t>gy). P value based on Chi²</w:t>
      </w:r>
      <w:r>
        <w:t xml:space="preserve"> </w:t>
      </w:r>
      <w:r w:rsidR="003B6229">
        <w:t>comparison. Correlations</w:t>
      </w:r>
      <w:r>
        <w:t xml:space="preserve"> based on the intention to treat analysis were similar and likewise no significant difference seen between </w:t>
      </w:r>
      <w:r w:rsidR="003C0082">
        <w:t xml:space="preserve">LBC </w:t>
      </w:r>
      <w:r>
        <w:t xml:space="preserve">and conventional </w:t>
      </w:r>
      <w:r w:rsidR="00743935">
        <w:t>Pap</w:t>
      </w:r>
      <w:r>
        <w:t xml:space="preserve"> </w:t>
      </w:r>
      <w:r w:rsidR="004D5A34">
        <w:t>smear</w:t>
      </w:r>
      <w:r>
        <w:t>.</w:t>
      </w:r>
    </w:p>
    <w:p w:rsidR="00296B79" w:rsidRDefault="00086C77" w:rsidP="00CE306E">
      <w:r>
        <w:lastRenderedPageBreak/>
        <w:fldChar w:fldCharType="begin"/>
      </w:r>
      <w:r w:rsidR="0006170F">
        <w:instrText xml:space="preserve"> REF _Ref332195156 \h </w:instrText>
      </w:r>
      <w:r>
        <w:fldChar w:fldCharType="separate"/>
      </w:r>
      <w:r w:rsidR="003361A8">
        <w:t xml:space="preserve">Table </w:t>
      </w:r>
      <w:r w:rsidR="003361A8">
        <w:rPr>
          <w:noProof/>
        </w:rPr>
        <w:t>44</w:t>
      </w:r>
      <w:r>
        <w:fldChar w:fldCharType="end"/>
      </w:r>
      <w:r w:rsidR="0006170F">
        <w:t xml:space="preserve"> shows the </w:t>
      </w:r>
      <w:r w:rsidR="000B27AB" w:rsidRPr="00E22701">
        <w:t>correlation</w:t>
      </w:r>
      <w:r w:rsidR="000B27AB">
        <w:t xml:space="preserve"> </w:t>
      </w:r>
      <w:r w:rsidR="000B27AB" w:rsidRPr="00E22701">
        <w:t>between the baseline cytological</w:t>
      </w:r>
      <w:r w:rsidR="000B27AB">
        <w:t xml:space="preserve"> </w:t>
      </w:r>
      <w:r w:rsidR="000B27AB" w:rsidRPr="00E22701">
        <w:t xml:space="preserve">result and the verified outcome </w:t>
      </w:r>
      <w:r w:rsidR="0006170F">
        <w:t>diagnosis from a region</w:t>
      </w:r>
      <w:r w:rsidR="006737E4">
        <w:t>al database by Strander 2007</w:t>
      </w:r>
      <w:r w:rsidR="0006170F">
        <w:t xml:space="preserve"> at the initial follow up 8 months after the study was completed. </w:t>
      </w:r>
    </w:p>
    <w:p w:rsidR="00C107F7" w:rsidRDefault="00296B79" w:rsidP="00296B79">
      <w:r>
        <w:t xml:space="preserve">With </w:t>
      </w:r>
      <w:r w:rsidR="003C0082">
        <w:t>LBC</w:t>
      </w:r>
      <w:r>
        <w:t>, ASCUS/AGUS resulted in 16.7% be</w:t>
      </w:r>
      <w:r w:rsidR="00C107F7">
        <w:t>n</w:t>
      </w:r>
      <w:r>
        <w:t xml:space="preserve">ign histopathological findings, 11.5% </w:t>
      </w:r>
      <w:r w:rsidR="00817BA4">
        <w:t>LSIL</w:t>
      </w:r>
      <w:r w:rsidR="00C107F7">
        <w:t xml:space="preserve"> findings and 14.1% </w:t>
      </w:r>
      <w:r w:rsidR="00817BA4">
        <w:t>HSIL</w:t>
      </w:r>
      <w:r w:rsidR="00C107F7">
        <w:t xml:space="preserve"> findings. </w:t>
      </w:r>
      <w:r>
        <w:t>For conventiona</w:t>
      </w:r>
      <w:r w:rsidR="00C107F7">
        <w:t xml:space="preserve">l Pap </w:t>
      </w:r>
      <w:r w:rsidR="004D5A34">
        <w:t>smear</w:t>
      </w:r>
      <w:r w:rsidR="00C107F7">
        <w:t>s these figures were 18</w:t>
      </w:r>
      <w:r>
        <w:t>.3%; 2</w:t>
      </w:r>
      <w:r w:rsidR="00C107F7">
        <w:t>0%</w:t>
      </w:r>
      <w:r>
        <w:t xml:space="preserve"> and </w:t>
      </w:r>
      <w:r w:rsidR="00C107F7">
        <w:t>1</w:t>
      </w:r>
      <w:r>
        <w:t>8.</w:t>
      </w:r>
      <w:r w:rsidR="00C107F7">
        <w:t>3</w:t>
      </w:r>
      <w:r>
        <w:t xml:space="preserve">%, respectively. </w:t>
      </w:r>
    </w:p>
    <w:p w:rsidR="00C107F7" w:rsidRDefault="00C107F7" w:rsidP="00C107F7">
      <w:r>
        <w:t xml:space="preserve">With </w:t>
      </w:r>
      <w:r w:rsidR="003C0082">
        <w:t>LBC</w:t>
      </w:r>
      <w:r>
        <w:t xml:space="preserve">, LSIL resulted in 12.3% benign histopathological findings, 17.8% </w:t>
      </w:r>
      <w:r w:rsidR="00817BA4">
        <w:t>LSIL</w:t>
      </w:r>
      <w:r>
        <w:t xml:space="preserve"> findings and 20.5% </w:t>
      </w:r>
      <w:r w:rsidR="00817BA4">
        <w:t>HSIL</w:t>
      </w:r>
      <w:r>
        <w:t xml:space="preserve"> findings. For conventional Pap </w:t>
      </w:r>
      <w:r w:rsidR="004D5A34">
        <w:t>smears</w:t>
      </w:r>
      <w:r>
        <w:t xml:space="preserve"> these figures were 9.6%; 27.7% and 10.8%, respectively. </w:t>
      </w:r>
    </w:p>
    <w:p w:rsidR="00C107F7" w:rsidRDefault="00C107F7" w:rsidP="00C107F7">
      <w:r>
        <w:t xml:space="preserve">With </w:t>
      </w:r>
      <w:r w:rsidR="003C0082">
        <w:t>LBC</w:t>
      </w:r>
      <w:r>
        <w:t xml:space="preserve">, HSIL resulted in 5.7% benign histopathological findings, 11.4% </w:t>
      </w:r>
      <w:r w:rsidR="00817BA4">
        <w:t>LSIL</w:t>
      </w:r>
      <w:r>
        <w:t xml:space="preserve"> findings and 82.9% </w:t>
      </w:r>
      <w:r w:rsidR="00817BA4">
        <w:t>HSIL</w:t>
      </w:r>
      <w:r>
        <w:t xml:space="preserve"> findings. For conventional Pap </w:t>
      </w:r>
      <w:r w:rsidR="004D5A34">
        <w:t>smear</w:t>
      </w:r>
      <w:r>
        <w:t xml:space="preserve">s these figures were 4.4%; 0% and 93.3%, respectively. </w:t>
      </w:r>
    </w:p>
    <w:p w:rsidR="00482F2A" w:rsidRDefault="00C107F7" w:rsidP="00296B79">
      <w:r>
        <w:t>T</w:t>
      </w:r>
      <w:r w:rsidR="00482F2A">
        <w:t xml:space="preserve">he accuracy of </w:t>
      </w:r>
      <w:r w:rsidR="00AF5D38">
        <w:t>HSIL</w:t>
      </w:r>
      <w:r w:rsidR="00482F2A">
        <w:t xml:space="preserve"> cytology for predicting HSIL in histopathology </w:t>
      </w:r>
      <w:r>
        <w:t xml:space="preserve">appeared to be greater for </w:t>
      </w:r>
      <w:r w:rsidR="00AF5D38">
        <w:t xml:space="preserve">cell filtration </w:t>
      </w:r>
      <w:r>
        <w:t xml:space="preserve">LBC; </w:t>
      </w:r>
      <w:r w:rsidR="00AF5D38">
        <w:t>whereas</w:t>
      </w:r>
      <w:r w:rsidR="00482F2A">
        <w:t xml:space="preserve"> LSIL cytology versus LSIL in histopathology appeared to be grea</w:t>
      </w:r>
      <w:r w:rsidR="00AF5D38">
        <w:t xml:space="preserve">ter for </w:t>
      </w:r>
      <w:r w:rsidR="006737E4">
        <w:t>CC</w:t>
      </w:r>
      <w:r w:rsidR="00482F2A">
        <w:t>; however, the numbers were rather small, and the difference was not statistically significant (P=0.17 and P=0.57, respectively</w:t>
      </w:r>
      <w:r w:rsidR="00AF5D38">
        <w:t xml:space="preserve">, </w:t>
      </w:r>
      <w:r w:rsidR="00086C77">
        <w:fldChar w:fldCharType="begin"/>
      </w:r>
      <w:r w:rsidR="00AF5D38">
        <w:instrText xml:space="preserve"> REF _Ref332195156 \h </w:instrText>
      </w:r>
      <w:r w:rsidR="00086C77">
        <w:fldChar w:fldCharType="separate"/>
      </w:r>
      <w:r w:rsidR="003361A8">
        <w:t xml:space="preserve">Table </w:t>
      </w:r>
      <w:r w:rsidR="003361A8">
        <w:rPr>
          <w:noProof/>
        </w:rPr>
        <w:t>44</w:t>
      </w:r>
      <w:r w:rsidR="00086C77">
        <w:fldChar w:fldCharType="end"/>
      </w:r>
      <w:r w:rsidR="00482F2A">
        <w:t>).</w:t>
      </w:r>
    </w:p>
    <w:p w:rsidR="00482F2A" w:rsidRDefault="00482F2A" w:rsidP="00CE306E">
      <w:r>
        <w:t>The numbers of specimens with glandular cell</w:t>
      </w:r>
      <w:r w:rsidR="00AB4597">
        <w:t xml:space="preserve"> </w:t>
      </w:r>
      <w:r>
        <w:t>atypia and adenocarcinoma were too low to be compared</w:t>
      </w:r>
      <w:r w:rsidR="00AB4597">
        <w:t xml:space="preserve"> </w:t>
      </w:r>
      <w:r>
        <w:t xml:space="preserve">statistically. One </w:t>
      </w:r>
      <w:r w:rsidR="00AF5D38">
        <w:t xml:space="preserve">cell filtration </w:t>
      </w:r>
      <w:r>
        <w:t xml:space="preserve">LBC test identified </w:t>
      </w:r>
      <w:r w:rsidR="00AF5D38">
        <w:t>AGUS</w:t>
      </w:r>
      <w:r>
        <w:t xml:space="preserve"> in</w:t>
      </w:r>
      <w:r w:rsidR="00AB4597">
        <w:t xml:space="preserve"> </w:t>
      </w:r>
      <w:r>
        <w:t xml:space="preserve">which the histology was benign, and another </w:t>
      </w:r>
      <w:r w:rsidR="00AF5D38">
        <w:t xml:space="preserve">cell filtration </w:t>
      </w:r>
      <w:r>
        <w:t>LBC</w:t>
      </w:r>
      <w:r w:rsidR="00AB4597">
        <w:t xml:space="preserve"> </w:t>
      </w:r>
      <w:r>
        <w:t>sample had a diagnosis of AIS in which hi</w:t>
      </w:r>
      <w:r w:rsidR="00C107F7">
        <w:t>stology demonstrated benign</w:t>
      </w:r>
      <w:r w:rsidRPr="00482F2A">
        <w:t xml:space="preserve"> </w:t>
      </w:r>
      <w:r>
        <w:t>glandular</w:t>
      </w:r>
      <w:r w:rsidR="00AB4597">
        <w:t xml:space="preserve"> </w:t>
      </w:r>
      <w:r>
        <w:t xml:space="preserve">change and HSIL. Two </w:t>
      </w:r>
      <w:r w:rsidR="006737E4">
        <w:t>CC</w:t>
      </w:r>
      <w:r w:rsidR="00AB4597">
        <w:t xml:space="preserve"> </w:t>
      </w:r>
      <w:r>
        <w:t>smears correctly diagnosed histopathologically confirmed</w:t>
      </w:r>
      <w:r w:rsidR="00AB4597">
        <w:t xml:space="preserve"> </w:t>
      </w:r>
      <w:r>
        <w:t>AIS.</w:t>
      </w:r>
    </w:p>
    <w:p w:rsidR="009D6CCE" w:rsidRDefault="00C107F7" w:rsidP="009D6CCE">
      <w:r>
        <w:t>The search f</w:t>
      </w:r>
      <w:r w:rsidR="006737E4">
        <w:t>or histopathologic diagnoses was</w:t>
      </w:r>
      <w:r>
        <w:t xml:space="preserve"> made on two occasions. The first search occurred 8 months after the study was closed. The mean follow</w:t>
      </w:r>
      <w:r w:rsidR="00AF5D38">
        <w:t xml:space="preserve"> </w:t>
      </w:r>
      <w:r w:rsidR="006737E4">
        <w:t>up was 1.5 years (range</w:t>
      </w:r>
      <w:r>
        <w:t xml:space="preserve"> from 9 months to 2 years and 5 months). The maximum time from smear to follow</w:t>
      </w:r>
      <w:r w:rsidR="00AF5D38">
        <w:t xml:space="preserve"> </w:t>
      </w:r>
      <w:r>
        <w:t>up histopathology</w:t>
      </w:r>
      <w:r w:rsidR="006737E4">
        <w:t xml:space="preserve"> was well within the period of one</w:t>
      </w:r>
      <w:r>
        <w:t xml:space="preserve"> screening round. The second search in the regional database was made 2 years and 1 month later. The mean follow-up at that time </w:t>
      </w:r>
      <w:r w:rsidR="006737E4">
        <w:t>was 3 years and 7 months (range</w:t>
      </w:r>
      <w:r>
        <w:t xml:space="preserve"> from 2 years and 10 months to 4.5 years).</w:t>
      </w:r>
      <w:r w:rsidR="00286B64">
        <w:t xml:space="preserve"> </w:t>
      </w:r>
      <w:r>
        <w:t>According to Swedish national guidelines women are invited to be screened for cervical cancer every three years</w:t>
      </w:r>
      <w:r w:rsidR="006737E4">
        <w:t>. The follow-</w:t>
      </w:r>
      <w:r w:rsidR="00FB50F7">
        <w:t>up histological diagnoses reported after the second round could therefore be as a result of a second cytological screen although further details are n</w:t>
      </w:r>
      <w:r w:rsidR="006737E4">
        <w:t xml:space="preserve">ot reported by Strander </w:t>
      </w:r>
      <w:r w:rsidR="00FB50F7">
        <w:t>200</w:t>
      </w:r>
      <w:r w:rsidR="006737E4">
        <w:t>7</w:t>
      </w:r>
      <w:r w:rsidR="00FB50F7">
        <w:t xml:space="preserve">. </w:t>
      </w:r>
      <w:r w:rsidR="00086C77">
        <w:fldChar w:fldCharType="begin"/>
      </w:r>
      <w:r w:rsidR="00FB50F7">
        <w:instrText xml:space="preserve"> REF _Ref332194959 \h </w:instrText>
      </w:r>
      <w:r w:rsidR="00086C77">
        <w:fldChar w:fldCharType="separate"/>
      </w:r>
      <w:r w:rsidR="003361A8">
        <w:t xml:space="preserve">Table </w:t>
      </w:r>
      <w:r w:rsidR="003361A8">
        <w:rPr>
          <w:noProof/>
        </w:rPr>
        <w:t>45</w:t>
      </w:r>
      <w:r w:rsidR="00086C77">
        <w:fldChar w:fldCharType="end"/>
      </w:r>
      <w:r w:rsidR="00FB50F7">
        <w:t xml:space="preserve"> reports the </w:t>
      </w:r>
      <w:r w:rsidR="00507EC1">
        <w:t xml:space="preserve">number of </w:t>
      </w:r>
      <w:r w:rsidR="006737E4">
        <w:t>h</w:t>
      </w:r>
      <w:r w:rsidR="00286B64">
        <w:t>igh-grade l</w:t>
      </w:r>
      <w:r w:rsidR="00FB50F7">
        <w:t>esions (</w:t>
      </w:r>
      <w:r w:rsidR="00AF5D38">
        <w:t>CIN</w:t>
      </w:r>
      <w:r w:rsidR="00286B64">
        <w:t xml:space="preserve"> 2 or 3, AIS</w:t>
      </w:r>
      <w:r w:rsidR="006737E4">
        <w:t>, or cancer) on h</w:t>
      </w:r>
      <w:r w:rsidR="00FB50F7">
        <w:t xml:space="preserve">istopathology </w:t>
      </w:r>
      <w:r w:rsidR="00507EC1">
        <w:t xml:space="preserve">reported for LBC </w:t>
      </w:r>
      <w:r w:rsidR="009D6CCE">
        <w:t xml:space="preserve">and </w:t>
      </w:r>
      <w:r w:rsidR="006737E4">
        <w:t>c</w:t>
      </w:r>
      <w:r w:rsidR="00507EC1">
        <w:t xml:space="preserve">onventional Pap </w:t>
      </w:r>
      <w:r w:rsidR="006737E4">
        <w:t xml:space="preserve">smear </w:t>
      </w:r>
      <w:r w:rsidR="00507EC1">
        <w:t xml:space="preserve">after </w:t>
      </w:r>
      <w:r w:rsidR="009D6CCE">
        <w:t>1.5 years (18</w:t>
      </w:r>
      <w:r w:rsidR="006737E4">
        <w:t xml:space="preserve"> </w:t>
      </w:r>
      <w:r w:rsidR="009D6CCE">
        <w:t>mo</w:t>
      </w:r>
      <w:r w:rsidR="006737E4">
        <w:t>nths</w:t>
      </w:r>
      <w:r w:rsidR="009D6CCE">
        <w:t>) and 3 years and 7 months (43</w:t>
      </w:r>
      <w:r w:rsidR="006737E4">
        <w:t xml:space="preserve"> </w:t>
      </w:r>
      <w:r w:rsidR="009D6CCE">
        <w:t>mo</w:t>
      </w:r>
      <w:r w:rsidR="006737E4">
        <w:t>nths</w:t>
      </w:r>
      <w:r w:rsidR="009D6CCE">
        <w:t>).</w:t>
      </w:r>
    </w:p>
    <w:p w:rsidR="00482F2A" w:rsidRDefault="00482F2A" w:rsidP="00FB50F7">
      <w:r>
        <w:lastRenderedPageBreak/>
        <w:t>Approximately 42% more high-grade lesions</w:t>
      </w:r>
      <w:r w:rsidR="00AB4597">
        <w:t xml:space="preserve"> </w:t>
      </w:r>
      <w:r>
        <w:t>were identified by histopathology as a result of a</w:t>
      </w:r>
      <w:r w:rsidR="00AB4597">
        <w:t xml:space="preserve"> </w:t>
      </w:r>
      <w:r w:rsidR="00A63F07">
        <w:t xml:space="preserve">screening test with </w:t>
      </w:r>
      <w:r w:rsidR="00AF5D38">
        <w:t xml:space="preserve">cell filtration </w:t>
      </w:r>
      <w:r w:rsidR="00A63F07">
        <w:t>LBC (P=0</w:t>
      </w:r>
      <w:r>
        <w:t>.05) compared with</w:t>
      </w:r>
      <w:r w:rsidR="00AB4597">
        <w:t xml:space="preserve"> </w:t>
      </w:r>
      <w:r w:rsidR="006737E4">
        <w:t>CC</w:t>
      </w:r>
      <w:r>
        <w:t>. This difference</w:t>
      </w:r>
      <w:r w:rsidR="00AB4597">
        <w:t xml:space="preserve"> </w:t>
      </w:r>
      <w:r>
        <w:t>was even more significant after adjusting for age and</w:t>
      </w:r>
      <w:r w:rsidR="00AB4597">
        <w:t xml:space="preserve"> </w:t>
      </w:r>
      <w:r>
        <w:t>screening unit in the logistic regression model</w:t>
      </w:r>
      <w:r w:rsidR="00A63F07">
        <w:t xml:space="preserve"> (</w:t>
      </w:r>
      <w:r w:rsidR="00086C77">
        <w:fldChar w:fldCharType="begin"/>
      </w:r>
      <w:r w:rsidR="00A63F07">
        <w:instrText xml:space="preserve"> REF _Ref332194959 \h </w:instrText>
      </w:r>
      <w:r w:rsidR="00086C77">
        <w:fldChar w:fldCharType="separate"/>
      </w:r>
      <w:r w:rsidR="003361A8">
        <w:t xml:space="preserve">Table </w:t>
      </w:r>
      <w:r w:rsidR="003361A8">
        <w:rPr>
          <w:noProof/>
        </w:rPr>
        <w:t>45</w:t>
      </w:r>
      <w:r w:rsidR="00086C77">
        <w:fldChar w:fldCharType="end"/>
      </w:r>
      <w:r w:rsidR="00A63F07">
        <w:t>)</w:t>
      </w:r>
      <w:r>
        <w:t>. The</w:t>
      </w:r>
      <w:r w:rsidR="00AB4597">
        <w:t xml:space="preserve"> </w:t>
      </w:r>
      <w:r>
        <w:t xml:space="preserve">crude difference was reduced to 30% when the follow-up was increased by 25 months, </w:t>
      </w:r>
      <w:r w:rsidR="00A63F07">
        <w:t>but</w:t>
      </w:r>
      <w:r w:rsidR="00AF5D38">
        <w:t xml:space="preserve"> the authors report</w:t>
      </w:r>
      <w:r>
        <w:t xml:space="preserve"> this difference</w:t>
      </w:r>
      <w:r w:rsidR="00A63F07">
        <w:t xml:space="preserve"> </w:t>
      </w:r>
      <w:r>
        <w:t>remained statistically significant in the</w:t>
      </w:r>
      <w:r w:rsidR="00A63F07">
        <w:t xml:space="preserve"> </w:t>
      </w:r>
      <w:r>
        <w:t>regression model.</w:t>
      </w:r>
    </w:p>
    <w:p w:rsidR="00482F2A" w:rsidRDefault="00482F2A" w:rsidP="00114D62">
      <w:pPr>
        <w:sectPr w:rsidR="00482F2A" w:rsidSect="008846BA">
          <w:pgSz w:w="11907" w:h="16839" w:code="9"/>
          <w:pgMar w:top="1701" w:right="1418" w:bottom="1418" w:left="1701" w:header="720" w:footer="720" w:gutter="0"/>
          <w:paperSrc w:first="4035" w:other="4035"/>
          <w:cols w:space="720"/>
          <w:noEndnote/>
          <w:docGrid w:linePitch="299"/>
        </w:sectPr>
      </w:pPr>
    </w:p>
    <w:p w:rsidR="00BB791E" w:rsidRPr="00287273" w:rsidRDefault="00BB791E" w:rsidP="00BB791E">
      <w:pPr>
        <w:pStyle w:val="Caption"/>
      </w:pPr>
      <w:bookmarkStart w:id="369" w:name="_Ref332195156"/>
      <w:bookmarkStart w:id="370" w:name="_Toc331766476"/>
      <w:bookmarkStart w:id="371" w:name="_Toc335666010"/>
      <w:bookmarkStart w:id="372" w:name="_Toc337546981"/>
      <w:r>
        <w:lastRenderedPageBreak/>
        <w:t xml:space="preserve">Table </w:t>
      </w:r>
      <w:fldSimple w:instr=" SEQ Table \* ARABIC ">
        <w:r w:rsidR="003361A8">
          <w:rPr>
            <w:noProof/>
          </w:rPr>
          <w:t>44</w:t>
        </w:r>
      </w:fldSimple>
      <w:bookmarkEnd w:id="369"/>
      <w:r>
        <w:tab/>
        <w:t>Correlation between cy</w:t>
      </w:r>
      <w:r w:rsidR="001F62C3">
        <w:t>t</w:t>
      </w:r>
      <w:r w:rsidR="007E7C62">
        <w:t>ological and histological data—</w:t>
      </w:r>
      <w:r w:rsidR="001F62C3">
        <w:t>CC</w:t>
      </w:r>
      <w:r>
        <w:t xml:space="preserve"> versus </w:t>
      </w:r>
      <w:r w:rsidR="001F62C3">
        <w:t>cell filtration LBC</w:t>
      </w:r>
      <w:r w:rsidRPr="006E39A0">
        <w:rPr>
          <w:vertAlign w:val="superscript"/>
        </w:rPr>
        <w:t>a</w:t>
      </w:r>
      <w:r w:rsidR="001F62C3">
        <w:t xml:space="preserve">: Strander </w:t>
      </w:r>
      <w:r>
        <w:t>2007</w:t>
      </w:r>
      <w:bookmarkEnd w:id="370"/>
      <w:bookmarkEnd w:id="371"/>
      <w:bookmarkEnd w:id="37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4"/>
        <w:gridCol w:w="1413"/>
        <w:gridCol w:w="1569"/>
        <w:gridCol w:w="1413"/>
        <w:gridCol w:w="1572"/>
        <w:gridCol w:w="1257"/>
        <w:gridCol w:w="1257"/>
        <w:gridCol w:w="1569"/>
        <w:gridCol w:w="1257"/>
        <w:gridCol w:w="1095"/>
      </w:tblGrid>
      <w:tr w:rsidR="00BB791E" w:rsidRPr="001F62C3" w:rsidTr="001F62C3">
        <w:tc>
          <w:tcPr>
            <w:tcW w:w="550" w:type="pct"/>
            <w:vMerge w:val="restart"/>
            <w:tcBorders>
              <w:right w:val="single" w:sz="4" w:space="0" w:color="auto"/>
            </w:tcBorders>
          </w:tcPr>
          <w:p w:rsidR="00BB791E" w:rsidRPr="001F62C3" w:rsidRDefault="00BB791E" w:rsidP="00172CF5">
            <w:pPr>
              <w:pStyle w:val="Tabletext"/>
              <w:rPr>
                <w:b/>
              </w:rPr>
            </w:pPr>
          </w:p>
        </w:tc>
        <w:tc>
          <w:tcPr>
            <w:tcW w:w="2141" w:type="pct"/>
            <w:gridSpan w:val="4"/>
            <w:tcBorders>
              <w:top w:val="single" w:sz="4" w:space="0" w:color="auto"/>
              <w:left w:val="single" w:sz="4" w:space="0" w:color="auto"/>
            </w:tcBorders>
          </w:tcPr>
          <w:p w:rsidR="00BB791E" w:rsidRPr="001F62C3" w:rsidRDefault="00BB791E" w:rsidP="001F62C3">
            <w:pPr>
              <w:pStyle w:val="Tabletext"/>
              <w:jc w:val="center"/>
              <w:rPr>
                <w:b/>
              </w:rPr>
            </w:pPr>
            <w:r w:rsidRPr="001F62C3">
              <w:rPr>
                <w:b/>
              </w:rPr>
              <w:t>Conventional N=8810</w:t>
            </w:r>
          </w:p>
        </w:tc>
        <w:tc>
          <w:tcPr>
            <w:tcW w:w="1915" w:type="pct"/>
            <w:gridSpan w:val="4"/>
            <w:tcBorders>
              <w:left w:val="single" w:sz="4" w:space="0" w:color="auto"/>
            </w:tcBorders>
          </w:tcPr>
          <w:p w:rsidR="00BB791E" w:rsidRPr="001F62C3" w:rsidRDefault="003C0082" w:rsidP="001F62C3">
            <w:pPr>
              <w:pStyle w:val="Tabletext"/>
              <w:jc w:val="center"/>
              <w:rPr>
                <w:b/>
              </w:rPr>
            </w:pPr>
            <w:r w:rsidRPr="001F62C3">
              <w:rPr>
                <w:b/>
              </w:rPr>
              <w:t>LBC</w:t>
            </w:r>
            <w:r w:rsidR="00BB791E" w:rsidRPr="001F62C3">
              <w:rPr>
                <w:b/>
              </w:rPr>
              <w:t xml:space="preserve"> N=4674</w:t>
            </w:r>
          </w:p>
        </w:tc>
        <w:tc>
          <w:tcPr>
            <w:tcW w:w="394" w:type="pct"/>
          </w:tcPr>
          <w:p w:rsidR="00BB791E" w:rsidRPr="001F62C3" w:rsidRDefault="001F62C3" w:rsidP="00172CF5">
            <w:pPr>
              <w:pStyle w:val="Tabletext"/>
              <w:rPr>
                <w:b/>
              </w:rPr>
            </w:pPr>
            <w:r w:rsidRPr="001F62C3">
              <w:rPr>
                <w:b/>
              </w:rPr>
              <w:t xml:space="preserve">P </w:t>
            </w:r>
            <w:r w:rsidR="00BB791E" w:rsidRPr="001F62C3">
              <w:rPr>
                <w:b/>
              </w:rPr>
              <w:t>value</w:t>
            </w:r>
          </w:p>
        </w:tc>
      </w:tr>
      <w:tr w:rsidR="00BB791E" w:rsidRPr="001F62C3" w:rsidTr="001F62C3">
        <w:tc>
          <w:tcPr>
            <w:tcW w:w="550" w:type="pct"/>
            <w:vMerge/>
            <w:tcBorders>
              <w:right w:val="single" w:sz="4" w:space="0" w:color="auto"/>
            </w:tcBorders>
          </w:tcPr>
          <w:p w:rsidR="00BB791E" w:rsidRPr="001F62C3" w:rsidRDefault="00BB791E" w:rsidP="00172CF5">
            <w:pPr>
              <w:pStyle w:val="Tabletext"/>
              <w:rPr>
                <w:b/>
              </w:rPr>
            </w:pPr>
          </w:p>
        </w:tc>
        <w:tc>
          <w:tcPr>
            <w:tcW w:w="507" w:type="pct"/>
            <w:vMerge w:val="restart"/>
            <w:tcBorders>
              <w:left w:val="single" w:sz="4" w:space="0" w:color="auto"/>
            </w:tcBorders>
          </w:tcPr>
          <w:p w:rsidR="00BB791E" w:rsidRPr="001F62C3" w:rsidRDefault="001F62C3" w:rsidP="00172CF5">
            <w:pPr>
              <w:pStyle w:val="Tabletext"/>
              <w:rPr>
                <w:b/>
              </w:rPr>
            </w:pPr>
            <w:r w:rsidRPr="001F62C3">
              <w:rPr>
                <w:b/>
              </w:rPr>
              <w:t>No h</w:t>
            </w:r>
            <w:r w:rsidR="00BB791E" w:rsidRPr="001F62C3">
              <w:rPr>
                <w:b/>
              </w:rPr>
              <w:t xml:space="preserve">istology </w:t>
            </w:r>
            <w:proofErr w:type="gramStart"/>
            <w:r w:rsidR="00BB791E" w:rsidRPr="001F62C3">
              <w:rPr>
                <w:b/>
              </w:rPr>
              <w:t>n(</w:t>
            </w:r>
            <w:proofErr w:type="gramEnd"/>
            <w:r w:rsidR="00BB791E" w:rsidRPr="001F62C3">
              <w:rPr>
                <w:b/>
              </w:rPr>
              <w:t>%)</w:t>
            </w:r>
          </w:p>
        </w:tc>
        <w:tc>
          <w:tcPr>
            <w:tcW w:w="1634" w:type="pct"/>
            <w:gridSpan w:val="3"/>
          </w:tcPr>
          <w:p w:rsidR="00BB791E" w:rsidRPr="001F62C3" w:rsidRDefault="00BB791E" w:rsidP="00172CF5">
            <w:pPr>
              <w:pStyle w:val="Tabletext"/>
              <w:jc w:val="center"/>
              <w:rPr>
                <w:b/>
              </w:rPr>
            </w:pPr>
            <w:r w:rsidRPr="001F62C3">
              <w:rPr>
                <w:b/>
              </w:rPr>
              <w:t>Histology</w:t>
            </w:r>
          </w:p>
        </w:tc>
        <w:tc>
          <w:tcPr>
            <w:tcW w:w="451" w:type="pct"/>
            <w:vMerge w:val="restart"/>
            <w:tcBorders>
              <w:left w:val="single" w:sz="4" w:space="0" w:color="auto"/>
            </w:tcBorders>
          </w:tcPr>
          <w:p w:rsidR="00BB791E" w:rsidRPr="001F62C3" w:rsidRDefault="008363B8" w:rsidP="00172CF5">
            <w:pPr>
              <w:pStyle w:val="Tabletext"/>
              <w:rPr>
                <w:b/>
              </w:rPr>
            </w:pPr>
            <w:r>
              <w:rPr>
                <w:b/>
              </w:rPr>
              <w:t>No h</w:t>
            </w:r>
            <w:r w:rsidR="00BB791E" w:rsidRPr="001F62C3">
              <w:rPr>
                <w:b/>
              </w:rPr>
              <w:t xml:space="preserve">istology </w:t>
            </w:r>
            <w:proofErr w:type="gramStart"/>
            <w:r w:rsidR="00BB791E" w:rsidRPr="001F62C3">
              <w:rPr>
                <w:b/>
              </w:rPr>
              <w:t>n(</w:t>
            </w:r>
            <w:proofErr w:type="gramEnd"/>
            <w:r w:rsidR="00BB791E" w:rsidRPr="001F62C3">
              <w:rPr>
                <w:b/>
              </w:rPr>
              <w:t>%)</w:t>
            </w:r>
          </w:p>
        </w:tc>
        <w:tc>
          <w:tcPr>
            <w:tcW w:w="1464" w:type="pct"/>
            <w:gridSpan w:val="3"/>
          </w:tcPr>
          <w:p w:rsidR="00BB791E" w:rsidRPr="001F62C3" w:rsidRDefault="00BB791E" w:rsidP="00172CF5">
            <w:pPr>
              <w:pStyle w:val="Tabletext"/>
              <w:jc w:val="center"/>
              <w:rPr>
                <w:b/>
              </w:rPr>
            </w:pPr>
            <w:r w:rsidRPr="001F62C3">
              <w:rPr>
                <w:b/>
              </w:rPr>
              <w:t>Histology</w:t>
            </w:r>
          </w:p>
        </w:tc>
        <w:tc>
          <w:tcPr>
            <w:tcW w:w="394" w:type="pct"/>
          </w:tcPr>
          <w:p w:rsidR="00BB791E" w:rsidRPr="001F62C3" w:rsidRDefault="00BB791E" w:rsidP="00172CF5">
            <w:pPr>
              <w:pStyle w:val="Tabletext"/>
              <w:rPr>
                <w:b/>
              </w:rPr>
            </w:pPr>
          </w:p>
        </w:tc>
      </w:tr>
      <w:tr w:rsidR="00BB791E" w:rsidRPr="001F62C3" w:rsidTr="001F62C3">
        <w:tc>
          <w:tcPr>
            <w:tcW w:w="550" w:type="pct"/>
            <w:vMerge/>
            <w:tcBorders>
              <w:right w:val="single" w:sz="4" w:space="0" w:color="auto"/>
            </w:tcBorders>
          </w:tcPr>
          <w:p w:rsidR="00BB791E" w:rsidRPr="001F62C3" w:rsidRDefault="00BB791E" w:rsidP="00172CF5">
            <w:pPr>
              <w:pStyle w:val="Tabletext"/>
              <w:rPr>
                <w:b/>
              </w:rPr>
            </w:pPr>
          </w:p>
        </w:tc>
        <w:tc>
          <w:tcPr>
            <w:tcW w:w="507" w:type="pct"/>
            <w:vMerge/>
            <w:tcBorders>
              <w:left w:val="single" w:sz="4" w:space="0" w:color="auto"/>
            </w:tcBorders>
          </w:tcPr>
          <w:p w:rsidR="00BB791E" w:rsidRPr="001F62C3" w:rsidRDefault="00BB791E" w:rsidP="00172CF5">
            <w:pPr>
              <w:pStyle w:val="Tabletext"/>
              <w:rPr>
                <w:b/>
              </w:rPr>
            </w:pPr>
          </w:p>
        </w:tc>
        <w:tc>
          <w:tcPr>
            <w:tcW w:w="563" w:type="pct"/>
          </w:tcPr>
          <w:p w:rsidR="00BB791E" w:rsidRPr="001F62C3" w:rsidRDefault="00BB791E" w:rsidP="00172CF5">
            <w:pPr>
              <w:pStyle w:val="Tabletext"/>
              <w:rPr>
                <w:b/>
              </w:rPr>
            </w:pPr>
            <w:r w:rsidRPr="001F62C3">
              <w:rPr>
                <w:b/>
              </w:rPr>
              <w:t xml:space="preserve">Benign </w:t>
            </w:r>
            <w:proofErr w:type="gramStart"/>
            <w:r w:rsidRPr="001F62C3">
              <w:rPr>
                <w:b/>
              </w:rPr>
              <w:t>n(</w:t>
            </w:r>
            <w:proofErr w:type="gramEnd"/>
            <w:r w:rsidRPr="001F62C3">
              <w:rPr>
                <w:b/>
              </w:rPr>
              <w:t>%)</w:t>
            </w:r>
          </w:p>
        </w:tc>
        <w:tc>
          <w:tcPr>
            <w:tcW w:w="507" w:type="pct"/>
          </w:tcPr>
          <w:p w:rsidR="00BB791E" w:rsidRPr="001F62C3" w:rsidRDefault="00BB791E" w:rsidP="00172CF5">
            <w:pPr>
              <w:pStyle w:val="Tabletext"/>
              <w:rPr>
                <w:b/>
              </w:rPr>
            </w:pPr>
            <w:r w:rsidRPr="001F62C3">
              <w:rPr>
                <w:b/>
              </w:rPr>
              <w:t>Low grade</w:t>
            </w:r>
            <w:r w:rsidR="00FB50F7" w:rsidRPr="001F62C3">
              <w:rPr>
                <w:b/>
                <w:vertAlign w:val="superscript"/>
              </w:rPr>
              <w:t>b</w:t>
            </w:r>
            <w:r w:rsidRPr="001F62C3">
              <w:rPr>
                <w:b/>
              </w:rPr>
              <w:t xml:space="preserve">, </w:t>
            </w:r>
            <w:proofErr w:type="gramStart"/>
            <w:r w:rsidRPr="001F62C3">
              <w:rPr>
                <w:b/>
              </w:rPr>
              <w:t>n(</w:t>
            </w:r>
            <w:proofErr w:type="gramEnd"/>
            <w:r w:rsidRPr="001F62C3">
              <w:rPr>
                <w:b/>
              </w:rPr>
              <w:t>%)</w:t>
            </w:r>
          </w:p>
        </w:tc>
        <w:tc>
          <w:tcPr>
            <w:tcW w:w="564" w:type="pct"/>
          </w:tcPr>
          <w:p w:rsidR="00BB791E" w:rsidRPr="001F62C3" w:rsidRDefault="00BB791E" w:rsidP="00172CF5">
            <w:pPr>
              <w:pStyle w:val="Tabletext"/>
              <w:rPr>
                <w:b/>
              </w:rPr>
            </w:pPr>
            <w:r w:rsidRPr="001F62C3">
              <w:rPr>
                <w:b/>
              </w:rPr>
              <w:t>High grade</w:t>
            </w:r>
            <w:r w:rsidR="00FB50F7" w:rsidRPr="001F62C3">
              <w:rPr>
                <w:b/>
                <w:vertAlign w:val="superscript"/>
              </w:rPr>
              <w:t>b</w:t>
            </w:r>
            <w:r w:rsidRPr="001F62C3">
              <w:rPr>
                <w:b/>
              </w:rPr>
              <w:t xml:space="preserve">, </w:t>
            </w:r>
            <w:proofErr w:type="gramStart"/>
            <w:r w:rsidRPr="001F62C3">
              <w:rPr>
                <w:b/>
              </w:rPr>
              <w:t>n(</w:t>
            </w:r>
            <w:proofErr w:type="gramEnd"/>
            <w:r w:rsidRPr="001F62C3">
              <w:rPr>
                <w:b/>
              </w:rPr>
              <w:t>%)</w:t>
            </w:r>
          </w:p>
        </w:tc>
        <w:tc>
          <w:tcPr>
            <w:tcW w:w="451" w:type="pct"/>
            <w:vMerge/>
            <w:tcBorders>
              <w:left w:val="single" w:sz="4" w:space="0" w:color="auto"/>
            </w:tcBorders>
          </w:tcPr>
          <w:p w:rsidR="00BB791E" w:rsidRPr="001F62C3" w:rsidRDefault="00BB791E" w:rsidP="00172CF5">
            <w:pPr>
              <w:pStyle w:val="Tabletext"/>
              <w:rPr>
                <w:b/>
              </w:rPr>
            </w:pPr>
          </w:p>
        </w:tc>
        <w:tc>
          <w:tcPr>
            <w:tcW w:w="451" w:type="pct"/>
          </w:tcPr>
          <w:p w:rsidR="00BB791E" w:rsidRPr="001F62C3" w:rsidRDefault="00BB791E" w:rsidP="00172CF5">
            <w:pPr>
              <w:pStyle w:val="Tabletext"/>
              <w:rPr>
                <w:b/>
              </w:rPr>
            </w:pPr>
            <w:r w:rsidRPr="001F62C3">
              <w:rPr>
                <w:b/>
              </w:rPr>
              <w:t xml:space="preserve">Benign </w:t>
            </w:r>
            <w:proofErr w:type="gramStart"/>
            <w:r w:rsidRPr="001F62C3">
              <w:rPr>
                <w:b/>
              </w:rPr>
              <w:t>n(</w:t>
            </w:r>
            <w:proofErr w:type="gramEnd"/>
            <w:r w:rsidRPr="001F62C3">
              <w:rPr>
                <w:b/>
              </w:rPr>
              <w:t>%)</w:t>
            </w:r>
          </w:p>
        </w:tc>
        <w:tc>
          <w:tcPr>
            <w:tcW w:w="563" w:type="pct"/>
          </w:tcPr>
          <w:p w:rsidR="00BB791E" w:rsidRPr="001F62C3" w:rsidRDefault="00BB791E" w:rsidP="00172CF5">
            <w:pPr>
              <w:pStyle w:val="Tabletext"/>
              <w:rPr>
                <w:b/>
              </w:rPr>
            </w:pPr>
            <w:r w:rsidRPr="001F62C3">
              <w:rPr>
                <w:b/>
              </w:rPr>
              <w:t>Low grade</w:t>
            </w:r>
            <w:r w:rsidR="00FB50F7" w:rsidRPr="001F62C3">
              <w:rPr>
                <w:b/>
                <w:vertAlign w:val="superscript"/>
              </w:rPr>
              <w:t>b</w:t>
            </w:r>
            <w:r w:rsidRPr="001F62C3">
              <w:rPr>
                <w:b/>
              </w:rPr>
              <w:t xml:space="preserve">, </w:t>
            </w:r>
            <w:proofErr w:type="gramStart"/>
            <w:r w:rsidRPr="001F62C3">
              <w:rPr>
                <w:b/>
              </w:rPr>
              <w:t>n(</w:t>
            </w:r>
            <w:proofErr w:type="gramEnd"/>
            <w:r w:rsidRPr="001F62C3">
              <w:rPr>
                <w:b/>
              </w:rPr>
              <w:t>%)</w:t>
            </w:r>
          </w:p>
        </w:tc>
        <w:tc>
          <w:tcPr>
            <w:tcW w:w="451" w:type="pct"/>
          </w:tcPr>
          <w:p w:rsidR="00BB791E" w:rsidRPr="001F62C3" w:rsidRDefault="00BB791E" w:rsidP="00172CF5">
            <w:pPr>
              <w:pStyle w:val="Tabletext"/>
              <w:rPr>
                <w:b/>
              </w:rPr>
            </w:pPr>
            <w:r w:rsidRPr="001F62C3">
              <w:rPr>
                <w:b/>
              </w:rPr>
              <w:t>High grade</w:t>
            </w:r>
            <w:r w:rsidR="00FB50F7" w:rsidRPr="001F62C3">
              <w:rPr>
                <w:b/>
                <w:vertAlign w:val="superscript"/>
              </w:rPr>
              <w:t>b</w:t>
            </w:r>
            <w:r w:rsidRPr="001F62C3">
              <w:rPr>
                <w:b/>
              </w:rPr>
              <w:t xml:space="preserve">, </w:t>
            </w:r>
            <w:proofErr w:type="gramStart"/>
            <w:r w:rsidRPr="001F62C3">
              <w:rPr>
                <w:b/>
              </w:rPr>
              <w:t>n(</w:t>
            </w:r>
            <w:proofErr w:type="gramEnd"/>
            <w:r w:rsidRPr="001F62C3">
              <w:rPr>
                <w:b/>
              </w:rPr>
              <w:t>%)</w:t>
            </w:r>
          </w:p>
        </w:tc>
        <w:tc>
          <w:tcPr>
            <w:tcW w:w="394" w:type="pct"/>
          </w:tcPr>
          <w:p w:rsidR="00BB791E" w:rsidRPr="001F62C3" w:rsidRDefault="00BB791E" w:rsidP="00172CF5">
            <w:pPr>
              <w:pStyle w:val="Tabletext"/>
              <w:rPr>
                <w:b/>
              </w:rPr>
            </w:pPr>
          </w:p>
        </w:tc>
      </w:tr>
      <w:tr w:rsidR="00BB791E" w:rsidRPr="00767F7A" w:rsidTr="001F62C3">
        <w:tc>
          <w:tcPr>
            <w:tcW w:w="550" w:type="pct"/>
            <w:tcBorders>
              <w:right w:val="single" w:sz="4" w:space="0" w:color="auto"/>
            </w:tcBorders>
          </w:tcPr>
          <w:p w:rsidR="00BB791E" w:rsidRDefault="00BB791E" w:rsidP="00172CF5">
            <w:pPr>
              <w:pStyle w:val="Tabletext"/>
            </w:pPr>
            <w:r>
              <w:t>Benign</w:t>
            </w:r>
          </w:p>
        </w:tc>
        <w:tc>
          <w:tcPr>
            <w:tcW w:w="507" w:type="pct"/>
            <w:tcBorders>
              <w:left w:val="single" w:sz="4" w:space="0" w:color="auto"/>
            </w:tcBorders>
          </w:tcPr>
          <w:p w:rsidR="00BB791E" w:rsidRDefault="00BB791E" w:rsidP="00172CF5">
            <w:pPr>
              <w:pStyle w:val="Tabletext"/>
            </w:pPr>
            <w:r>
              <w:t>8297 (97.7)</w:t>
            </w:r>
          </w:p>
        </w:tc>
        <w:tc>
          <w:tcPr>
            <w:tcW w:w="563" w:type="pct"/>
          </w:tcPr>
          <w:p w:rsidR="00BB791E" w:rsidRDefault="00BB791E" w:rsidP="00172CF5">
            <w:pPr>
              <w:pStyle w:val="Tabletext"/>
            </w:pPr>
            <w:r>
              <w:t>194 (2.3)</w:t>
            </w:r>
          </w:p>
        </w:tc>
        <w:tc>
          <w:tcPr>
            <w:tcW w:w="507" w:type="pct"/>
          </w:tcPr>
          <w:p w:rsidR="00BB791E" w:rsidRDefault="00BB791E" w:rsidP="00172CF5">
            <w:pPr>
              <w:pStyle w:val="Tabletext"/>
            </w:pPr>
            <w:r>
              <w:t>4 (0)</w:t>
            </w:r>
          </w:p>
        </w:tc>
        <w:tc>
          <w:tcPr>
            <w:tcW w:w="564" w:type="pct"/>
          </w:tcPr>
          <w:p w:rsidR="00BB791E" w:rsidRDefault="00BB791E" w:rsidP="00172CF5">
            <w:pPr>
              <w:pStyle w:val="Tabletext"/>
            </w:pPr>
            <w:r>
              <w:t>1 (0)</w:t>
            </w:r>
          </w:p>
        </w:tc>
        <w:tc>
          <w:tcPr>
            <w:tcW w:w="451" w:type="pct"/>
            <w:tcBorders>
              <w:left w:val="single" w:sz="4" w:space="0" w:color="auto"/>
            </w:tcBorders>
          </w:tcPr>
          <w:p w:rsidR="00BB791E" w:rsidRDefault="00BB791E" w:rsidP="00172CF5">
            <w:pPr>
              <w:pStyle w:val="Tabletext"/>
            </w:pPr>
            <w:r>
              <w:t>4358 (97.5)</w:t>
            </w:r>
          </w:p>
        </w:tc>
        <w:tc>
          <w:tcPr>
            <w:tcW w:w="451" w:type="pct"/>
          </w:tcPr>
          <w:p w:rsidR="00BB791E" w:rsidRDefault="00BB791E" w:rsidP="00172CF5">
            <w:pPr>
              <w:pStyle w:val="Tabletext"/>
            </w:pPr>
            <w:r>
              <w:t>112 (2.5)</w:t>
            </w:r>
          </w:p>
        </w:tc>
        <w:tc>
          <w:tcPr>
            <w:tcW w:w="563" w:type="pct"/>
          </w:tcPr>
          <w:p w:rsidR="00BB791E" w:rsidRDefault="00BB791E" w:rsidP="00172CF5">
            <w:pPr>
              <w:pStyle w:val="Tabletext"/>
            </w:pPr>
            <w:r>
              <w:t>0 (0)</w:t>
            </w:r>
          </w:p>
        </w:tc>
        <w:tc>
          <w:tcPr>
            <w:tcW w:w="451" w:type="pct"/>
          </w:tcPr>
          <w:p w:rsidR="00BB791E" w:rsidRDefault="00BB791E" w:rsidP="00172CF5">
            <w:pPr>
              <w:pStyle w:val="Tabletext"/>
            </w:pPr>
            <w:r>
              <w:t>0 (0)</w:t>
            </w:r>
          </w:p>
        </w:tc>
        <w:tc>
          <w:tcPr>
            <w:tcW w:w="394" w:type="pct"/>
          </w:tcPr>
          <w:p w:rsidR="00BB791E" w:rsidRDefault="00BB791E" w:rsidP="00172CF5">
            <w:pPr>
              <w:pStyle w:val="Tabletext"/>
            </w:pPr>
            <w:r>
              <w:t>NR</w:t>
            </w:r>
          </w:p>
        </w:tc>
      </w:tr>
      <w:tr w:rsidR="00BB791E" w:rsidRPr="00767F7A" w:rsidTr="001F62C3">
        <w:tc>
          <w:tcPr>
            <w:tcW w:w="550" w:type="pct"/>
            <w:tcBorders>
              <w:right w:val="single" w:sz="4" w:space="0" w:color="auto"/>
            </w:tcBorders>
          </w:tcPr>
          <w:p w:rsidR="00BB791E" w:rsidRDefault="00BB791E" w:rsidP="00172CF5">
            <w:pPr>
              <w:pStyle w:val="Tabletext"/>
            </w:pPr>
            <w:r>
              <w:t>ASCUS</w:t>
            </w:r>
          </w:p>
        </w:tc>
        <w:tc>
          <w:tcPr>
            <w:tcW w:w="507" w:type="pct"/>
            <w:tcBorders>
              <w:left w:val="single" w:sz="4" w:space="0" w:color="auto"/>
            </w:tcBorders>
          </w:tcPr>
          <w:p w:rsidR="00BB791E" w:rsidRDefault="00BB791E" w:rsidP="00172CF5">
            <w:pPr>
              <w:pStyle w:val="Tabletext"/>
            </w:pPr>
            <w:r>
              <w:t>52 (43.3)</w:t>
            </w:r>
          </w:p>
        </w:tc>
        <w:tc>
          <w:tcPr>
            <w:tcW w:w="563" w:type="pct"/>
          </w:tcPr>
          <w:p w:rsidR="00BB791E" w:rsidRDefault="00BB791E" w:rsidP="00172CF5">
            <w:pPr>
              <w:pStyle w:val="Tabletext"/>
            </w:pPr>
            <w:r>
              <w:t>22 (18.3)</w:t>
            </w:r>
          </w:p>
        </w:tc>
        <w:tc>
          <w:tcPr>
            <w:tcW w:w="507" w:type="pct"/>
          </w:tcPr>
          <w:p w:rsidR="00BB791E" w:rsidRDefault="00BB791E" w:rsidP="00172CF5">
            <w:pPr>
              <w:pStyle w:val="Tabletext"/>
            </w:pPr>
            <w:r>
              <w:t>24 (20)</w:t>
            </w:r>
          </w:p>
        </w:tc>
        <w:tc>
          <w:tcPr>
            <w:tcW w:w="564" w:type="pct"/>
          </w:tcPr>
          <w:p w:rsidR="00BB791E" w:rsidRDefault="00BB791E" w:rsidP="00172CF5">
            <w:pPr>
              <w:pStyle w:val="Tabletext"/>
            </w:pPr>
            <w:r>
              <w:t>22 (18.3)</w:t>
            </w:r>
          </w:p>
        </w:tc>
        <w:tc>
          <w:tcPr>
            <w:tcW w:w="451" w:type="pct"/>
            <w:tcBorders>
              <w:left w:val="single" w:sz="4" w:space="0" w:color="auto"/>
            </w:tcBorders>
          </w:tcPr>
          <w:p w:rsidR="00BB791E" w:rsidRDefault="00BB791E" w:rsidP="00172CF5">
            <w:pPr>
              <w:pStyle w:val="Tabletext"/>
            </w:pPr>
            <w:r>
              <w:t>45 (57.7)</w:t>
            </w:r>
          </w:p>
        </w:tc>
        <w:tc>
          <w:tcPr>
            <w:tcW w:w="451" w:type="pct"/>
          </w:tcPr>
          <w:p w:rsidR="00BB791E" w:rsidRDefault="00BB791E" w:rsidP="00172CF5">
            <w:pPr>
              <w:pStyle w:val="Tabletext"/>
            </w:pPr>
            <w:r>
              <w:t>13 (16.7)</w:t>
            </w:r>
          </w:p>
        </w:tc>
        <w:tc>
          <w:tcPr>
            <w:tcW w:w="563" w:type="pct"/>
          </w:tcPr>
          <w:p w:rsidR="00BB791E" w:rsidRDefault="00BB791E" w:rsidP="00172CF5">
            <w:pPr>
              <w:pStyle w:val="Tabletext"/>
            </w:pPr>
            <w:r>
              <w:t>9 (11.5)</w:t>
            </w:r>
          </w:p>
        </w:tc>
        <w:tc>
          <w:tcPr>
            <w:tcW w:w="451" w:type="pct"/>
          </w:tcPr>
          <w:p w:rsidR="00BB791E" w:rsidRDefault="00BB791E" w:rsidP="00172CF5">
            <w:pPr>
              <w:pStyle w:val="Tabletext"/>
            </w:pPr>
            <w:r>
              <w:t>11 (14.1)</w:t>
            </w:r>
          </w:p>
        </w:tc>
        <w:tc>
          <w:tcPr>
            <w:tcW w:w="394" w:type="pct"/>
          </w:tcPr>
          <w:p w:rsidR="00BB791E" w:rsidRDefault="00BB791E" w:rsidP="00172CF5">
            <w:pPr>
              <w:pStyle w:val="Tabletext"/>
            </w:pPr>
            <w:r>
              <w:t>NR</w:t>
            </w:r>
          </w:p>
        </w:tc>
      </w:tr>
      <w:tr w:rsidR="00BB791E" w:rsidRPr="00767F7A" w:rsidTr="001F62C3">
        <w:tc>
          <w:tcPr>
            <w:tcW w:w="550" w:type="pct"/>
            <w:tcBorders>
              <w:right w:val="single" w:sz="4" w:space="0" w:color="auto"/>
            </w:tcBorders>
          </w:tcPr>
          <w:p w:rsidR="00BB791E" w:rsidRDefault="00BB791E" w:rsidP="00172CF5">
            <w:pPr>
              <w:pStyle w:val="Tabletext"/>
            </w:pPr>
            <w:r>
              <w:t>LSIL</w:t>
            </w:r>
          </w:p>
        </w:tc>
        <w:tc>
          <w:tcPr>
            <w:tcW w:w="507" w:type="pct"/>
            <w:tcBorders>
              <w:left w:val="single" w:sz="4" w:space="0" w:color="auto"/>
            </w:tcBorders>
          </w:tcPr>
          <w:p w:rsidR="00BB791E" w:rsidRDefault="00BB791E" w:rsidP="00172CF5">
            <w:pPr>
              <w:pStyle w:val="Tabletext"/>
            </w:pPr>
            <w:r>
              <w:t>43 (51.8)</w:t>
            </w:r>
          </w:p>
        </w:tc>
        <w:tc>
          <w:tcPr>
            <w:tcW w:w="563" w:type="pct"/>
          </w:tcPr>
          <w:p w:rsidR="00BB791E" w:rsidRDefault="00BB791E" w:rsidP="00172CF5">
            <w:pPr>
              <w:pStyle w:val="Tabletext"/>
            </w:pPr>
            <w:r>
              <w:t>8 (9.6)</w:t>
            </w:r>
          </w:p>
        </w:tc>
        <w:tc>
          <w:tcPr>
            <w:tcW w:w="507" w:type="pct"/>
          </w:tcPr>
          <w:p w:rsidR="00BB791E" w:rsidRDefault="00BB791E" w:rsidP="00172CF5">
            <w:pPr>
              <w:pStyle w:val="Tabletext"/>
            </w:pPr>
            <w:r>
              <w:t>23 (27.7)</w:t>
            </w:r>
          </w:p>
        </w:tc>
        <w:tc>
          <w:tcPr>
            <w:tcW w:w="564" w:type="pct"/>
          </w:tcPr>
          <w:p w:rsidR="00BB791E" w:rsidRDefault="00BB791E" w:rsidP="00172CF5">
            <w:pPr>
              <w:pStyle w:val="Tabletext"/>
            </w:pPr>
            <w:r>
              <w:t>9 (10.8)</w:t>
            </w:r>
          </w:p>
        </w:tc>
        <w:tc>
          <w:tcPr>
            <w:tcW w:w="451" w:type="pct"/>
            <w:tcBorders>
              <w:left w:val="single" w:sz="4" w:space="0" w:color="auto"/>
            </w:tcBorders>
          </w:tcPr>
          <w:p w:rsidR="00BB791E" w:rsidRDefault="00BB791E" w:rsidP="00172CF5">
            <w:pPr>
              <w:pStyle w:val="Tabletext"/>
            </w:pPr>
            <w:r>
              <w:t>36 (49.3)</w:t>
            </w:r>
          </w:p>
        </w:tc>
        <w:tc>
          <w:tcPr>
            <w:tcW w:w="451" w:type="pct"/>
          </w:tcPr>
          <w:p w:rsidR="00BB791E" w:rsidRDefault="00BB791E" w:rsidP="00172CF5">
            <w:pPr>
              <w:pStyle w:val="Tabletext"/>
            </w:pPr>
            <w:r>
              <w:t>9 (12.3)</w:t>
            </w:r>
          </w:p>
        </w:tc>
        <w:tc>
          <w:tcPr>
            <w:tcW w:w="563" w:type="pct"/>
          </w:tcPr>
          <w:p w:rsidR="00BB791E" w:rsidRDefault="00BB791E" w:rsidP="00172CF5">
            <w:pPr>
              <w:pStyle w:val="Tabletext"/>
            </w:pPr>
            <w:r>
              <w:t>13 (17.8)</w:t>
            </w:r>
          </w:p>
        </w:tc>
        <w:tc>
          <w:tcPr>
            <w:tcW w:w="451" w:type="pct"/>
          </w:tcPr>
          <w:p w:rsidR="00BB791E" w:rsidRDefault="00BB791E" w:rsidP="00172CF5">
            <w:pPr>
              <w:pStyle w:val="Tabletext"/>
            </w:pPr>
            <w:r>
              <w:t>15 (20.5)</w:t>
            </w:r>
          </w:p>
        </w:tc>
        <w:tc>
          <w:tcPr>
            <w:tcW w:w="394" w:type="pct"/>
          </w:tcPr>
          <w:p w:rsidR="00BB791E" w:rsidRDefault="00BB791E" w:rsidP="00172CF5">
            <w:pPr>
              <w:pStyle w:val="Tabletext"/>
            </w:pPr>
            <w:r>
              <w:t>NR</w:t>
            </w:r>
          </w:p>
        </w:tc>
      </w:tr>
      <w:tr w:rsidR="00BB791E" w:rsidRPr="00767F7A" w:rsidTr="001F62C3">
        <w:tc>
          <w:tcPr>
            <w:tcW w:w="550" w:type="pct"/>
            <w:tcBorders>
              <w:right w:val="single" w:sz="4" w:space="0" w:color="auto"/>
            </w:tcBorders>
          </w:tcPr>
          <w:p w:rsidR="00BB791E" w:rsidRDefault="00BB791E" w:rsidP="00172CF5">
            <w:pPr>
              <w:pStyle w:val="Tabletext"/>
            </w:pPr>
            <w:r>
              <w:t>HSIL</w:t>
            </w:r>
          </w:p>
        </w:tc>
        <w:tc>
          <w:tcPr>
            <w:tcW w:w="507" w:type="pct"/>
            <w:tcBorders>
              <w:left w:val="single" w:sz="4" w:space="0" w:color="auto"/>
            </w:tcBorders>
          </w:tcPr>
          <w:p w:rsidR="00BB791E" w:rsidRDefault="00BB791E" w:rsidP="00172CF5">
            <w:pPr>
              <w:pStyle w:val="Tabletext"/>
            </w:pPr>
            <w:r>
              <w:t>1 (2.2)</w:t>
            </w:r>
          </w:p>
        </w:tc>
        <w:tc>
          <w:tcPr>
            <w:tcW w:w="563" w:type="pct"/>
          </w:tcPr>
          <w:p w:rsidR="00BB791E" w:rsidRDefault="00BB791E" w:rsidP="00172CF5">
            <w:pPr>
              <w:pStyle w:val="Tabletext"/>
            </w:pPr>
            <w:r>
              <w:t>2 (4.4)</w:t>
            </w:r>
          </w:p>
        </w:tc>
        <w:tc>
          <w:tcPr>
            <w:tcW w:w="507" w:type="pct"/>
          </w:tcPr>
          <w:p w:rsidR="00BB791E" w:rsidRDefault="00BB791E" w:rsidP="00172CF5">
            <w:pPr>
              <w:pStyle w:val="Tabletext"/>
            </w:pPr>
            <w:r>
              <w:t>0 (0)</w:t>
            </w:r>
          </w:p>
        </w:tc>
        <w:tc>
          <w:tcPr>
            <w:tcW w:w="564" w:type="pct"/>
          </w:tcPr>
          <w:p w:rsidR="00BB791E" w:rsidRDefault="00BB791E" w:rsidP="00172CF5">
            <w:pPr>
              <w:pStyle w:val="Tabletext"/>
            </w:pPr>
            <w:r>
              <w:t>42 (93.3)</w:t>
            </w:r>
          </w:p>
        </w:tc>
        <w:tc>
          <w:tcPr>
            <w:tcW w:w="451" w:type="pct"/>
            <w:tcBorders>
              <w:left w:val="single" w:sz="4" w:space="0" w:color="auto"/>
            </w:tcBorders>
          </w:tcPr>
          <w:p w:rsidR="00BB791E" w:rsidRDefault="00BB791E" w:rsidP="00172CF5">
            <w:pPr>
              <w:pStyle w:val="Tabletext"/>
            </w:pPr>
            <w:r>
              <w:t>0 (0)</w:t>
            </w:r>
          </w:p>
        </w:tc>
        <w:tc>
          <w:tcPr>
            <w:tcW w:w="451" w:type="pct"/>
          </w:tcPr>
          <w:p w:rsidR="00BB791E" w:rsidRDefault="00BB791E" w:rsidP="00172CF5">
            <w:pPr>
              <w:pStyle w:val="Tabletext"/>
            </w:pPr>
            <w:r>
              <w:t>2 (5.7)</w:t>
            </w:r>
          </w:p>
        </w:tc>
        <w:tc>
          <w:tcPr>
            <w:tcW w:w="563" w:type="pct"/>
          </w:tcPr>
          <w:p w:rsidR="00BB791E" w:rsidRDefault="00BB791E" w:rsidP="00172CF5">
            <w:pPr>
              <w:pStyle w:val="Tabletext"/>
            </w:pPr>
            <w:r>
              <w:t>4 (11.4)</w:t>
            </w:r>
          </w:p>
        </w:tc>
        <w:tc>
          <w:tcPr>
            <w:tcW w:w="451" w:type="pct"/>
          </w:tcPr>
          <w:p w:rsidR="00BB791E" w:rsidRDefault="00BB791E" w:rsidP="00172CF5">
            <w:pPr>
              <w:pStyle w:val="Tabletext"/>
            </w:pPr>
            <w:r>
              <w:t>29 (82.9)</w:t>
            </w:r>
          </w:p>
        </w:tc>
        <w:tc>
          <w:tcPr>
            <w:tcW w:w="394" w:type="pct"/>
          </w:tcPr>
          <w:p w:rsidR="00BB791E" w:rsidRDefault="00BB791E" w:rsidP="00172CF5">
            <w:pPr>
              <w:pStyle w:val="Tabletext"/>
            </w:pPr>
            <w:r>
              <w:t>NR</w:t>
            </w:r>
          </w:p>
        </w:tc>
      </w:tr>
      <w:tr w:rsidR="00BB791E" w:rsidRPr="00767F7A" w:rsidTr="001F62C3">
        <w:tc>
          <w:tcPr>
            <w:tcW w:w="5000" w:type="pct"/>
            <w:gridSpan w:val="10"/>
          </w:tcPr>
          <w:p w:rsidR="00BB791E" w:rsidRDefault="00BB791E" w:rsidP="00172CF5">
            <w:pPr>
              <w:pStyle w:val="Tabletext"/>
            </w:pPr>
            <w:r>
              <w:t xml:space="preserve">Source: Strander </w:t>
            </w:r>
            <w:r w:rsidR="005E0D57">
              <w:t xml:space="preserve"> </w:t>
            </w:r>
            <w:r>
              <w:t xml:space="preserve"> 2007, Table 3</w:t>
            </w:r>
          </w:p>
        </w:tc>
      </w:tr>
    </w:tbl>
    <w:p w:rsidR="00BB791E" w:rsidRPr="00E315F4" w:rsidRDefault="00BB791E" w:rsidP="0025365D">
      <w:pPr>
        <w:pStyle w:val="Tabletext"/>
      </w:pPr>
      <w:r w:rsidRPr="00E315F4">
        <w:t>Abbreviations: ASCUS, atypical cells of undetermined significance or more severe; HSIL, high-grade squamous intraepithelial lesion; LSIL, low grade squamous intraepithelial lesion; NR, not reported</w:t>
      </w:r>
    </w:p>
    <w:p w:rsidR="00FB50F7" w:rsidRPr="00FB50F7" w:rsidRDefault="00BB791E" w:rsidP="00AB012A">
      <w:pPr>
        <w:pStyle w:val="Tabletext"/>
        <w:numPr>
          <w:ilvl w:val="0"/>
          <w:numId w:val="42"/>
        </w:numPr>
      </w:pPr>
      <w:r w:rsidRPr="00BB791E">
        <w:rPr>
          <w:sz w:val="16"/>
          <w:szCs w:val="22"/>
        </w:rPr>
        <w:t>A total of 80 inadequate smears and 4 smears (2 ThinPrep and 2 Pap smears) that correctly identified glandular lesions were excluded</w:t>
      </w:r>
    </w:p>
    <w:p w:rsidR="00BB791E" w:rsidRDefault="00FB50F7" w:rsidP="00AB012A">
      <w:pPr>
        <w:pStyle w:val="Tabletext"/>
        <w:numPr>
          <w:ilvl w:val="0"/>
          <w:numId w:val="42"/>
        </w:numPr>
        <w:sectPr w:rsidR="00BB791E" w:rsidSect="008846BA">
          <w:pgSz w:w="16839" w:h="11907" w:orient="landscape" w:code="9"/>
          <w:pgMar w:top="1701" w:right="1701" w:bottom="1418" w:left="1418" w:header="720" w:footer="720" w:gutter="0"/>
          <w:paperSrc w:first="4035" w:other="4035"/>
          <w:cols w:space="720"/>
          <w:noEndnote/>
          <w:docGrid w:linePitch="299"/>
        </w:sectPr>
      </w:pPr>
      <w:r w:rsidRPr="00FB50F7">
        <w:rPr>
          <w:sz w:val="16"/>
          <w:szCs w:val="22"/>
        </w:rPr>
        <w:t xml:space="preserve">It is presumed that </w:t>
      </w:r>
      <w:r w:rsidR="0025365D" w:rsidRPr="00FB50F7">
        <w:rPr>
          <w:sz w:val="16"/>
          <w:szCs w:val="22"/>
        </w:rPr>
        <w:t xml:space="preserve">low grade </w:t>
      </w:r>
      <w:r w:rsidRPr="00FB50F7">
        <w:rPr>
          <w:sz w:val="16"/>
          <w:szCs w:val="22"/>
        </w:rPr>
        <w:t xml:space="preserve">histopathological findings are equivalent to </w:t>
      </w:r>
      <w:r w:rsidR="0025365D" w:rsidRPr="00FB50F7">
        <w:rPr>
          <w:sz w:val="16"/>
          <w:szCs w:val="22"/>
        </w:rPr>
        <w:t xml:space="preserve">cervical  intraepithelial neoplasia </w:t>
      </w:r>
      <w:r w:rsidRPr="00FB50F7">
        <w:rPr>
          <w:sz w:val="16"/>
          <w:szCs w:val="22"/>
        </w:rPr>
        <w:t xml:space="preserve">1 given High grade findings are reported to be equivalent </w:t>
      </w:r>
      <w:r w:rsidR="0025365D" w:rsidRPr="00FB50F7">
        <w:rPr>
          <w:sz w:val="16"/>
          <w:szCs w:val="22"/>
        </w:rPr>
        <w:t>to cervical  intraepithelial neoplasia 2 or 3, adenocarcinoma in s</w:t>
      </w:r>
      <w:r w:rsidR="0025365D">
        <w:rPr>
          <w:sz w:val="16"/>
          <w:szCs w:val="22"/>
        </w:rPr>
        <w:t xml:space="preserve">itu, or cancer </w:t>
      </w:r>
      <w:r w:rsidR="001F62C3">
        <w:rPr>
          <w:sz w:val="16"/>
          <w:szCs w:val="22"/>
        </w:rPr>
        <w:t xml:space="preserve">(Strander </w:t>
      </w:r>
      <w:r w:rsidRPr="00FB50F7">
        <w:rPr>
          <w:sz w:val="16"/>
          <w:szCs w:val="22"/>
        </w:rPr>
        <w:t>2007 Table 4)</w:t>
      </w:r>
    </w:p>
    <w:p w:rsidR="00A63F07" w:rsidRDefault="00A63F07" w:rsidP="001F62C3">
      <w:pPr>
        <w:pStyle w:val="Caption"/>
        <w:ind w:left="1440" w:hanging="1440"/>
        <w:rPr>
          <w:rFonts w:ascii="Arial Narrow" w:hAnsi="Arial Narrow"/>
          <w:bCs w:val="0"/>
          <w:sz w:val="16"/>
          <w:szCs w:val="22"/>
        </w:rPr>
      </w:pPr>
      <w:bookmarkStart w:id="373" w:name="_Ref332194959"/>
      <w:bookmarkStart w:id="374" w:name="_Toc331766487"/>
      <w:bookmarkStart w:id="375" w:name="_Toc335666011"/>
      <w:bookmarkStart w:id="376" w:name="_Toc337546982"/>
      <w:r>
        <w:lastRenderedPageBreak/>
        <w:t xml:space="preserve">Table </w:t>
      </w:r>
      <w:fldSimple w:instr=" SEQ Table \* ARABIC ">
        <w:r w:rsidR="003361A8">
          <w:rPr>
            <w:noProof/>
          </w:rPr>
          <w:t>45</w:t>
        </w:r>
      </w:fldSimple>
      <w:bookmarkEnd w:id="373"/>
      <w:r>
        <w:tab/>
        <w:t xml:space="preserve">Detection rate of </w:t>
      </w:r>
      <w:r w:rsidR="00D66611">
        <w:t>HSIL</w:t>
      </w:r>
      <w:r>
        <w:t xml:space="preserve"> identified from </w:t>
      </w:r>
      <w:r w:rsidR="001F62C3">
        <w:t>cc</w:t>
      </w:r>
      <w:r>
        <w:t xml:space="preserve"> versus </w:t>
      </w:r>
      <w:r w:rsidR="001F62C3">
        <w:t xml:space="preserve">cell filtration LBC on two follow up occasions: Strander </w:t>
      </w:r>
      <w:r>
        <w:t>2007</w:t>
      </w:r>
      <w:bookmarkEnd w:id="374"/>
      <w:bookmarkEnd w:id="375"/>
      <w:bookmarkEnd w:id="37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0"/>
        <w:gridCol w:w="1408"/>
        <w:gridCol w:w="1106"/>
        <w:gridCol w:w="1784"/>
        <w:gridCol w:w="1727"/>
        <w:gridCol w:w="1006"/>
      </w:tblGrid>
      <w:tr w:rsidR="00A63F07" w:rsidRPr="001F62C3" w:rsidTr="001F62C3">
        <w:tc>
          <w:tcPr>
            <w:tcW w:w="1046" w:type="pct"/>
            <w:shd w:val="clear" w:color="auto" w:fill="auto"/>
          </w:tcPr>
          <w:p w:rsidR="00A63F07" w:rsidRPr="001F62C3" w:rsidRDefault="00A63F07" w:rsidP="00A63F07">
            <w:pPr>
              <w:pStyle w:val="Tabletext"/>
              <w:rPr>
                <w:b/>
              </w:rPr>
            </w:pPr>
          </w:p>
        </w:tc>
        <w:tc>
          <w:tcPr>
            <w:tcW w:w="792" w:type="pct"/>
            <w:shd w:val="clear" w:color="auto" w:fill="auto"/>
          </w:tcPr>
          <w:p w:rsidR="00A63F07" w:rsidRPr="001F62C3" w:rsidRDefault="00A63F07" w:rsidP="00F32F59">
            <w:pPr>
              <w:pStyle w:val="Tabletext"/>
              <w:rPr>
                <w:b/>
              </w:rPr>
            </w:pPr>
            <w:r w:rsidRPr="001F62C3">
              <w:rPr>
                <w:b/>
              </w:rPr>
              <w:t>Conventional N=8810</w:t>
            </w:r>
            <w:r w:rsidR="00F32F59" w:rsidRPr="001F62C3">
              <w:rPr>
                <w:b/>
              </w:rPr>
              <w:br/>
            </w:r>
            <w:r w:rsidRPr="001F62C3">
              <w:rPr>
                <w:b/>
              </w:rPr>
              <w:t>n (%)</w:t>
            </w:r>
          </w:p>
        </w:tc>
        <w:tc>
          <w:tcPr>
            <w:tcW w:w="622" w:type="pct"/>
            <w:shd w:val="clear" w:color="auto" w:fill="auto"/>
          </w:tcPr>
          <w:p w:rsidR="00A63F07" w:rsidRPr="001F62C3" w:rsidRDefault="003C0082" w:rsidP="00F32F59">
            <w:pPr>
              <w:pStyle w:val="Tabletext"/>
              <w:rPr>
                <w:b/>
              </w:rPr>
            </w:pPr>
            <w:r w:rsidRPr="001F62C3">
              <w:rPr>
                <w:b/>
              </w:rPr>
              <w:t>LBC</w:t>
            </w:r>
            <w:r w:rsidR="00A63F07" w:rsidRPr="001F62C3">
              <w:rPr>
                <w:b/>
              </w:rPr>
              <w:t xml:space="preserve"> N=4674</w:t>
            </w:r>
            <w:r w:rsidR="00F32F59" w:rsidRPr="001F62C3">
              <w:rPr>
                <w:b/>
              </w:rPr>
              <w:br/>
            </w:r>
            <w:r w:rsidR="00A63F07" w:rsidRPr="001F62C3">
              <w:rPr>
                <w:b/>
              </w:rPr>
              <w:t>n (%)</w:t>
            </w:r>
          </w:p>
        </w:tc>
        <w:tc>
          <w:tcPr>
            <w:tcW w:w="1003" w:type="pct"/>
          </w:tcPr>
          <w:p w:rsidR="00A63F07" w:rsidRPr="001F62C3" w:rsidRDefault="00A63F07" w:rsidP="00A63F07">
            <w:pPr>
              <w:pStyle w:val="Tabletext"/>
              <w:rPr>
                <w:b/>
              </w:rPr>
            </w:pPr>
            <w:r w:rsidRPr="001F62C3">
              <w:rPr>
                <w:b/>
              </w:rPr>
              <w:t>Odd</w:t>
            </w:r>
            <w:r w:rsidR="001F62C3">
              <w:rPr>
                <w:b/>
              </w:rPr>
              <w:t>s ratio a</w:t>
            </w:r>
            <w:r w:rsidRPr="001F62C3">
              <w:rPr>
                <w:b/>
              </w:rPr>
              <w:t>djusting for age (95%</w:t>
            </w:r>
            <w:r w:rsidR="001F62C3">
              <w:rPr>
                <w:b/>
              </w:rPr>
              <w:t xml:space="preserve"> </w:t>
            </w:r>
            <w:r w:rsidRPr="001F62C3">
              <w:rPr>
                <w:b/>
              </w:rPr>
              <w:t>CI)</w:t>
            </w:r>
          </w:p>
        </w:tc>
        <w:tc>
          <w:tcPr>
            <w:tcW w:w="971" w:type="pct"/>
          </w:tcPr>
          <w:p w:rsidR="00A63F07" w:rsidRPr="001F62C3" w:rsidRDefault="001F62C3" w:rsidP="00A63F07">
            <w:pPr>
              <w:pStyle w:val="Tabletext"/>
              <w:rPr>
                <w:b/>
              </w:rPr>
            </w:pPr>
            <w:r>
              <w:rPr>
                <w:b/>
              </w:rPr>
              <w:t>Odds ratio a</w:t>
            </w:r>
            <w:r w:rsidR="00A63F07" w:rsidRPr="001F62C3">
              <w:rPr>
                <w:b/>
              </w:rPr>
              <w:t>djusting for age and screening unit (95%</w:t>
            </w:r>
            <w:r>
              <w:rPr>
                <w:b/>
              </w:rPr>
              <w:t xml:space="preserve"> </w:t>
            </w:r>
            <w:r w:rsidR="00A63F07" w:rsidRPr="001F62C3">
              <w:rPr>
                <w:b/>
              </w:rPr>
              <w:t>CI)</w:t>
            </w:r>
          </w:p>
        </w:tc>
        <w:tc>
          <w:tcPr>
            <w:tcW w:w="567" w:type="pct"/>
          </w:tcPr>
          <w:p w:rsidR="00A63F07" w:rsidRPr="001F62C3" w:rsidRDefault="001F62C3" w:rsidP="00A63F07">
            <w:pPr>
              <w:pStyle w:val="Tabletext"/>
              <w:rPr>
                <w:b/>
              </w:rPr>
            </w:pPr>
            <w:r>
              <w:rPr>
                <w:b/>
              </w:rPr>
              <w:t>P v</w:t>
            </w:r>
            <w:r w:rsidR="00A63F07" w:rsidRPr="001F62C3">
              <w:rPr>
                <w:b/>
              </w:rPr>
              <w:t>alue</w:t>
            </w:r>
          </w:p>
        </w:tc>
      </w:tr>
      <w:tr w:rsidR="00A63F07" w:rsidRPr="007C20F3" w:rsidTr="001F62C3">
        <w:tc>
          <w:tcPr>
            <w:tcW w:w="1046" w:type="pct"/>
            <w:shd w:val="clear" w:color="auto" w:fill="auto"/>
          </w:tcPr>
          <w:p w:rsidR="00A63F07" w:rsidRPr="00AA3591" w:rsidRDefault="00A63F07" w:rsidP="00A63F07">
            <w:pPr>
              <w:pStyle w:val="Tabletext"/>
            </w:pPr>
            <w:r>
              <w:t>Follow up at mean 1.5 years</w:t>
            </w:r>
          </w:p>
        </w:tc>
        <w:tc>
          <w:tcPr>
            <w:tcW w:w="792" w:type="pct"/>
            <w:shd w:val="clear" w:color="auto" w:fill="auto"/>
          </w:tcPr>
          <w:p w:rsidR="00A63F07" w:rsidRPr="00AA3591" w:rsidRDefault="00A63F07" w:rsidP="00A63F07">
            <w:pPr>
              <w:pStyle w:val="Tabletext"/>
            </w:pPr>
            <w:r>
              <w:t>75 (0.85)</w:t>
            </w:r>
          </w:p>
        </w:tc>
        <w:tc>
          <w:tcPr>
            <w:tcW w:w="622" w:type="pct"/>
            <w:shd w:val="clear" w:color="auto" w:fill="auto"/>
          </w:tcPr>
          <w:p w:rsidR="00A63F07" w:rsidRPr="00AA3591" w:rsidRDefault="00A63F07" w:rsidP="00A63F07">
            <w:pPr>
              <w:pStyle w:val="Tabletext"/>
            </w:pPr>
            <w:r>
              <w:t>56 (1.20)</w:t>
            </w:r>
          </w:p>
        </w:tc>
        <w:tc>
          <w:tcPr>
            <w:tcW w:w="1003" w:type="pct"/>
          </w:tcPr>
          <w:p w:rsidR="00A63F07" w:rsidRPr="00AA3591" w:rsidRDefault="001F62C3" w:rsidP="00A63F07">
            <w:pPr>
              <w:pStyle w:val="Tabletext"/>
            </w:pPr>
            <w:r>
              <w:t>1.71 (1.20,</w:t>
            </w:r>
            <w:r w:rsidR="00A63F07">
              <w:t xml:space="preserve"> 2.43)</w:t>
            </w:r>
          </w:p>
        </w:tc>
        <w:tc>
          <w:tcPr>
            <w:tcW w:w="971" w:type="pct"/>
          </w:tcPr>
          <w:p w:rsidR="00A63F07" w:rsidRPr="00AA3591" w:rsidRDefault="001F62C3" w:rsidP="00A63F07">
            <w:pPr>
              <w:pStyle w:val="Tabletext"/>
            </w:pPr>
            <w:r>
              <w:t>1.60 (1.12,</w:t>
            </w:r>
            <w:r w:rsidR="00A63F07">
              <w:t xml:space="preserve"> 2.28)</w:t>
            </w:r>
          </w:p>
        </w:tc>
        <w:tc>
          <w:tcPr>
            <w:tcW w:w="567" w:type="pct"/>
          </w:tcPr>
          <w:p w:rsidR="00A63F07" w:rsidRPr="00AA3591" w:rsidRDefault="00A63F07" w:rsidP="00A63F07">
            <w:pPr>
              <w:pStyle w:val="Tabletext"/>
            </w:pPr>
            <w:r>
              <w:t>0.05</w:t>
            </w:r>
          </w:p>
        </w:tc>
      </w:tr>
      <w:tr w:rsidR="00A63F07" w:rsidRPr="007C20F3" w:rsidTr="001F62C3">
        <w:tc>
          <w:tcPr>
            <w:tcW w:w="1046" w:type="pct"/>
            <w:shd w:val="clear" w:color="auto" w:fill="auto"/>
          </w:tcPr>
          <w:p w:rsidR="00A63F07" w:rsidRPr="00AA3591" w:rsidRDefault="00A63F07" w:rsidP="00A63F07">
            <w:pPr>
              <w:pStyle w:val="Tabletext"/>
            </w:pPr>
            <w:r>
              <w:t>Follow up at a mean 3 years 7 months</w:t>
            </w:r>
          </w:p>
        </w:tc>
        <w:tc>
          <w:tcPr>
            <w:tcW w:w="792" w:type="pct"/>
            <w:shd w:val="clear" w:color="auto" w:fill="auto"/>
          </w:tcPr>
          <w:p w:rsidR="00A63F07" w:rsidRPr="00AA3591" w:rsidRDefault="00A63F07" w:rsidP="00A63F07">
            <w:pPr>
              <w:pStyle w:val="Tabletext"/>
            </w:pPr>
            <w:r>
              <w:t>122 (1.38)</w:t>
            </w:r>
          </w:p>
        </w:tc>
        <w:tc>
          <w:tcPr>
            <w:tcW w:w="622" w:type="pct"/>
            <w:shd w:val="clear" w:color="auto" w:fill="auto"/>
          </w:tcPr>
          <w:p w:rsidR="00A63F07" w:rsidRPr="00AA3591" w:rsidRDefault="00A63F07" w:rsidP="00A63F07">
            <w:pPr>
              <w:pStyle w:val="Tabletext"/>
            </w:pPr>
            <w:r>
              <w:t>84 (1.80)</w:t>
            </w:r>
          </w:p>
        </w:tc>
        <w:tc>
          <w:tcPr>
            <w:tcW w:w="1003" w:type="pct"/>
          </w:tcPr>
          <w:p w:rsidR="00A63F07" w:rsidRPr="00AA3591" w:rsidRDefault="00A63F07" w:rsidP="00A63F07">
            <w:pPr>
              <w:pStyle w:val="Tabletext"/>
            </w:pPr>
            <w:r>
              <w:t>1.62 (1</w:t>
            </w:r>
            <w:r w:rsidR="001F62C3">
              <w:t>.22,</w:t>
            </w:r>
            <w:r>
              <w:t xml:space="preserve"> 2.16)</w:t>
            </w:r>
          </w:p>
        </w:tc>
        <w:tc>
          <w:tcPr>
            <w:tcW w:w="971" w:type="pct"/>
          </w:tcPr>
          <w:p w:rsidR="00A63F07" w:rsidRPr="00AA3591" w:rsidRDefault="001F62C3" w:rsidP="00A63F07">
            <w:pPr>
              <w:pStyle w:val="Tabletext"/>
            </w:pPr>
            <w:r>
              <w:t>1.51 (1.13,</w:t>
            </w:r>
            <w:r w:rsidR="00A63F07">
              <w:t xml:space="preserve"> 2.01)</w:t>
            </w:r>
          </w:p>
        </w:tc>
        <w:tc>
          <w:tcPr>
            <w:tcW w:w="567" w:type="pct"/>
          </w:tcPr>
          <w:p w:rsidR="00A63F07" w:rsidRPr="00AA3591" w:rsidRDefault="00A63F07" w:rsidP="00A63F07">
            <w:pPr>
              <w:pStyle w:val="Tabletext"/>
            </w:pPr>
            <w:r>
              <w:t>0.06</w:t>
            </w:r>
          </w:p>
        </w:tc>
      </w:tr>
      <w:tr w:rsidR="00A63F07" w:rsidRPr="007C20F3" w:rsidTr="001F62C3">
        <w:tc>
          <w:tcPr>
            <w:tcW w:w="5000" w:type="pct"/>
            <w:gridSpan w:val="6"/>
            <w:shd w:val="clear" w:color="auto" w:fill="auto"/>
          </w:tcPr>
          <w:p w:rsidR="00A63F07" w:rsidRDefault="001F62C3" w:rsidP="00A63F07">
            <w:pPr>
              <w:pStyle w:val="Tabletext"/>
            </w:pPr>
            <w:r>
              <w:t xml:space="preserve">Source: Strander </w:t>
            </w:r>
            <w:r w:rsidR="00A63F07">
              <w:t>2007 Table 4 p. 289</w:t>
            </w:r>
          </w:p>
        </w:tc>
      </w:tr>
    </w:tbl>
    <w:p w:rsidR="00A63F07" w:rsidRPr="00E315F4" w:rsidRDefault="00A63F07" w:rsidP="00C64B49">
      <w:pPr>
        <w:pStyle w:val="Tabletext"/>
      </w:pPr>
      <w:r w:rsidRPr="00E315F4">
        <w:t xml:space="preserve">Abbreviations: LBC, </w:t>
      </w:r>
      <w:r w:rsidR="005E0D57">
        <w:t>liquid-based</w:t>
      </w:r>
      <w:r w:rsidRPr="00E315F4">
        <w:t xml:space="preserve"> cytology; </w:t>
      </w:r>
      <w:r w:rsidR="005E0D57">
        <w:t>95% CI</w:t>
      </w:r>
      <w:r w:rsidRPr="00E315F4">
        <w:t>, 95% confidence interval</w:t>
      </w:r>
    </w:p>
    <w:p w:rsidR="00A63F07" w:rsidRDefault="00A63F07" w:rsidP="00CE306E"/>
    <w:p w:rsidR="00AF5D38" w:rsidRDefault="001F62C3" w:rsidP="00CE306E">
      <w:r>
        <w:t>Maccallini 2008</w:t>
      </w:r>
      <w:r w:rsidR="008363B8">
        <w:t xml:space="preserve"> did</w:t>
      </w:r>
      <w:r w:rsidR="009D6CCE">
        <w:t xml:space="preserve"> not report the histological diagnosis for all cytologica</w:t>
      </w:r>
      <w:r>
        <w:t>l categories: only</w:t>
      </w:r>
      <w:r w:rsidR="009D6CCE">
        <w:t xml:space="preserve"> the proportion</w:t>
      </w:r>
      <w:r>
        <w:t>s</w:t>
      </w:r>
      <w:r w:rsidR="009D6CCE">
        <w:t xml:space="preserve"> of women in whom CIN</w:t>
      </w:r>
      <w:r>
        <w:t xml:space="preserve"> </w:t>
      </w:r>
      <w:r w:rsidR="009D6CCE">
        <w:t>2+ was</w:t>
      </w:r>
      <w:r w:rsidR="00355A8A" w:rsidRPr="00355A8A">
        <w:t xml:space="preserve"> </w:t>
      </w:r>
      <w:r w:rsidR="00355A8A">
        <w:t>histologically confirmed in s</w:t>
      </w:r>
      <w:r>
        <w:t>creen positive patients within one</w:t>
      </w:r>
      <w:r w:rsidR="00355A8A">
        <w:t xml:space="preserve"> year of colposcopy</w:t>
      </w:r>
      <w:r w:rsidR="009D6CCE">
        <w:t xml:space="preserve"> </w:t>
      </w:r>
      <w:r>
        <w:t xml:space="preserve">were reported </w:t>
      </w:r>
      <w:r w:rsidR="00355A8A">
        <w:t>(</w:t>
      </w:r>
      <w:r w:rsidR="00086C77">
        <w:fldChar w:fldCharType="begin"/>
      </w:r>
      <w:r w:rsidR="00355A8A">
        <w:instrText xml:space="preserve"> REF _Ref332795954 \h </w:instrText>
      </w:r>
      <w:r w:rsidR="00086C77">
        <w:fldChar w:fldCharType="separate"/>
      </w:r>
      <w:r w:rsidR="003361A8">
        <w:t xml:space="preserve">Table </w:t>
      </w:r>
      <w:r w:rsidR="003361A8">
        <w:rPr>
          <w:noProof/>
        </w:rPr>
        <w:t>46</w:t>
      </w:r>
      <w:r w:rsidR="00086C77">
        <w:fldChar w:fldCharType="end"/>
      </w:r>
      <w:r w:rsidR="00355A8A">
        <w:t xml:space="preserve">). </w:t>
      </w:r>
    </w:p>
    <w:p w:rsidR="00AE5A07" w:rsidRDefault="00AE5A07" w:rsidP="00CE306E">
      <w:r>
        <w:t xml:space="preserve">The </w:t>
      </w:r>
      <w:r w:rsidR="00355A8A">
        <w:t>CIN</w:t>
      </w:r>
      <w:r w:rsidR="001F62C3">
        <w:t xml:space="preserve"> </w:t>
      </w:r>
      <w:r w:rsidR="00355A8A">
        <w:t>2+</w:t>
      </w:r>
      <w:r>
        <w:t xml:space="preserve">detection rate was </w:t>
      </w:r>
      <w:r w:rsidR="001F62C3">
        <w:t>not statistically different in either arms (CC</w:t>
      </w:r>
      <w:r w:rsidR="002C0DD7">
        <w:t xml:space="preserve">=0.54%, </w:t>
      </w:r>
      <w:r w:rsidR="00AF5D38">
        <w:t xml:space="preserve">cell filtration </w:t>
      </w:r>
      <w:r w:rsidR="002C0DD7">
        <w:t>LBC=0.66%</w:t>
      </w:r>
      <w:r w:rsidR="001F62C3">
        <w:t>, P</w:t>
      </w:r>
      <w:r w:rsidR="00355A8A">
        <w:t>=0.45</w:t>
      </w:r>
      <w:r>
        <w:t>)</w:t>
      </w:r>
      <w:r w:rsidR="00355A8A">
        <w:t>, despite the higher referral for colposcopy in the conventional arm</w:t>
      </w:r>
      <w:r>
        <w:t>.</w:t>
      </w:r>
      <w:r w:rsidR="00355A8A">
        <w:t xml:space="preserve"> </w:t>
      </w:r>
      <w:r w:rsidR="001F62C3">
        <w:t xml:space="preserve">There is a discrepancy in the P </w:t>
      </w:r>
      <w:r w:rsidR="00355A8A">
        <w:t xml:space="preserve">value reported in the </w:t>
      </w:r>
      <w:r w:rsidR="002C0DD7">
        <w:t xml:space="preserve">body of the text </w:t>
      </w:r>
      <w:r w:rsidR="001F62C3">
        <w:t>(P</w:t>
      </w:r>
      <w:r w:rsidR="00355A8A">
        <w:t>=</w:t>
      </w:r>
      <w:r w:rsidR="002C0DD7">
        <w:t>0.28</w:t>
      </w:r>
      <w:r w:rsidR="00355A8A">
        <w:t xml:space="preserve">) compared with </w:t>
      </w:r>
      <w:r w:rsidR="002C0DD7">
        <w:t xml:space="preserve">Table IV </w:t>
      </w:r>
      <w:r w:rsidR="001F62C3">
        <w:t>(P</w:t>
      </w:r>
      <w:r w:rsidR="00355A8A">
        <w:t>=</w:t>
      </w:r>
      <w:r w:rsidR="002C0DD7">
        <w:t>0.45</w:t>
      </w:r>
      <w:r w:rsidR="00355A8A">
        <w:t>)</w:t>
      </w:r>
      <w:r w:rsidR="001F62C3">
        <w:t>. T</w:t>
      </w:r>
      <w:r w:rsidR="002C0DD7">
        <w:t>he reason for the difference is uncertain</w:t>
      </w:r>
      <w:r w:rsidR="001F62C3">
        <w:t>;</w:t>
      </w:r>
      <w:r w:rsidR="002C0DD7">
        <w:t xml:space="preserve"> nonetheless</w:t>
      </w:r>
      <w:r w:rsidR="001F62C3">
        <w:t>,</w:t>
      </w:r>
      <w:r w:rsidR="002C0DD7">
        <w:t xml:space="preserve"> both indicate </w:t>
      </w:r>
      <w:r w:rsidR="00AF5D38">
        <w:t>no significant difference</w:t>
      </w:r>
      <w:r w:rsidR="002C0DD7">
        <w:t xml:space="preserve">. </w:t>
      </w:r>
    </w:p>
    <w:p w:rsidR="00A4060E" w:rsidRDefault="00A4060E" w:rsidP="00A4060E">
      <w:pPr>
        <w:pStyle w:val="Caption"/>
        <w:rPr>
          <w:rFonts w:ascii="Arial Narrow" w:hAnsi="Arial Narrow"/>
          <w:bCs w:val="0"/>
          <w:sz w:val="16"/>
          <w:szCs w:val="22"/>
        </w:rPr>
      </w:pPr>
      <w:bookmarkStart w:id="377" w:name="_Ref332795954"/>
      <w:bookmarkStart w:id="378" w:name="_Toc331766477"/>
      <w:bookmarkStart w:id="379" w:name="_Toc335666012"/>
      <w:bookmarkStart w:id="380" w:name="_Toc337546983"/>
      <w:r>
        <w:t xml:space="preserve">Table </w:t>
      </w:r>
      <w:fldSimple w:instr=" SEQ Table \* ARABIC ">
        <w:r w:rsidR="003361A8">
          <w:rPr>
            <w:noProof/>
          </w:rPr>
          <w:t>46</w:t>
        </w:r>
      </w:fldSimple>
      <w:bookmarkEnd w:id="377"/>
      <w:r>
        <w:tab/>
        <w:t>CIN</w:t>
      </w:r>
      <w:r w:rsidR="008363B8">
        <w:t xml:space="preserve"> </w:t>
      </w:r>
      <w:r>
        <w:t xml:space="preserve">2+ detection rate: </w:t>
      </w:r>
      <w:r w:rsidR="001F62C3">
        <w:t>CC</w:t>
      </w:r>
      <w:r>
        <w:t xml:space="preserve"> versus </w:t>
      </w:r>
      <w:r w:rsidR="001F62C3">
        <w:t xml:space="preserve">cell filtration LBC: Maccallini </w:t>
      </w:r>
      <w:r>
        <w:t>2008</w:t>
      </w:r>
      <w:bookmarkEnd w:id="378"/>
      <w:bookmarkEnd w:id="379"/>
      <w:bookmarkEnd w:id="380"/>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6"/>
        <w:gridCol w:w="2573"/>
        <w:gridCol w:w="2118"/>
        <w:gridCol w:w="1664"/>
      </w:tblGrid>
      <w:tr w:rsidR="00A4060E" w:rsidRPr="001F62C3" w:rsidTr="001F62C3">
        <w:tc>
          <w:tcPr>
            <w:tcW w:w="1426" w:type="pct"/>
            <w:shd w:val="clear" w:color="auto" w:fill="auto"/>
          </w:tcPr>
          <w:p w:rsidR="00A4060E" w:rsidRPr="001F62C3" w:rsidRDefault="00A4060E" w:rsidP="00172CF5">
            <w:pPr>
              <w:pStyle w:val="Tabletext"/>
              <w:rPr>
                <w:b/>
              </w:rPr>
            </w:pPr>
          </w:p>
        </w:tc>
        <w:tc>
          <w:tcPr>
            <w:tcW w:w="1447" w:type="pct"/>
            <w:shd w:val="clear" w:color="auto" w:fill="auto"/>
          </w:tcPr>
          <w:p w:rsidR="00A4060E" w:rsidRPr="001F62C3" w:rsidRDefault="00A4060E" w:rsidP="001F62C3">
            <w:pPr>
              <w:pStyle w:val="Tabletext"/>
              <w:rPr>
                <w:b/>
              </w:rPr>
            </w:pPr>
            <w:r w:rsidRPr="001F62C3">
              <w:rPr>
                <w:b/>
              </w:rPr>
              <w:t>Conventional</w:t>
            </w:r>
            <w:r w:rsidR="001F62C3">
              <w:rPr>
                <w:b/>
              </w:rPr>
              <w:br/>
            </w:r>
            <w:r w:rsidRPr="001F62C3">
              <w:rPr>
                <w:b/>
              </w:rPr>
              <w:t>N</w:t>
            </w:r>
            <w:r w:rsidR="005E0D57">
              <w:rPr>
                <w:b/>
              </w:rPr>
              <w:t>=</w:t>
            </w:r>
            <w:r w:rsidRPr="001F62C3">
              <w:rPr>
                <w:b/>
              </w:rPr>
              <w:t>4299</w:t>
            </w:r>
            <w:r w:rsidR="00F32F59" w:rsidRPr="001F62C3">
              <w:rPr>
                <w:b/>
              </w:rPr>
              <w:t>, n</w:t>
            </w:r>
            <w:r w:rsidR="00F32F59" w:rsidRPr="001F62C3">
              <w:rPr>
                <w:b/>
                <w:vertAlign w:val="superscript"/>
              </w:rPr>
              <w:t>a</w:t>
            </w:r>
            <w:r w:rsidR="00F32F59" w:rsidRPr="001F62C3">
              <w:rPr>
                <w:b/>
              </w:rPr>
              <w:t xml:space="preserve"> (%)</w:t>
            </w:r>
          </w:p>
        </w:tc>
        <w:tc>
          <w:tcPr>
            <w:tcW w:w="1191" w:type="pct"/>
            <w:shd w:val="clear" w:color="auto" w:fill="auto"/>
          </w:tcPr>
          <w:p w:rsidR="00A4060E" w:rsidRPr="001F62C3" w:rsidRDefault="003C0082" w:rsidP="00172CF5">
            <w:pPr>
              <w:pStyle w:val="Tabletext"/>
              <w:rPr>
                <w:b/>
              </w:rPr>
            </w:pPr>
            <w:r w:rsidRPr="001F62C3">
              <w:rPr>
                <w:b/>
              </w:rPr>
              <w:t>LBC</w:t>
            </w:r>
            <w:r w:rsidR="005B52BB" w:rsidRPr="001F62C3">
              <w:rPr>
                <w:b/>
              </w:rPr>
              <w:t xml:space="preserve"> </w:t>
            </w:r>
            <w:r w:rsidR="001F62C3">
              <w:rPr>
                <w:b/>
              </w:rPr>
              <w:br/>
            </w:r>
            <w:r w:rsidR="00A4060E" w:rsidRPr="001F62C3">
              <w:rPr>
                <w:b/>
              </w:rPr>
              <w:t>N</w:t>
            </w:r>
            <w:r w:rsidR="005E0D57">
              <w:rPr>
                <w:b/>
              </w:rPr>
              <w:t>=</w:t>
            </w:r>
            <w:r w:rsidR="00A4060E" w:rsidRPr="001F62C3">
              <w:rPr>
                <w:b/>
              </w:rPr>
              <w:t>4355</w:t>
            </w:r>
            <w:r w:rsidR="00F32F59" w:rsidRPr="001F62C3">
              <w:rPr>
                <w:b/>
              </w:rPr>
              <w:t>, n</w:t>
            </w:r>
            <w:r w:rsidR="00F32F59" w:rsidRPr="001F62C3">
              <w:rPr>
                <w:b/>
                <w:vertAlign w:val="superscript"/>
              </w:rPr>
              <w:t>a</w:t>
            </w:r>
            <w:r w:rsidR="00F32F59" w:rsidRPr="001F62C3">
              <w:rPr>
                <w:b/>
              </w:rPr>
              <w:t xml:space="preserve"> (%)</w:t>
            </w:r>
          </w:p>
        </w:tc>
        <w:tc>
          <w:tcPr>
            <w:tcW w:w="936" w:type="pct"/>
            <w:shd w:val="clear" w:color="auto" w:fill="auto"/>
          </w:tcPr>
          <w:p w:rsidR="00A4060E" w:rsidRPr="001F62C3" w:rsidRDefault="001F62C3" w:rsidP="00172CF5">
            <w:pPr>
              <w:pStyle w:val="Tabletext"/>
              <w:rPr>
                <w:b/>
              </w:rPr>
            </w:pPr>
            <w:r>
              <w:rPr>
                <w:b/>
              </w:rPr>
              <w:t>P v</w:t>
            </w:r>
            <w:r w:rsidR="00A4060E" w:rsidRPr="001F62C3">
              <w:rPr>
                <w:b/>
              </w:rPr>
              <w:t>alue</w:t>
            </w:r>
          </w:p>
        </w:tc>
      </w:tr>
      <w:tr w:rsidR="00A4060E" w:rsidRPr="007C20F3" w:rsidTr="001F62C3">
        <w:tc>
          <w:tcPr>
            <w:tcW w:w="1426" w:type="pct"/>
            <w:shd w:val="clear" w:color="auto" w:fill="auto"/>
          </w:tcPr>
          <w:p w:rsidR="00A4060E" w:rsidRPr="00AA3591" w:rsidRDefault="001F62C3" w:rsidP="00F32F59">
            <w:pPr>
              <w:pStyle w:val="Tabletext"/>
            </w:pPr>
            <w:r>
              <w:t>Detection r</w:t>
            </w:r>
            <w:r w:rsidR="00A4060E">
              <w:t xml:space="preserve">ate </w:t>
            </w:r>
          </w:p>
        </w:tc>
        <w:tc>
          <w:tcPr>
            <w:tcW w:w="1447" w:type="pct"/>
            <w:shd w:val="clear" w:color="auto" w:fill="auto"/>
          </w:tcPr>
          <w:p w:rsidR="00A4060E" w:rsidRPr="00AA3591" w:rsidRDefault="00A4060E" w:rsidP="00172CF5">
            <w:pPr>
              <w:pStyle w:val="Tabletext"/>
            </w:pPr>
            <w:r>
              <w:t>23 (0.54)</w:t>
            </w:r>
          </w:p>
        </w:tc>
        <w:tc>
          <w:tcPr>
            <w:tcW w:w="1191" w:type="pct"/>
            <w:shd w:val="clear" w:color="auto" w:fill="auto"/>
          </w:tcPr>
          <w:p w:rsidR="00A4060E" w:rsidRPr="00AA3591" w:rsidRDefault="00A4060E" w:rsidP="00172CF5">
            <w:pPr>
              <w:pStyle w:val="Tabletext"/>
            </w:pPr>
            <w:r>
              <w:t>29 (0.66)</w:t>
            </w:r>
          </w:p>
        </w:tc>
        <w:tc>
          <w:tcPr>
            <w:tcW w:w="936" w:type="pct"/>
            <w:shd w:val="clear" w:color="auto" w:fill="auto"/>
          </w:tcPr>
          <w:p w:rsidR="00A4060E" w:rsidRPr="00AA3591" w:rsidRDefault="00A4060E" w:rsidP="00172CF5">
            <w:pPr>
              <w:pStyle w:val="Tabletext"/>
            </w:pPr>
            <w:r>
              <w:t>0.45</w:t>
            </w:r>
          </w:p>
        </w:tc>
      </w:tr>
      <w:tr w:rsidR="00A4060E" w:rsidRPr="007C20F3" w:rsidTr="001F62C3">
        <w:tc>
          <w:tcPr>
            <w:tcW w:w="5000" w:type="pct"/>
            <w:gridSpan w:val="4"/>
            <w:shd w:val="clear" w:color="auto" w:fill="auto"/>
          </w:tcPr>
          <w:p w:rsidR="00A4060E" w:rsidRPr="00AA3591" w:rsidRDefault="001F62C3" w:rsidP="00172CF5">
            <w:pPr>
              <w:pStyle w:val="Tabletext"/>
            </w:pPr>
            <w:r>
              <w:t xml:space="preserve">Source: Maccallini </w:t>
            </w:r>
            <w:r w:rsidR="00A4060E">
              <w:t>2008, Table 4 p.571</w:t>
            </w:r>
          </w:p>
        </w:tc>
      </w:tr>
    </w:tbl>
    <w:p w:rsidR="00A4060E" w:rsidRPr="00E315F4" w:rsidRDefault="00A4060E" w:rsidP="00AB012A">
      <w:pPr>
        <w:pStyle w:val="Tabletext"/>
        <w:numPr>
          <w:ilvl w:val="0"/>
          <w:numId w:val="25"/>
        </w:numPr>
      </w:pPr>
      <w:proofErr w:type="gramStart"/>
      <w:r w:rsidRPr="00E315F4">
        <w:t>n</w:t>
      </w:r>
      <w:proofErr w:type="gramEnd"/>
      <w:r w:rsidRPr="00E315F4">
        <w:t xml:space="preserve"> back calculated from percentage</w:t>
      </w:r>
      <w:r w:rsidR="001F62C3">
        <w:t xml:space="preserve">s presented in Maccallini </w:t>
      </w:r>
      <w:r w:rsidRPr="00E315F4">
        <w:t>2008, Table 4 p.571.</w:t>
      </w:r>
    </w:p>
    <w:p w:rsidR="00A4060E" w:rsidRDefault="00A4060E" w:rsidP="001F62C3"/>
    <w:p w:rsidR="00A42051" w:rsidRDefault="00AD4915" w:rsidP="00FD6571">
      <w:r>
        <w:t>F</w:t>
      </w:r>
      <w:r w:rsidR="001F62C3">
        <w:t xml:space="preserve">ollow-up of </w:t>
      </w:r>
      <w:r w:rsidR="00A42051">
        <w:t>cytologic HSIL cases</w:t>
      </w:r>
      <w:r>
        <w:t xml:space="preserve"> only</w:t>
      </w:r>
      <w:r w:rsidR="00A42051">
        <w:t xml:space="preserve"> were compared between </w:t>
      </w:r>
      <w:r>
        <w:t xml:space="preserve">cell filtration </w:t>
      </w:r>
      <w:r w:rsidR="00A42051">
        <w:t xml:space="preserve">LBC and </w:t>
      </w:r>
      <w:r w:rsidR="001F62C3">
        <w:t>CC</w:t>
      </w:r>
      <w:r>
        <w:t xml:space="preserve"> </w:t>
      </w:r>
      <w:r w:rsidR="001F62C3">
        <w:t>by Obwegeser 2001</w:t>
      </w:r>
      <w:r w:rsidR="00A42051">
        <w:t xml:space="preserve">. Of the 19 cytologic diagnoses of HSIL in the </w:t>
      </w:r>
      <w:r w:rsidR="001F62C3">
        <w:t>CC</w:t>
      </w:r>
      <w:r w:rsidR="00A42051">
        <w:t xml:space="preserve"> arm, 12 (63%) of patients ha</w:t>
      </w:r>
      <w:r w:rsidR="001F62C3">
        <w:t xml:space="preserve">d histology available within 12 to </w:t>
      </w:r>
      <w:r w:rsidR="00A42051">
        <w:t xml:space="preserve">15 months of follow up. A similar proportion of histology data was available for the </w:t>
      </w:r>
      <w:r>
        <w:t xml:space="preserve">cell filtration </w:t>
      </w:r>
      <w:r w:rsidR="00A42051">
        <w:t xml:space="preserve">LBC arm 11/16 (69%). Cytologic diagnoses of HSIL correlated with </w:t>
      </w:r>
      <w:r>
        <w:t xml:space="preserve">a </w:t>
      </w:r>
      <w:r w:rsidR="00A42051">
        <w:t>histologic</w:t>
      </w:r>
      <w:r>
        <w:t>al</w:t>
      </w:r>
      <w:r w:rsidR="00A42051">
        <w:t xml:space="preserve"> </w:t>
      </w:r>
      <w:r>
        <w:t>HSIL</w:t>
      </w:r>
      <w:r w:rsidR="00A42051">
        <w:t xml:space="preserve"> in 91 % of the </w:t>
      </w:r>
      <w:r>
        <w:t xml:space="preserve">cell filtration </w:t>
      </w:r>
      <w:r w:rsidR="00A42051">
        <w:t>LBC cases and 100% of the</w:t>
      </w:r>
      <w:r>
        <w:t xml:space="preserve"> </w:t>
      </w:r>
      <w:r w:rsidR="00124FA7">
        <w:t>CC</w:t>
      </w:r>
      <w:r w:rsidR="00A42051">
        <w:t xml:space="preserve"> </w:t>
      </w:r>
      <w:r>
        <w:t>cases</w:t>
      </w:r>
      <w:r w:rsidR="00A42051">
        <w:t>.</w:t>
      </w:r>
      <w:r w:rsidR="00FD6571">
        <w:t xml:space="preserve"> The results of this Swiss trial will not be discussed further due to the insufficient completeness of verification of test</w:t>
      </w:r>
      <w:r w:rsidR="00124FA7">
        <w:t>s positive</w:t>
      </w:r>
      <w:r w:rsidR="00FD6571">
        <w:t>: less than 70% for HSIL cases and no verification data for abnormalities of lower severity. It is noted that the trial was also excluded from the systematic review performe</w:t>
      </w:r>
      <w:r w:rsidR="00124FA7">
        <w:t>d by Arbyn 2008</w:t>
      </w:r>
      <w:r w:rsidR="00FD6571">
        <w:t xml:space="preserve"> for the same reasons. </w:t>
      </w:r>
    </w:p>
    <w:p w:rsidR="00A42051" w:rsidRDefault="00A42051" w:rsidP="00A42051">
      <w:pPr>
        <w:pStyle w:val="Caption"/>
      </w:pPr>
      <w:bookmarkStart w:id="381" w:name="_Ref330988205"/>
      <w:bookmarkStart w:id="382" w:name="_Toc331766475"/>
      <w:bookmarkStart w:id="383" w:name="_Toc335666013"/>
      <w:bookmarkStart w:id="384" w:name="_Toc337546984"/>
      <w:r>
        <w:lastRenderedPageBreak/>
        <w:t xml:space="preserve">Table </w:t>
      </w:r>
      <w:fldSimple w:instr=" SEQ Table \* ARABIC ">
        <w:r w:rsidR="003361A8">
          <w:rPr>
            <w:noProof/>
          </w:rPr>
          <w:t>47</w:t>
        </w:r>
      </w:fldSimple>
      <w:bookmarkEnd w:id="381"/>
      <w:r>
        <w:tab/>
        <w:t xml:space="preserve">Correlation between cytological and </w:t>
      </w:r>
      <w:r w:rsidR="007E7C62">
        <w:t>histological data of HSIL cases—</w:t>
      </w:r>
      <w:r w:rsidR="0073395D">
        <w:t>CC</w:t>
      </w:r>
      <w:r>
        <w:t xml:space="preserve"> versus </w:t>
      </w:r>
      <w:r w:rsidR="008363B8">
        <w:t>cell filtration LBC:</w:t>
      </w:r>
      <w:r w:rsidR="0073395D">
        <w:t xml:space="preserve"> Obwegeser </w:t>
      </w:r>
      <w:r>
        <w:t>2001</w:t>
      </w:r>
      <w:bookmarkEnd w:id="382"/>
      <w:bookmarkEnd w:id="383"/>
      <w:bookmarkEnd w:id="38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3"/>
        <w:gridCol w:w="3064"/>
        <w:gridCol w:w="2064"/>
      </w:tblGrid>
      <w:tr w:rsidR="00A42051" w:rsidRPr="0073395D" w:rsidTr="0073395D">
        <w:tc>
          <w:tcPr>
            <w:tcW w:w="2116" w:type="pct"/>
            <w:tcBorders>
              <w:right w:val="single" w:sz="4" w:space="0" w:color="auto"/>
            </w:tcBorders>
          </w:tcPr>
          <w:p w:rsidR="00A42051" w:rsidRPr="0073395D" w:rsidRDefault="00A42051" w:rsidP="00EC431A">
            <w:pPr>
              <w:pStyle w:val="Tabletext"/>
              <w:rPr>
                <w:b/>
              </w:rPr>
            </w:pPr>
          </w:p>
        </w:tc>
        <w:tc>
          <w:tcPr>
            <w:tcW w:w="1723" w:type="pct"/>
            <w:tcBorders>
              <w:top w:val="single" w:sz="4" w:space="0" w:color="auto"/>
              <w:left w:val="single" w:sz="4" w:space="0" w:color="auto"/>
            </w:tcBorders>
          </w:tcPr>
          <w:p w:rsidR="00A42051" w:rsidRPr="0073395D" w:rsidRDefault="00A42051" w:rsidP="00EC431A">
            <w:pPr>
              <w:pStyle w:val="Tabletext"/>
              <w:rPr>
                <w:b/>
              </w:rPr>
            </w:pPr>
            <w:r w:rsidRPr="0073395D">
              <w:rPr>
                <w:b/>
              </w:rPr>
              <w:t>Conventional</w:t>
            </w:r>
            <w:r w:rsidR="00F32F59" w:rsidRPr="0073395D">
              <w:rPr>
                <w:b/>
              </w:rPr>
              <w:t xml:space="preserve"> N=19</w:t>
            </w:r>
            <w:r w:rsidR="00F32F59" w:rsidRPr="0073395D">
              <w:rPr>
                <w:b/>
                <w:vertAlign w:val="superscript"/>
              </w:rPr>
              <w:t>a</w:t>
            </w:r>
            <w:r w:rsidR="00F32F59" w:rsidRPr="0073395D">
              <w:rPr>
                <w:b/>
              </w:rPr>
              <w:t xml:space="preserve">, </w:t>
            </w:r>
            <w:proofErr w:type="gramStart"/>
            <w:r w:rsidR="00F32F59" w:rsidRPr="0073395D">
              <w:rPr>
                <w:b/>
              </w:rPr>
              <w:t>n(</w:t>
            </w:r>
            <w:proofErr w:type="gramEnd"/>
            <w:r w:rsidR="00F32F59" w:rsidRPr="0073395D">
              <w:rPr>
                <w:b/>
              </w:rPr>
              <w:t>%)</w:t>
            </w:r>
          </w:p>
        </w:tc>
        <w:tc>
          <w:tcPr>
            <w:tcW w:w="1161" w:type="pct"/>
            <w:tcBorders>
              <w:top w:val="single" w:sz="4" w:space="0" w:color="auto"/>
            </w:tcBorders>
          </w:tcPr>
          <w:p w:rsidR="00A42051" w:rsidRPr="0073395D" w:rsidRDefault="003C0082" w:rsidP="00EC431A">
            <w:pPr>
              <w:pStyle w:val="Tabletext"/>
              <w:rPr>
                <w:b/>
              </w:rPr>
            </w:pPr>
            <w:r w:rsidRPr="0073395D">
              <w:rPr>
                <w:b/>
              </w:rPr>
              <w:t>LBC</w:t>
            </w:r>
            <w:r w:rsidR="00F32F59" w:rsidRPr="0073395D">
              <w:rPr>
                <w:b/>
              </w:rPr>
              <w:t xml:space="preserve"> N=16</w:t>
            </w:r>
            <w:r w:rsidR="00F32F59" w:rsidRPr="0073395D">
              <w:rPr>
                <w:b/>
                <w:vertAlign w:val="superscript"/>
              </w:rPr>
              <w:t xml:space="preserve"> a</w:t>
            </w:r>
            <w:proofErr w:type="gramStart"/>
            <w:r w:rsidR="00F32F59" w:rsidRPr="0073395D">
              <w:rPr>
                <w:b/>
              </w:rPr>
              <w:t>,n</w:t>
            </w:r>
            <w:proofErr w:type="gramEnd"/>
            <w:r w:rsidR="00F32F59" w:rsidRPr="0073395D">
              <w:rPr>
                <w:b/>
              </w:rPr>
              <w:t>(%)</w:t>
            </w:r>
          </w:p>
        </w:tc>
      </w:tr>
      <w:tr w:rsidR="00A42051" w:rsidRPr="00767F7A" w:rsidTr="0073395D">
        <w:tc>
          <w:tcPr>
            <w:tcW w:w="2116" w:type="pct"/>
            <w:tcBorders>
              <w:right w:val="single" w:sz="4" w:space="0" w:color="auto"/>
            </w:tcBorders>
          </w:tcPr>
          <w:p w:rsidR="00A42051" w:rsidRDefault="00A42051" w:rsidP="00EC431A">
            <w:pPr>
              <w:pStyle w:val="Tabletext"/>
            </w:pPr>
            <w:r>
              <w:t>Histology available for HSIL cases</w:t>
            </w:r>
          </w:p>
        </w:tc>
        <w:tc>
          <w:tcPr>
            <w:tcW w:w="1723" w:type="pct"/>
            <w:tcBorders>
              <w:left w:val="single" w:sz="4" w:space="0" w:color="auto"/>
            </w:tcBorders>
          </w:tcPr>
          <w:p w:rsidR="00A42051" w:rsidRDefault="00A42051" w:rsidP="00EC431A">
            <w:pPr>
              <w:pStyle w:val="Tabletext"/>
            </w:pPr>
            <w:r>
              <w:t>12/19</w:t>
            </w:r>
            <w:r w:rsidRPr="003C2C65">
              <w:rPr>
                <w:vertAlign w:val="superscript"/>
              </w:rPr>
              <w:t>a</w:t>
            </w:r>
            <w:r>
              <w:t xml:space="preserve"> (63)</w:t>
            </w:r>
          </w:p>
        </w:tc>
        <w:tc>
          <w:tcPr>
            <w:tcW w:w="1161" w:type="pct"/>
          </w:tcPr>
          <w:p w:rsidR="00A42051" w:rsidRDefault="00A42051" w:rsidP="00EC431A">
            <w:pPr>
              <w:pStyle w:val="Tabletext"/>
            </w:pPr>
            <w:r>
              <w:t>11/16</w:t>
            </w:r>
            <w:r w:rsidRPr="003C2C65">
              <w:rPr>
                <w:vertAlign w:val="superscript"/>
              </w:rPr>
              <w:t xml:space="preserve"> a</w:t>
            </w:r>
            <w:r>
              <w:t xml:space="preserve"> (69)</w:t>
            </w:r>
          </w:p>
        </w:tc>
      </w:tr>
      <w:tr w:rsidR="00A42051" w:rsidRPr="00767F7A" w:rsidTr="0073395D">
        <w:tc>
          <w:tcPr>
            <w:tcW w:w="5000" w:type="pct"/>
            <w:gridSpan w:val="3"/>
          </w:tcPr>
          <w:p w:rsidR="00A42051" w:rsidRDefault="00A42051" w:rsidP="00EC431A">
            <w:pPr>
              <w:pStyle w:val="Tabletext"/>
            </w:pPr>
            <w:r>
              <w:t>Correlati</w:t>
            </w:r>
            <w:r w:rsidR="0073395D">
              <w:t>on of HSIL cytology cases with h</w:t>
            </w:r>
            <w:r>
              <w:t>istology follow up</w:t>
            </w:r>
          </w:p>
        </w:tc>
      </w:tr>
      <w:tr w:rsidR="00A42051" w:rsidRPr="00767F7A" w:rsidTr="0073395D">
        <w:tc>
          <w:tcPr>
            <w:tcW w:w="2116" w:type="pct"/>
            <w:tcBorders>
              <w:right w:val="single" w:sz="4" w:space="0" w:color="auto"/>
            </w:tcBorders>
          </w:tcPr>
          <w:p w:rsidR="00A42051" w:rsidRDefault="00A42051" w:rsidP="0073395D">
            <w:pPr>
              <w:pStyle w:val="Tabletext"/>
              <w:ind w:left="720"/>
            </w:pPr>
            <w:r>
              <w:t>HSIL</w:t>
            </w:r>
          </w:p>
        </w:tc>
        <w:tc>
          <w:tcPr>
            <w:tcW w:w="1723" w:type="pct"/>
            <w:tcBorders>
              <w:left w:val="single" w:sz="4" w:space="0" w:color="auto"/>
            </w:tcBorders>
          </w:tcPr>
          <w:p w:rsidR="00A42051" w:rsidRDefault="00A42051" w:rsidP="00EC431A">
            <w:pPr>
              <w:pStyle w:val="Tabletext"/>
            </w:pPr>
            <w:r>
              <w:t>12/12</w:t>
            </w:r>
            <w:r w:rsidRPr="003C2C65">
              <w:rPr>
                <w:vertAlign w:val="superscript"/>
              </w:rPr>
              <w:t>b</w:t>
            </w:r>
            <w:r>
              <w:t xml:space="preserve"> (100)</w:t>
            </w:r>
          </w:p>
        </w:tc>
        <w:tc>
          <w:tcPr>
            <w:tcW w:w="1161" w:type="pct"/>
          </w:tcPr>
          <w:p w:rsidR="00A42051" w:rsidRDefault="00A42051" w:rsidP="00EC431A">
            <w:pPr>
              <w:pStyle w:val="Tabletext"/>
            </w:pPr>
            <w:r>
              <w:t>10/11</w:t>
            </w:r>
            <w:r w:rsidRPr="003C2C65">
              <w:rPr>
                <w:vertAlign w:val="superscript"/>
              </w:rPr>
              <w:t>b</w:t>
            </w:r>
            <w:r>
              <w:t xml:space="preserve"> (91)</w:t>
            </w:r>
          </w:p>
        </w:tc>
      </w:tr>
      <w:tr w:rsidR="00A42051" w:rsidRPr="00767F7A" w:rsidTr="0073395D">
        <w:tc>
          <w:tcPr>
            <w:tcW w:w="2116" w:type="pct"/>
            <w:tcBorders>
              <w:right w:val="single" w:sz="4" w:space="0" w:color="auto"/>
            </w:tcBorders>
          </w:tcPr>
          <w:p w:rsidR="00A42051" w:rsidRDefault="00A42051" w:rsidP="0073395D">
            <w:pPr>
              <w:pStyle w:val="Tabletext"/>
              <w:ind w:left="720"/>
            </w:pPr>
            <w:r>
              <w:t>LSIL</w:t>
            </w:r>
          </w:p>
        </w:tc>
        <w:tc>
          <w:tcPr>
            <w:tcW w:w="1723" w:type="pct"/>
            <w:tcBorders>
              <w:left w:val="single" w:sz="4" w:space="0" w:color="auto"/>
            </w:tcBorders>
          </w:tcPr>
          <w:p w:rsidR="00A42051" w:rsidRDefault="00A42051" w:rsidP="00EC431A">
            <w:pPr>
              <w:pStyle w:val="Tabletext"/>
            </w:pPr>
            <w:r>
              <w:t>0 (0)</w:t>
            </w:r>
          </w:p>
        </w:tc>
        <w:tc>
          <w:tcPr>
            <w:tcW w:w="1161" w:type="pct"/>
          </w:tcPr>
          <w:p w:rsidR="00A42051" w:rsidRDefault="00A42051" w:rsidP="00EC431A">
            <w:pPr>
              <w:pStyle w:val="Tabletext"/>
            </w:pPr>
            <w:r>
              <w:t>0/11</w:t>
            </w:r>
            <w:r w:rsidRPr="003C2C65">
              <w:rPr>
                <w:vertAlign w:val="superscript"/>
              </w:rPr>
              <w:t>b</w:t>
            </w:r>
            <w:r>
              <w:t xml:space="preserve"> (0)</w:t>
            </w:r>
          </w:p>
        </w:tc>
      </w:tr>
      <w:tr w:rsidR="00A42051" w:rsidRPr="00767F7A" w:rsidTr="0073395D">
        <w:tc>
          <w:tcPr>
            <w:tcW w:w="2116" w:type="pct"/>
            <w:tcBorders>
              <w:right w:val="single" w:sz="4" w:space="0" w:color="auto"/>
            </w:tcBorders>
          </w:tcPr>
          <w:p w:rsidR="00A42051" w:rsidRDefault="00A42051" w:rsidP="0073395D">
            <w:pPr>
              <w:pStyle w:val="Tabletext"/>
              <w:ind w:left="720"/>
            </w:pPr>
            <w:r>
              <w:t>No SIL</w:t>
            </w:r>
          </w:p>
        </w:tc>
        <w:tc>
          <w:tcPr>
            <w:tcW w:w="1723" w:type="pct"/>
            <w:tcBorders>
              <w:left w:val="single" w:sz="4" w:space="0" w:color="auto"/>
            </w:tcBorders>
          </w:tcPr>
          <w:p w:rsidR="00A42051" w:rsidRDefault="00A42051" w:rsidP="00EC431A">
            <w:pPr>
              <w:pStyle w:val="Tabletext"/>
            </w:pPr>
            <w:r>
              <w:t>0 (0)</w:t>
            </w:r>
          </w:p>
        </w:tc>
        <w:tc>
          <w:tcPr>
            <w:tcW w:w="1161" w:type="pct"/>
          </w:tcPr>
          <w:p w:rsidR="00A42051" w:rsidRDefault="00A42051" w:rsidP="00EC431A">
            <w:pPr>
              <w:pStyle w:val="Tabletext"/>
            </w:pPr>
            <w:r>
              <w:t>1/11</w:t>
            </w:r>
            <w:r w:rsidRPr="003C2C65">
              <w:rPr>
                <w:vertAlign w:val="superscript"/>
              </w:rPr>
              <w:t>b</w:t>
            </w:r>
            <w:r>
              <w:t xml:space="preserve"> (9)</w:t>
            </w:r>
          </w:p>
        </w:tc>
      </w:tr>
      <w:tr w:rsidR="00A42051" w:rsidRPr="00767F7A" w:rsidTr="0073395D">
        <w:tc>
          <w:tcPr>
            <w:tcW w:w="5000" w:type="pct"/>
            <w:gridSpan w:val="3"/>
          </w:tcPr>
          <w:p w:rsidR="00A42051" w:rsidRDefault="0073395D" w:rsidP="00EC431A">
            <w:pPr>
              <w:pStyle w:val="Tabletext"/>
            </w:pPr>
            <w:r>
              <w:t xml:space="preserve">Source: Obwegeser </w:t>
            </w:r>
            <w:r w:rsidR="008363B8">
              <w:t>2001, T</w:t>
            </w:r>
            <w:r w:rsidR="00A42051">
              <w:t>able 3</w:t>
            </w:r>
          </w:p>
        </w:tc>
      </w:tr>
    </w:tbl>
    <w:p w:rsidR="00A42051" w:rsidRPr="003C2C65" w:rsidRDefault="00A42051" w:rsidP="00683A5F">
      <w:pPr>
        <w:pStyle w:val="Tabletext"/>
      </w:pPr>
      <w:r w:rsidRPr="003C2C65">
        <w:t>Abbreviations: HSIL, high grade squamous intraepithelial lesion; LSIL, Low grade squamous intraepithelial lesion; SIL, squamous intraepithelial lesion</w:t>
      </w:r>
    </w:p>
    <w:p w:rsidR="00A42051" w:rsidRDefault="00A42051" w:rsidP="00AB012A">
      <w:pPr>
        <w:pStyle w:val="Tabletext"/>
        <w:numPr>
          <w:ilvl w:val="0"/>
          <w:numId w:val="24"/>
        </w:numPr>
      </w:pPr>
      <w:r w:rsidRPr="003C2C65">
        <w:t>n=number of cytology HSIL cases</w:t>
      </w:r>
    </w:p>
    <w:p w:rsidR="00A42051" w:rsidRPr="003C2C65" w:rsidRDefault="00A42051" w:rsidP="00AB012A">
      <w:pPr>
        <w:pStyle w:val="Tabletext"/>
        <w:numPr>
          <w:ilvl w:val="0"/>
          <w:numId w:val="24"/>
        </w:numPr>
      </w:pPr>
      <w:r w:rsidRPr="003C2C65">
        <w:t xml:space="preserve">n=number </w:t>
      </w:r>
      <w:r w:rsidR="0073395D">
        <w:t>of cytology HSIL cases whereby h</w:t>
      </w:r>
      <w:r w:rsidRPr="003C2C65">
        <w:t>istology results are available</w:t>
      </w:r>
    </w:p>
    <w:p w:rsidR="00A42051" w:rsidRDefault="00A42051" w:rsidP="00A42051"/>
    <w:p w:rsidR="002561B1" w:rsidRDefault="002561B1" w:rsidP="002561B1">
      <w:pPr>
        <w:pStyle w:val="Heading40"/>
      </w:pPr>
      <w:r>
        <w:t xml:space="preserve">Sensitivity and specificity </w:t>
      </w:r>
    </w:p>
    <w:p w:rsidR="00283237" w:rsidRDefault="0073395D" w:rsidP="00B41AC8">
      <w:r>
        <w:t>Sensitivity and/</w:t>
      </w:r>
      <w:r w:rsidR="002B62D4">
        <w:t xml:space="preserve">or </w:t>
      </w:r>
      <w:r w:rsidR="0025176C">
        <w:t>specificity</w:t>
      </w:r>
      <w:r>
        <w:t xml:space="preserve"> were reported or could</w:t>
      </w:r>
      <w:r w:rsidR="002B62D4">
        <w:t xml:space="preserve"> be calculated from four trials</w:t>
      </w:r>
      <w:r w:rsidR="0025176C">
        <w:t xml:space="preserve">. </w:t>
      </w:r>
      <w:r>
        <w:t>Beerman 2009 and Strander 2007</w:t>
      </w:r>
      <w:r w:rsidR="007D4279">
        <w:t xml:space="preserve"> </w:t>
      </w:r>
      <w:r>
        <w:t>checked for histological follow-</w:t>
      </w:r>
      <w:r w:rsidR="007D4279">
        <w:t>up of all patients</w:t>
      </w:r>
      <w:r>
        <w:t>, including n</w:t>
      </w:r>
      <w:r w:rsidR="0025176C">
        <w:t xml:space="preserve">ormal </w:t>
      </w:r>
      <w:r w:rsidR="00331981">
        <w:t>cytological outcomes</w:t>
      </w:r>
      <w:r w:rsidR="0025176C">
        <w:t xml:space="preserve">, </w:t>
      </w:r>
      <w:r w:rsidR="007D4279">
        <w:t>using national or regional database that captures the outcome of each cytological and/or histological investigation. Hence</w:t>
      </w:r>
      <w:r>
        <w:t>,</w:t>
      </w:r>
      <w:r w:rsidR="007D4279">
        <w:t xml:space="preserve"> the sensitivity and</w:t>
      </w:r>
      <w:r w:rsidR="00522911">
        <w:t xml:space="preserve"> specificity</w:t>
      </w:r>
      <w:r w:rsidR="007D4279">
        <w:t xml:space="preserve"> reported for these trials </w:t>
      </w:r>
      <w:r>
        <w:t>are comparable</w:t>
      </w:r>
      <w:r w:rsidR="007D4279">
        <w:t xml:space="preserve">. </w:t>
      </w:r>
    </w:p>
    <w:p w:rsidR="00A1094F" w:rsidRDefault="0073395D" w:rsidP="00B41AC8">
      <w:r>
        <w:t xml:space="preserve">In the NTCC </w:t>
      </w:r>
      <w:r w:rsidR="00D632BF">
        <w:t>and RHINE SAAR trial</w:t>
      </w:r>
      <w:r>
        <w:t>s</w:t>
      </w:r>
      <w:r w:rsidR="00D632BF">
        <w:t>, only women with c</w:t>
      </w:r>
      <w:r w:rsidR="00DD0F6A">
        <w:t xml:space="preserve">ytological </w:t>
      </w:r>
      <w:r w:rsidR="0025176C">
        <w:t>positive cases (or HPV positive in the NTCC trial)</w:t>
      </w:r>
      <w:r w:rsidR="00D632BF">
        <w:t xml:space="preserve"> were followed up via </w:t>
      </w:r>
      <w:r w:rsidR="00DD0F6A">
        <w:t>referr</w:t>
      </w:r>
      <w:r w:rsidR="00D632BF">
        <w:t>al</w:t>
      </w:r>
      <w:r w:rsidR="00DD0F6A">
        <w:t xml:space="preserve"> for colposcopy</w:t>
      </w:r>
      <w:r w:rsidR="00D632BF">
        <w:t xml:space="preserve"> </w:t>
      </w:r>
      <w:r w:rsidR="00DD0F6A">
        <w:t>with subsequent biopsy taken on a case by case basis. Therefore</w:t>
      </w:r>
      <w:r>
        <w:t>,</w:t>
      </w:r>
      <w:r w:rsidR="00DD0F6A">
        <w:t xml:space="preserve"> </w:t>
      </w:r>
      <w:r w:rsidR="00D632BF">
        <w:t xml:space="preserve">there was no means to understand the proportion of cytological negative/normal cases who were truly negative, or false negatives. The </w:t>
      </w:r>
      <w:r w:rsidR="00A1094F">
        <w:t xml:space="preserve">relative </w:t>
      </w:r>
      <w:r>
        <w:t>‘sensitivity’</w:t>
      </w:r>
      <w:r w:rsidR="00D632BF">
        <w:t xml:space="preserve"> reported </w:t>
      </w:r>
      <w:r>
        <w:t xml:space="preserve">by the NTCC trial (Ronco </w:t>
      </w:r>
      <w:r w:rsidR="00D632BF">
        <w:t>2007) and the RHINE SAAR trial (Ike</w:t>
      </w:r>
      <w:r>
        <w:t xml:space="preserve">nberg </w:t>
      </w:r>
      <w:r w:rsidR="008A042F">
        <w:t>2010 and 2011)</w:t>
      </w:r>
      <w:r w:rsidR="00A1094F">
        <w:t xml:space="preserve"> </w:t>
      </w:r>
      <w:r w:rsidR="00D632BF">
        <w:t>are</w:t>
      </w:r>
      <w:r w:rsidR="00A1094F">
        <w:t xml:space="preserve"> therefore</w:t>
      </w:r>
      <w:r w:rsidR="00D632BF">
        <w:t xml:space="preserve"> reported </w:t>
      </w:r>
      <w:r w:rsidR="00522911">
        <w:t xml:space="preserve">after the sensitivity and specificity </w:t>
      </w:r>
      <w:r w:rsidR="00D807E8">
        <w:t xml:space="preserve">from the </w:t>
      </w:r>
      <w:r w:rsidR="00A1094F">
        <w:t>a</w:t>
      </w:r>
      <w:r w:rsidR="00522911">
        <w:t>for</w:t>
      </w:r>
      <w:r w:rsidR="00A1094F">
        <w:t xml:space="preserve">ementioned trials. </w:t>
      </w:r>
    </w:p>
    <w:p w:rsidR="00B41AC8" w:rsidRDefault="00A1094F" w:rsidP="00B41AC8">
      <w:r>
        <w:t>Given the differences between the relative sensitivity reported in the NTCC trial and RHINE SAAR trial, and the sensitivity from the Str</w:t>
      </w:r>
      <w:r w:rsidR="0073395D">
        <w:t>ander 2007</w:t>
      </w:r>
      <w:r w:rsidR="00683A5F">
        <w:t xml:space="preserve"> </w:t>
      </w:r>
      <w:r w:rsidR="00331981">
        <w:t xml:space="preserve">trial the </w:t>
      </w:r>
      <w:r>
        <w:t>result</w:t>
      </w:r>
      <w:r w:rsidR="00331981">
        <w:t>s from these cell filtration LBC trial</w:t>
      </w:r>
      <w:r w:rsidR="0073395D">
        <w:t xml:space="preserve">s were not </w:t>
      </w:r>
      <w:r w:rsidR="00331981">
        <w:t>meta-analysed.</w:t>
      </w:r>
      <w:r w:rsidR="00D632BF">
        <w:t xml:space="preserve"> </w:t>
      </w:r>
    </w:p>
    <w:p w:rsidR="0090540A" w:rsidRPr="002561B1" w:rsidRDefault="0090540A" w:rsidP="0090540A">
      <w:pPr>
        <w:pStyle w:val="Heading50"/>
      </w:pPr>
      <w:r>
        <w:t xml:space="preserve">Cell enrichment LBC </w:t>
      </w:r>
      <w:r w:rsidR="003B6229">
        <w:t>vs.</w:t>
      </w:r>
      <w:r>
        <w:t xml:space="preserve"> </w:t>
      </w:r>
      <w:r w:rsidR="0073395D">
        <w:t>CC</w:t>
      </w:r>
    </w:p>
    <w:p w:rsidR="00470D2B" w:rsidRDefault="00F77239" w:rsidP="00F77239">
      <w:r>
        <w:t>In the Netherlands, the outcome of each cytological and/or histological investigation is submitted to the Dutch Network and National Database for Pathology (PALGA). As a result, all Dutch pathology and cytology departments are interconnected for 100% of cytology and histology specimen</w:t>
      </w:r>
      <w:r w:rsidR="0073395D">
        <w:t>s. This enabled Beerman 2009 to report a unique population-</w:t>
      </w:r>
      <w:r>
        <w:t xml:space="preserve">based study with nearly 100% correlation. The histological follow-up of all patients with a cytological classification of </w:t>
      </w:r>
      <w:r>
        <w:lastRenderedPageBreak/>
        <w:t>ASCUS or higher was retrieved from the PALGA database. To determine the true false negative rate of the screening results, the study team collected the data from all patients with a negative cytology (i.e</w:t>
      </w:r>
      <w:r w:rsidR="00195600">
        <w:t>.</w:t>
      </w:r>
      <w:r>
        <w:t xml:space="preserve"> within normal limits), but with a histological proven cervical lesion (CIN 1 or higher). </w:t>
      </w:r>
    </w:p>
    <w:p w:rsidR="00F77239" w:rsidRDefault="00F77239" w:rsidP="00F77239">
      <w:r>
        <w:t xml:space="preserve">The </w:t>
      </w:r>
      <w:r w:rsidR="006F0272">
        <w:t xml:space="preserve">contingency table with the </w:t>
      </w:r>
      <w:r>
        <w:t xml:space="preserve">correlation </w:t>
      </w:r>
      <w:r w:rsidR="006F0272">
        <w:t>of index test</w:t>
      </w:r>
      <w:r w:rsidR="004A1486">
        <w:t xml:space="preserve"> (ASCUS+) </w:t>
      </w:r>
      <w:r w:rsidR="006F0272">
        <w:t>and histological outcome</w:t>
      </w:r>
      <w:r w:rsidR="004A1486">
        <w:t xml:space="preserve"> (CIN</w:t>
      </w:r>
      <w:r w:rsidR="0073395D">
        <w:t xml:space="preserve"> </w:t>
      </w:r>
      <w:r w:rsidR="004A1486">
        <w:t>1+)</w:t>
      </w:r>
      <w:r w:rsidR="006F0272">
        <w:t xml:space="preserve"> was generated for the purposes of the submission from data reported by Beerman 200</w:t>
      </w:r>
      <w:r w:rsidR="00963888">
        <w:t>9</w:t>
      </w:r>
      <w:r w:rsidR="006F0272">
        <w:t>. The correlation</w:t>
      </w:r>
      <w:r w:rsidR="004A1486">
        <w:t>, calculated sensitivity, specificity, positive and negative predictive value</w:t>
      </w:r>
      <w:r w:rsidR="006F0272">
        <w:t xml:space="preserve"> </w:t>
      </w:r>
      <w:r>
        <w:t xml:space="preserve">for the </w:t>
      </w:r>
      <w:r w:rsidR="00B8016B">
        <w:t xml:space="preserve">cell enrichment </w:t>
      </w:r>
      <w:r w:rsidR="0073395D">
        <w:t xml:space="preserve">LBC arm are </w:t>
      </w:r>
      <w:r>
        <w:t xml:space="preserve"> presented in </w:t>
      </w:r>
      <w:r w:rsidR="00086C77">
        <w:fldChar w:fldCharType="begin"/>
      </w:r>
      <w:r>
        <w:instrText xml:space="preserve"> REF _Ref332799367 \h </w:instrText>
      </w:r>
      <w:r w:rsidR="00086C77">
        <w:fldChar w:fldCharType="separate"/>
      </w:r>
      <w:r w:rsidR="003361A8">
        <w:t xml:space="preserve">Table </w:t>
      </w:r>
      <w:r w:rsidR="003361A8">
        <w:rPr>
          <w:noProof/>
        </w:rPr>
        <w:t>48</w:t>
      </w:r>
      <w:r w:rsidR="00086C77">
        <w:fldChar w:fldCharType="end"/>
      </w:r>
      <w:r w:rsidR="0073395D">
        <w:t xml:space="preserve"> and the CC</w:t>
      </w:r>
      <w:r>
        <w:t xml:space="preserve"> arm in </w:t>
      </w:r>
      <w:r w:rsidR="00086C77">
        <w:fldChar w:fldCharType="begin"/>
      </w:r>
      <w:r>
        <w:instrText xml:space="preserve"> REF _Ref332799378 \h </w:instrText>
      </w:r>
      <w:r w:rsidR="00086C77">
        <w:fldChar w:fldCharType="separate"/>
      </w:r>
      <w:r w:rsidR="003361A8">
        <w:t xml:space="preserve">Table </w:t>
      </w:r>
      <w:r w:rsidR="003361A8">
        <w:rPr>
          <w:noProof/>
        </w:rPr>
        <w:t>49</w:t>
      </w:r>
      <w:r w:rsidR="00086C77">
        <w:fldChar w:fldCharType="end"/>
      </w:r>
      <w:r>
        <w:t xml:space="preserve">. </w:t>
      </w:r>
      <w:r w:rsidR="006F0272">
        <w:t xml:space="preserve">The sensitivity and specificity </w:t>
      </w:r>
      <w:r w:rsidR="005C38C4">
        <w:t>(</w:t>
      </w:r>
      <w:r w:rsidR="004A1486">
        <w:t xml:space="preserve">and corresponding 95% confidence intervals) </w:t>
      </w:r>
      <w:r w:rsidR="006F0272">
        <w:t>were then</w:t>
      </w:r>
      <w:r w:rsidR="004A1486">
        <w:t xml:space="preserve"> formally</w:t>
      </w:r>
      <w:r w:rsidR="006F0272">
        <w:t xml:space="preserve"> calculated </w:t>
      </w:r>
      <w:r w:rsidR="00BA768A">
        <w:t xml:space="preserve">and </w:t>
      </w:r>
      <w:r w:rsidR="00BA768A" w:rsidRPr="005F6015">
        <w:t xml:space="preserve">compared (refer to </w:t>
      </w:r>
      <w:r w:rsidR="005F6015" w:rsidRPr="005F6015">
        <w:t>A</w:t>
      </w:r>
      <w:r w:rsidR="00BA768A" w:rsidRPr="005F6015">
        <w:t xml:space="preserve">ttachment </w:t>
      </w:r>
      <w:r w:rsidR="005F6015" w:rsidRPr="005F6015">
        <w:t>4</w:t>
      </w:r>
      <w:r w:rsidR="00BA768A" w:rsidRPr="005F6015">
        <w:t>)</w:t>
      </w:r>
      <w:r w:rsidR="0073395D">
        <w:t xml:space="preserve"> </w:t>
      </w:r>
      <w:r w:rsidR="006F0272">
        <w:t xml:space="preserve">and are presented in </w:t>
      </w:r>
      <w:r w:rsidR="00086C77">
        <w:fldChar w:fldCharType="begin"/>
      </w:r>
      <w:r w:rsidR="006F0272">
        <w:instrText xml:space="preserve"> REF _Ref332828410 \h </w:instrText>
      </w:r>
      <w:r w:rsidR="00086C77">
        <w:fldChar w:fldCharType="separate"/>
      </w:r>
      <w:r w:rsidR="003361A8">
        <w:t xml:space="preserve">Table </w:t>
      </w:r>
      <w:r w:rsidR="003361A8">
        <w:rPr>
          <w:noProof/>
        </w:rPr>
        <w:t>50</w:t>
      </w:r>
      <w:r w:rsidR="00086C77">
        <w:fldChar w:fldCharType="end"/>
      </w:r>
      <w:r w:rsidR="006F0272">
        <w:t>.</w:t>
      </w:r>
    </w:p>
    <w:p w:rsidR="002561B1" w:rsidRDefault="00DF3F71" w:rsidP="00F77239">
      <w:r>
        <w:t>A very small number of patients with a negative cytology (</w:t>
      </w:r>
      <w:r w:rsidR="00B05AAA">
        <w:t>that is</w:t>
      </w:r>
      <w:r w:rsidR="00C10926">
        <w:t>,</w:t>
      </w:r>
      <w:r w:rsidR="00B05AAA">
        <w:t xml:space="preserve"> </w:t>
      </w:r>
      <w:r>
        <w:t>within normal limits) were found to have unforeseen histology</w:t>
      </w:r>
      <w:r w:rsidR="005A62C0">
        <w:t xml:space="preserve"> </w:t>
      </w:r>
      <w:r>
        <w:t>performed within the window of follow up.</w:t>
      </w:r>
      <w:r w:rsidR="005A62C0">
        <w:t xml:space="preserve"> In the conventional </w:t>
      </w:r>
      <w:r w:rsidR="00F77239">
        <w:t>arm</w:t>
      </w:r>
      <w:r w:rsidR="005A62C0">
        <w:t>, 30 patients (0.06%) with cytology results within normal limits had subsequent histology within 510 days showing</w:t>
      </w:r>
      <w:r w:rsidR="00B8016B">
        <w:t xml:space="preserve"> CIN 1 or higher lesions. With</w:t>
      </w:r>
      <w:r w:rsidR="005A62C0">
        <w:t xml:space="preserve"> </w:t>
      </w:r>
      <w:r w:rsidR="00B8016B">
        <w:t xml:space="preserve">cell enrichment </w:t>
      </w:r>
      <w:r w:rsidR="00F77239">
        <w:t>LBC</w:t>
      </w:r>
      <w:r w:rsidR="005A62C0">
        <w:t xml:space="preserve">, 12 patients (0.04%) with normal cytology were identified with CIN 1, or higher lesions in histology. </w:t>
      </w:r>
      <w:r w:rsidR="006F03A1">
        <w:t>The false-negative rate</w:t>
      </w:r>
      <w:r w:rsidR="006F03A1" w:rsidRPr="000175F8">
        <w:t xml:space="preserve"> </w:t>
      </w:r>
      <w:r w:rsidR="006F03A1">
        <w:t>relative to total CIN</w:t>
      </w:r>
      <w:r w:rsidR="00C10926">
        <w:t xml:space="preserve"> </w:t>
      </w:r>
      <w:r w:rsidR="006F03A1">
        <w:t xml:space="preserve">1+ lesions for the cell enrichment LBC arm (12/319, 3.76%) was significantly lower than for the </w:t>
      </w:r>
      <w:r w:rsidR="00C10926">
        <w:t>CC</w:t>
      </w:r>
      <w:r w:rsidR="006F03A1">
        <w:t xml:space="preserve"> a</w:t>
      </w:r>
      <w:r w:rsidR="00AF355A">
        <w:t xml:space="preserve">rm (30/377, </w:t>
      </w:r>
      <w:r w:rsidR="00C10926">
        <w:t>7.96%)(P</w:t>
      </w:r>
      <w:r w:rsidR="00AF355A">
        <w:t>=0.0247)</w:t>
      </w:r>
      <w:r w:rsidR="00C10926">
        <w:t xml:space="preserve">. </w:t>
      </w:r>
      <w:r w:rsidR="00AF355A">
        <w:t>(</w:t>
      </w:r>
      <w:r w:rsidR="005A62C0">
        <w:t>In both cohorts, the majority of these false negative lesions were CIN 2</w:t>
      </w:r>
      <w:r w:rsidR="00B8016B">
        <w:t xml:space="preserve"> or higher (21/ 30, 70%, with</w:t>
      </w:r>
      <w:r w:rsidR="005A62C0">
        <w:t xml:space="preserve"> conventional c</w:t>
      </w:r>
      <w:r w:rsidR="00B8016B">
        <w:t>ytology</w:t>
      </w:r>
      <w:r w:rsidR="005A62C0">
        <w:t xml:space="preserve"> and 7/12, 58%, </w:t>
      </w:r>
      <w:r w:rsidR="00B8016B">
        <w:t>with cell enrichment LBC</w:t>
      </w:r>
      <w:r w:rsidR="005A62C0">
        <w:t>)</w:t>
      </w:r>
      <w:r w:rsidR="00C64B49">
        <w:t xml:space="preserve"> </w:t>
      </w:r>
      <w:r w:rsidR="00C10926">
        <w:t xml:space="preserve">(Beerman </w:t>
      </w:r>
      <w:r w:rsidR="00963888">
        <w:t>2009</w:t>
      </w:r>
      <w:r w:rsidR="00EA0551">
        <w:t xml:space="preserve"> Table 2)</w:t>
      </w:r>
      <w:r w:rsidR="005A62C0">
        <w:t xml:space="preserve">. </w:t>
      </w:r>
    </w:p>
    <w:p w:rsidR="002561B1" w:rsidRDefault="002561B1" w:rsidP="002561B1">
      <w:pPr>
        <w:pStyle w:val="Caption"/>
      </w:pPr>
      <w:bookmarkStart w:id="385" w:name="_Ref332799367"/>
      <w:bookmarkStart w:id="386" w:name="_Toc331766478"/>
      <w:bookmarkStart w:id="387" w:name="_Toc335666014"/>
      <w:bookmarkStart w:id="388" w:name="_Toc337546985"/>
      <w:r>
        <w:lastRenderedPageBreak/>
        <w:t xml:space="preserve">Table </w:t>
      </w:r>
      <w:fldSimple w:instr=" SEQ Table \* ARABIC ">
        <w:r w:rsidR="003361A8">
          <w:rPr>
            <w:noProof/>
          </w:rPr>
          <w:t>48</w:t>
        </w:r>
      </w:fldSimple>
      <w:bookmarkEnd w:id="385"/>
      <w:r>
        <w:tab/>
        <w:t>C</w:t>
      </w:r>
      <w:r w:rsidR="00F757FF">
        <w:t>ontinge</w:t>
      </w:r>
      <w:r w:rsidR="00C10926">
        <w:t>ncy t</w:t>
      </w:r>
      <w:r w:rsidR="007E7C62">
        <w:t>able—</w:t>
      </w:r>
      <w:r w:rsidR="00224980">
        <w:t>c</w:t>
      </w:r>
      <w:r w:rsidR="00F757FF">
        <w:t xml:space="preserve">ell </w:t>
      </w:r>
      <w:r w:rsidR="00224980">
        <w:t>e</w:t>
      </w:r>
      <w:r w:rsidR="00F757FF">
        <w:t>nrichment LBC</w:t>
      </w:r>
      <w:r w:rsidR="00C10926">
        <w:t>:</w:t>
      </w:r>
      <w:r>
        <w:t xml:space="preserve"> Beerman 200</w:t>
      </w:r>
      <w:bookmarkEnd w:id="386"/>
      <w:r w:rsidR="00963888">
        <w:t>9</w:t>
      </w:r>
      <w:bookmarkEnd w:id="387"/>
      <w:bookmarkEnd w:id="38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1"/>
        <w:gridCol w:w="969"/>
        <w:gridCol w:w="1718"/>
        <w:gridCol w:w="2290"/>
        <w:gridCol w:w="1623"/>
      </w:tblGrid>
      <w:tr w:rsidR="00FA5AED" w:rsidTr="00C10926">
        <w:tc>
          <w:tcPr>
            <w:tcW w:w="1288" w:type="pct"/>
            <w:tcBorders>
              <w:top w:val="nil"/>
              <w:left w:val="nil"/>
              <w:bottom w:val="nil"/>
              <w:right w:val="nil"/>
            </w:tcBorders>
          </w:tcPr>
          <w:p w:rsidR="00FA5AED" w:rsidRDefault="00FA5AED" w:rsidP="002561B1">
            <w:pPr>
              <w:pStyle w:val="Tabletext"/>
            </w:pPr>
          </w:p>
        </w:tc>
        <w:tc>
          <w:tcPr>
            <w:tcW w:w="545" w:type="pct"/>
            <w:tcBorders>
              <w:top w:val="nil"/>
              <w:left w:val="nil"/>
              <w:bottom w:val="nil"/>
              <w:right w:val="single" w:sz="4" w:space="0" w:color="auto"/>
            </w:tcBorders>
          </w:tcPr>
          <w:p w:rsidR="00FA5AED" w:rsidRDefault="00FA5AED" w:rsidP="002561B1">
            <w:pPr>
              <w:pStyle w:val="Tabletext"/>
            </w:pPr>
          </w:p>
        </w:tc>
        <w:tc>
          <w:tcPr>
            <w:tcW w:w="2254" w:type="pct"/>
            <w:gridSpan w:val="2"/>
            <w:tcBorders>
              <w:left w:val="single" w:sz="4" w:space="0" w:color="auto"/>
            </w:tcBorders>
          </w:tcPr>
          <w:p w:rsidR="00FA5AED" w:rsidRPr="00C10926" w:rsidRDefault="00C10926" w:rsidP="002561B1">
            <w:pPr>
              <w:pStyle w:val="Tabletext"/>
              <w:rPr>
                <w:b/>
              </w:rPr>
            </w:pPr>
            <w:r>
              <w:rPr>
                <w:b/>
              </w:rPr>
              <w:t>Reference standard (h</w:t>
            </w:r>
            <w:r w:rsidR="00FA5AED" w:rsidRPr="00C10926">
              <w:rPr>
                <w:b/>
              </w:rPr>
              <w:t>istology, threshold CIN 1+)</w:t>
            </w:r>
          </w:p>
        </w:tc>
        <w:tc>
          <w:tcPr>
            <w:tcW w:w="913" w:type="pct"/>
          </w:tcPr>
          <w:p w:rsidR="00FA5AED" w:rsidRDefault="00FA5AED" w:rsidP="002561B1">
            <w:pPr>
              <w:pStyle w:val="Tabletext"/>
            </w:pPr>
          </w:p>
        </w:tc>
      </w:tr>
      <w:tr w:rsidR="00805DDD" w:rsidTr="00C10926">
        <w:tc>
          <w:tcPr>
            <w:tcW w:w="1288" w:type="pct"/>
            <w:tcBorders>
              <w:top w:val="nil"/>
              <w:left w:val="nil"/>
              <w:bottom w:val="single" w:sz="4" w:space="0" w:color="auto"/>
              <w:right w:val="nil"/>
            </w:tcBorders>
          </w:tcPr>
          <w:p w:rsidR="00805DDD" w:rsidRDefault="00805DDD" w:rsidP="002561B1">
            <w:pPr>
              <w:pStyle w:val="Tabletext"/>
            </w:pPr>
          </w:p>
        </w:tc>
        <w:tc>
          <w:tcPr>
            <w:tcW w:w="545" w:type="pct"/>
            <w:tcBorders>
              <w:top w:val="nil"/>
              <w:left w:val="nil"/>
              <w:bottom w:val="single" w:sz="4" w:space="0" w:color="auto"/>
              <w:right w:val="single" w:sz="4" w:space="0" w:color="auto"/>
            </w:tcBorders>
          </w:tcPr>
          <w:p w:rsidR="00805DDD" w:rsidRDefault="00805DDD" w:rsidP="002561B1">
            <w:pPr>
              <w:pStyle w:val="Tabletext"/>
            </w:pPr>
          </w:p>
        </w:tc>
        <w:tc>
          <w:tcPr>
            <w:tcW w:w="966" w:type="pct"/>
            <w:tcBorders>
              <w:left w:val="single" w:sz="4" w:space="0" w:color="auto"/>
            </w:tcBorders>
          </w:tcPr>
          <w:p w:rsidR="00805DDD" w:rsidRPr="00C10926" w:rsidRDefault="00805DDD" w:rsidP="00805DDD">
            <w:pPr>
              <w:pStyle w:val="Tabletext"/>
              <w:jc w:val="center"/>
              <w:rPr>
                <w:b/>
              </w:rPr>
            </w:pPr>
            <w:r w:rsidRPr="00C10926">
              <w:rPr>
                <w:b/>
              </w:rPr>
              <w:t>Positive</w:t>
            </w:r>
          </w:p>
        </w:tc>
        <w:tc>
          <w:tcPr>
            <w:tcW w:w="1288" w:type="pct"/>
          </w:tcPr>
          <w:p w:rsidR="00805DDD" w:rsidRPr="00C10926" w:rsidRDefault="00805DDD" w:rsidP="00805DDD">
            <w:pPr>
              <w:pStyle w:val="Tabletext"/>
              <w:jc w:val="center"/>
              <w:rPr>
                <w:b/>
              </w:rPr>
            </w:pPr>
            <w:r w:rsidRPr="00C10926">
              <w:rPr>
                <w:b/>
              </w:rPr>
              <w:t>Negative</w:t>
            </w:r>
          </w:p>
        </w:tc>
        <w:tc>
          <w:tcPr>
            <w:tcW w:w="913" w:type="pct"/>
          </w:tcPr>
          <w:p w:rsidR="00805DDD" w:rsidRDefault="00805DDD" w:rsidP="002561B1">
            <w:pPr>
              <w:pStyle w:val="Tabletext"/>
            </w:pPr>
          </w:p>
        </w:tc>
      </w:tr>
      <w:tr w:rsidR="00F333F8" w:rsidTr="00C10926">
        <w:tc>
          <w:tcPr>
            <w:tcW w:w="1288" w:type="pct"/>
            <w:vMerge w:val="restart"/>
            <w:tcBorders>
              <w:top w:val="single" w:sz="4" w:space="0" w:color="auto"/>
              <w:left w:val="single" w:sz="4" w:space="0" w:color="auto"/>
              <w:right w:val="single" w:sz="4" w:space="0" w:color="auto"/>
            </w:tcBorders>
          </w:tcPr>
          <w:p w:rsidR="00F333F8" w:rsidRDefault="00F333F8" w:rsidP="00224980">
            <w:pPr>
              <w:pStyle w:val="Tabletext"/>
            </w:pPr>
            <w:r>
              <w:t>Index test, ASCUS+</w:t>
            </w:r>
            <w:r w:rsidRPr="009F0807">
              <w:rPr>
                <w:vertAlign w:val="superscript"/>
              </w:rPr>
              <w:t>a</w:t>
            </w:r>
            <w:r>
              <w:t xml:space="preserve"> (cell enrichment LBC)</w:t>
            </w:r>
          </w:p>
        </w:tc>
        <w:tc>
          <w:tcPr>
            <w:tcW w:w="545" w:type="pct"/>
            <w:tcBorders>
              <w:top w:val="single" w:sz="4" w:space="0" w:color="auto"/>
              <w:left w:val="single" w:sz="4" w:space="0" w:color="auto"/>
              <w:bottom w:val="single" w:sz="4" w:space="0" w:color="auto"/>
              <w:right w:val="single" w:sz="4" w:space="0" w:color="auto"/>
            </w:tcBorders>
          </w:tcPr>
          <w:p w:rsidR="00F333F8" w:rsidRDefault="00F333F8" w:rsidP="002561B1">
            <w:pPr>
              <w:pStyle w:val="Tabletext"/>
            </w:pPr>
            <w:r>
              <w:t>Positive</w:t>
            </w:r>
          </w:p>
        </w:tc>
        <w:tc>
          <w:tcPr>
            <w:tcW w:w="966" w:type="pct"/>
            <w:tcBorders>
              <w:left w:val="single" w:sz="4" w:space="0" w:color="auto"/>
            </w:tcBorders>
          </w:tcPr>
          <w:p w:rsidR="00F333F8" w:rsidRDefault="00F333F8" w:rsidP="00805DDD">
            <w:pPr>
              <w:pStyle w:val="Tabletext"/>
              <w:jc w:val="center"/>
            </w:pPr>
            <w:r>
              <w:t>309</w:t>
            </w:r>
          </w:p>
        </w:tc>
        <w:tc>
          <w:tcPr>
            <w:tcW w:w="1288" w:type="pct"/>
          </w:tcPr>
          <w:p w:rsidR="00F333F8" w:rsidRDefault="00F333F8" w:rsidP="00805DDD">
            <w:pPr>
              <w:pStyle w:val="Tabletext"/>
              <w:jc w:val="center"/>
            </w:pPr>
            <w:r>
              <w:t>789</w:t>
            </w:r>
            <w:r w:rsidRPr="009F0807">
              <w:rPr>
                <w:vertAlign w:val="superscript"/>
              </w:rPr>
              <w:t xml:space="preserve"> a</w:t>
            </w:r>
          </w:p>
        </w:tc>
        <w:tc>
          <w:tcPr>
            <w:tcW w:w="913" w:type="pct"/>
          </w:tcPr>
          <w:p w:rsidR="00F333F8" w:rsidRDefault="00470D30" w:rsidP="00470D30">
            <w:pPr>
              <w:pStyle w:val="Tabletext"/>
            </w:pPr>
            <w:r>
              <w:t>PPV=309/1098</w:t>
            </w:r>
            <w:r>
              <w:br/>
              <w:t xml:space="preserve"> </w:t>
            </w:r>
            <w:r w:rsidR="005E0D57">
              <w:t>=</w:t>
            </w:r>
            <w:r w:rsidR="00F333F8">
              <w:t>0.2814</w:t>
            </w:r>
          </w:p>
        </w:tc>
      </w:tr>
      <w:tr w:rsidR="00F333F8" w:rsidTr="00C10926">
        <w:tc>
          <w:tcPr>
            <w:tcW w:w="1288" w:type="pct"/>
            <w:vMerge/>
            <w:tcBorders>
              <w:left w:val="single" w:sz="4" w:space="0" w:color="auto"/>
              <w:bottom w:val="single" w:sz="4" w:space="0" w:color="auto"/>
              <w:right w:val="single" w:sz="4" w:space="0" w:color="auto"/>
            </w:tcBorders>
          </w:tcPr>
          <w:p w:rsidR="00F333F8" w:rsidRDefault="00F333F8" w:rsidP="002561B1">
            <w:pPr>
              <w:pStyle w:val="Tabletext"/>
            </w:pPr>
          </w:p>
        </w:tc>
        <w:tc>
          <w:tcPr>
            <w:tcW w:w="545" w:type="pct"/>
            <w:tcBorders>
              <w:top w:val="single" w:sz="4" w:space="0" w:color="auto"/>
              <w:left w:val="single" w:sz="4" w:space="0" w:color="auto"/>
              <w:bottom w:val="single" w:sz="4" w:space="0" w:color="auto"/>
            </w:tcBorders>
          </w:tcPr>
          <w:p w:rsidR="00F333F8" w:rsidRDefault="00F333F8" w:rsidP="002561B1">
            <w:pPr>
              <w:pStyle w:val="Tabletext"/>
            </w:pPr>
            <w:r>
              <w:t>Negative</w:t>
            </w:r>
          </w:p>
        </w:tc>
        <w:tc>
          <w:tcPr>
            <w:tcW w:w="966" w:type="pct"/>
          </w:tcPr>
          <w:p w:rsidR="00F333F8" w:rsidRDefault="00F333F8" w:rsidP="00805DDD">
            <w:pPr>
              <w:pStyle w:val="Tabletext"/>
              <w:jc w:val="center"/>
            </w:pPr>
            <w:r>
              <w:t>12</w:t>
            </w:r>
            <w:r>
              <w:rPr>
                <w:vertAlign w:val="superscript"/>
              </w:rPr>
              <w:t xml:space="preserve"> b</w:t>
            </w:r>
          </w:p>
        </w:tc>
        <w:tc>
          <w:tcPr>
            <w:tcW w:w="1288" w:type="pct"/>
          </w:tcPr>
          <w:p w:rsidR="00F333F8" w:rsidRDefault="00F333F8" w:rsidP="00805DDD">
            <w:pPr>
              <w:pStyle w:val="Tabletext"/>
              <w:jc w:val="center"/>
            </w:pPr>
            <w:r>
              <w:t>34,207</w:t>
            </w:r>
          </w:p>
        </w:tc>
        <w:tc>
          <w:tcPr>
            <w:tcW w:w="913" w:type="pct"/>
          </w:tcPr>
          <w:p w:rsidR="00F333F8" w:rsidRDefault="00F333F8" w:rsidP="00470D30">
            <w:pPr>
              <w:pStyle w:val="Tabletext"/>
            </w:pPr>
            <w:r>
              <w:t>NPV=34207/34219</w:t>
            </w:r>
            <w:r w:rsidR="00470D30">
              <w:br/>
            </w:r>
            <w:r>
              <w:t xml:space="preserve"> </w:t>
            </w:r>
            <w:r w:rsidR="005E0D57">
              <w:t>=</w:t>
            </w:r>
            <w:r>
              <w:t>0.9996</w:t>
            </w:r>
          </w:p>
        </w:tc>
      </w:tr>
      <w:tr w:rsidR="00805DDD" w:rsidTr="00C10926">
        <w:tc>
          <w:tcPr>
            <w:tcW w:w="1288" w:type="pct"/>
            <w:tcBorders>
              <w:top w:val="single" w:sz="4" w:space="0" w:color="auto"/>
            </w:tcBorders>
          </w:tcPr>
          <w:p w:rsidR="00805DDD" w:rsidRDefault="00805DDD" w:rsidP="002561B1">
            <w:pPr>
              <w:pStyle w:val="Tabletext"/>
            </w:pPr>
          </w:p>
        </w:tc>
        <w:tc>
          <w:tcPr>
            <w:tcW w:w="545" w:type="pct"/>
            <w:tcBorders>
              <w:top w:val="single" w:sz="4" w:space="0" w:color="auto"/>
            </w:tcBorders>
          </w:tcPr>
          <w:p w:rsidR="00805DDD" w:rsidRDefault="00805DDD" w:rsidP="002561B1">
            <w:pPr>
              <w:pStyle w:val="Tabletext"/>
            </w:pPr>
          </w:p>
        </w:tc>
        <w:tc>
          <w:tcPr>
            <w:tcW w:w="966" w:type="pct"/>
          </w:tcPr>
          <w:p w:rsidR="00805DDD" w:rsidRDefault="00805DDD" w:rsidP="003E123A">
            <w:pPr>
              <w:pStyle w:val="Tabletext"/>
            </w:pPr>
            <w:r>
              <w:t xml:space="preserve">Sensitivity: </w:t>
            </w:r>
            <w:r w:rsidR="00F26D58">
              <w:br/>
              <w:t>=30</w:t>
            </w:r>
            <w:r w:rsidR="003E123A">
              <w:t>9</w:t>
            </w:r>
            <w:r w:rsidR="00F26D58">
              <w:t>/3</w:t>
            </w:r>
            <w:r w:rsidR="003E123A">
              <w:t>2</w:t>
            </w:r>
            <w:r w:rsidR="00F26D58">
              <w:t>1</w:t>
            </w:r>
            <w:r w:rsidR="00F26D58">
              <w:br/>
              <w:t>=0.962</w:t>
            </w:r>
            <w:r w:rsidR="003E123A">
              <w:t>6</w:t>
            </w:r>
          </w:p>
        </w:tc>
        <w:tc>
          <w:tcPr>
            <w:tcW w:w="1288" w:type="pct"/>
          </w:tcPr>
          <w:p w:rsidR="00805DDD" w:rsidRDefault="00F26D58" w:rsidP="00805DDD">
            <w:pPr>
              <w:pStyle w:val="Tabletext"/>
            </w:pPr>
            <w:r>
              <w:t>Specificity:</w:t>
            </w:r>
            <w:r>
              <w:br/>
              <w:t>=34207/34996</w:t>
            </w:r>
            <w:r>
              <w:br/>
              <w:t>=0.9775</w:t>
            </w:r>
          </w:p>
        </w:tc>
        <w:tc>
          <w:tcPr>
            <w:tcW w:w="913" w:type="pct"/>
          </w:tcPr>
          <w:p w:rsidR="00805DDD" w:rsidRDefault="00805DDD" w:rsidP="002561B1">
            <w:pPr>
              <w:pStyle w:val="Tabletext"/>
            </w:pPr>
          </w:p>
        </w:tc>
      </w:tr>
    </w:tbl>
    <w:p w:rsidR="005C38C4" w:rsidRDefault="005C38C4" w:rsidP="00683A5F">
      <w:pPr>
        <w:pStyle w:val="Tabletext"/>
      </w:pPr>
      <w:r>
        <w:t xml:space="preserve">Abbreviations: </w:t>
      </w:r>
      <w:r w:rsidRPr="005C38C4">
        <w:t>ASCUS, atypical cells of undetermined significance or more severe</w:t>
      </w:r>
      <w:r>
        <w:t xml:space="preserve">; CIN, </w:t>
      </w:r>
      <w:r w:rsidRPr="00287273">
        <w:t>cervical intraepithelial neoplasia grade</w:t>
      </w:r>
      <w:r>
        <w:t xml:space="preserve">; NPV, negative predictive value; PPV, positive predictive value </w:t>
      </w:r>
    </w:p>
    <w:p w:rsidR="00683A5F" w:rsidRDefault="008755C3" w:rsidP="00AB012A">
      <w:pPr>
        <w:pStyle w:val="Tabletext"/>
        <w:numPr>
          <w:ilvl w:val="0"/>
          <w:numId w:val="23"/>
        </w:numPr>
      </w:pPr>
      <w:r>
        <w:t>The false positives (positive index test but negative reference standard) i</w:t>
      </w:r>
      <w:r w:rsidR="00702AD5">
        <w:t>nclude</w:t>
      </w:r>
      <w:r w:rsidR="009F0807">
        <w:t>s the histological outcomes for 46</w:t>
      </w:r>
      <w:r w:rsidR="00702AD5">
        <w:t xml:space="preserve"> unsatisfactory </w:t>
      </w:r>
      <w:r w:rsidR="007E7C62">
        <w:t>specimen</w:t>
      </w:r>
      <w:r w:rsidR="003B6229">
        <w:t>s</w:t>
      </w:r>
    </w:p>
    <w:p w:rsidR="002561B1" w:rsidRDefault="009F0807" w:rsidP="00AB012A">
      <w:pPr>
        <w:pStyle w:val="Tabletext"/>
        <w:numPr>
          <w:ilvl w:val="0"/>
          <w:numId w:val="23"/>
        </w:numPr>
      </w:pPr>
      <w:r>
        <w:t>Just over half of the false negative findings (</w:t>
      </w:r>
      <w:r w:rsidRPr="009F0807">
        <w:t>7/12, 58%</w:t>
      </w:r>
      <w:r>
        <w:t>) were CIN</w:t>
      </w:r>
      <w:r w:rsidR="00C10926">
        <w:t xml:space="preserve"> </w:t>
      </w:r>
      <w:r w:rsidR="007E7C62">
        <w:t>2+ lesions</w:t>
      </w:r>
    </w:p>
    <w:p w:rsidR="002561B1" w:rsidRDefault="002561B1" w:rsidP="002561B1">
      <w:pPr>
        <w:pStyle w:val="Caption"/>
      </w:pPr>
      <w:bookmarkStart w:id="389" w:name="_Ref332799378"/>
      <w:bookmarkStart w:id="390" w:name="_Toc331766479"/>
      <w:bookmarkStart w:id="391" w:name="_Toc335666015"/>
      <w:bookmarkStart w:id="392" w:name="_Toc337546986"/>
      <w:r>
        <w:t xml:space="preserve">Table </w:t>
      </w:r>
      <w:fldSimple w:instr=" SEQ Table \* ARABIC ">
        <w:r w:rsidR="003361A8">
          <w:rPr>
            <w:noProof/>
          </w:rPr>
          <w:t>49</w:t>
        </w:r>
      </w:fldSimple>
      <w:bookmarkEnd w:id="389"/>
      <w:r w:rsidR="00C10926">
        <w:tab/>
        <w:t>Contingency t</w:t>
      </w:r>
      <w:r w:rsidR="007E7C62">
        <w:t>able—</w:t>
      </w:r>
      <w:r w:rsidR="00C10926">
        <w:t>CC:</w:t>
      </w:r>
      <w:r>
        <w:t xml:space="preserve"> Beerman 200</w:t>
      </w:r>
      <w:bookmarkEnd w:id="390"/>
      <w:r w:rsidR="00963888">
        <w:t>9</w:t>
      </w:r>
      <w:bookmarkEnd w:id="391"/>
      <w:bookmarkEnd w:id="3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0"/>
        <w:gridCol w:w="882"/>
        <w:gridCol w:w="1865"/>
        <w:gridCol w:w="2169"/>
        <w:gridCol w:w="1695"/>
      </w:tblGrid>
      <w:tr w:rsidR="00FA5AED" w:rsidTr="00C10926">
        <w:tc>
          <w:tcPr>
            <w:tcW w:w="1282" w:type="pct"/>
            <w:tcBorders>
              <w:top w:val="nil"/>
              <w:left w:val="nil"/>
              <w:bottom w:val="nil"/>
              <w:right w:val="nil"/>
            </w:tcBorders>
          </w:tcPr>
          <w:p w:rsidR="00FA5AED" w:rsidRDefault="00FA5AED" w:rsidP="002561B1">
            <w:pPr>
              <w:pStyle w:val="Tabletext"/>
            </w:pPr>
          </w:p>
        </w:tc>
        <w:tc>
          <w:tcPr>
            <w:tcW w:w="496" w:type="pct"/>
            <w:tcBorders>
              <w:top w:val="nil"/>
              <w:left w:val="nil"/>
              <w:bottom w:val="nil"/>
              <w:right w:val="single" w:sz="4" w:space="0" w:color="auto"/>
            </w:tcBorders>
          </w:tcPr>
          <w:p w:rsidR="00FA5AED" w:rsidRDefault="00FA5AED" w:rsidP="002561B1">
            <w:pPr>
              <w:pStyle w:val="Tabletext"/>
            </w:pPr>
          </w:p>
        </w:tc>
        <w:tc>
          <w:tcPr>
            <w:tcW w:w="2269" w:type="pct"/>
            <w:gridSpan w:val="2"/>
            <w:tcBorders>
              <w:left w:val="single" w:sz="4" w:space="0" w:color="auto"/>
            </w:tcBorders>
          </w:tcPr>
          <w:p w:rsidR="00FA5AED" w:rsidRPr="00C10926" w:rsidRDefault="00C10926" w:rsidP="002561B1">
            <w:pPr>
              <w:pStyle w:val="Tabletext"/>
              <w:rPr>
                <w:b/>
              </w:rPr>
            </w:pPr>
            <w:r w:rsidRPr="00C10926">
              <w:rPr>
                <w:b/>
              </w:rPr>
              <w:t>Reference standard (h</w:t>
            </w:r>
            <w:r w:rsidR="00FA5AED" w:rsidRPr="00C10926">
              <w:rPr>
                <w:b/>
              </w:rPr>
              <w:t>istology, threshold CIN 1+)</w:t>
            </w:r>
          </w:p>
        </w:tc>
        <w:tc>
          <w:tcPr>
            <w:tcW w:w="953" w:type="pct"/>
          </w:tcPr>
          <w:p w:rsidR="00FA5AED" w:rsidRPr="00C10926" w:rsidRDefault="00FA5AED" w:rsidP="002561B1">
            <w:pPr>
              <w:pStyle w:val="Tabletext"/>
              <w:rPr>
                <w:b/>
              </w:rPr>
            </w:pPr>
          </w:p>
        </w:tc>
      </w:tr>
      <w:tr w:rsidR="00805DDD" w:rsidTr="00C10926">
        <w:tc>
          <w:tcPr>
            <w:tcW w:w="1282" w:type="pct"/>
            <w:tcBorders>
              <w:top w:val="nil"/>
              <w:left w:val="nil"/>
              <w:bottom w:val="single" w:sz="4" w:space="0" w:color="auto"/>
              <w:right w:val="nil"/>
            </w:tcBorders>
          </w:tcPr>
          <w:p w:rsidR="00805DDD" w:rsidRDefault="00805DDD" w:rsidP="002561B1">
            <w:pPr>
              <w:pStyle w:val="Tabletext"/>
            </w:pPr>
          </w:p>
        </w:tc>
        <w:tc>
          <w:tcPr>
            <w:tcW w:w="496" w:type="pct"/>
            <w:tcBorders>
              <w:top w:val="nil"/>
              <w:left w:val="nil"/>
              <w:bottom w:val="single" w:sz="4" w:space="0" w:color="auto"/>
              <w:right w:val="single" w:sz="4" w:space="0" w:color="auto"/>
            </w:tcBorders>
          </w:tcPr>
          <w:p w:rsidR="00805DDD" w:rsidRDefault="00805DDD" w:rsidP="002561B1">
            <w:pPr>
              <w:pStyle w:val="Tabletext"/>
            </w:pPr>
          </w:p>
        </w:tc>
        <w:tc>
          <w:tcPr>
            <w:tcW w:w="1049" w:type="pct"/>
            <w:tcBorders>
              <w:left w:val="single" w:sz="4" w:space="0" w:color="auto"/>
            </w:tcBorders>
          </w:tcPr>
          <w:p w:rsidR="00805DDD" w:rsidRPr="00C10926" w:rsidRDefault="00805DDD" w:rsidP="00805DDD">
            <w:pPr>
              <w:pStyle w:val="Tabletext"/>
              <w:jc w:val="center"/>
              <w:rPr>
                <w:b/>
              </w:rPr>
            </w:pPr>
            <w:r w:rsidRPr="00C10926">
              <w:rPr>
                <w:b/>
              </w:rPr>
              <w:t>Positive</w:t>
            </w:r>
          </w:p>
        </w:tc>
        <w:tc>
          <w:tcPr>
            <w:tcW w:w="1220" w:type="pct"/>
          </w:tcPr>
          <w:p w:rsidR="00805DDD" w:rsidRPr="00C10926" w:rsidRDefault="00805DDD" w:rsidP="00805DDD">
            <w:pPr>
              <w:pStyle w:val="Tabletext"/>
              <w:jc w:val="center"/>
              <w:rPr>
                <w:b/>
              </w:rPr>
            </w:pPr>
            <w:r w:rsidRPr="00C10926">
              <w:rPr>
                <w:b/>
              </w:rPr>
              <w:t>Negative</w:t>
            </w:r>
          </w:p>
        </w:tc>
        <w:tc>
          <w:tcPr>
            <w:tcW w:w="953" w:type="pct"/>
          </w:tcPr>
          <w:p w:rsidR="00805DDD" w:rsidRPr="00C10926" w:rsidRDefault="00805DDD" w:rsidP="002561B1">
            <w:pPr>
              <w:pStyle w:val="Tabletext"/>
              <w:rPr>
                <w:b/>
              </w:rPr>
            </w:pPr>
          </w:p>
        </w:tc>
      </w:tr>
      <w:tr w:rsidR="00F333F8" w:rsidTr="00C10926">
        <w:tc>
          <w:tcPr>
            <w:tcW w:w="1282" w:type="pct"/>
            <w:vMerge w:val="restart"/>
            <w:tcBorders>
              <w:top w:val="single" w:sz="4" w:space="0" w:color="auto"/>
              <w:left w:val="single" w:sz="4" w:space="0" w:color="auto"/>
              <w:right w:val="single" w:sz="4" w:space="0" w:color="auto"/>
            </w:tcBorders>
          </w:tcPr>
          <w:p w:rsidR="00F333F8" w:rsidRDefault="00F333F8" w:rsidP="002561B1">
            <w:pPr>
              <w:pStyle w:val="Tabletext"/>
            </w:pPr>
            <w:r>
              <w:t xml:space="preserve">Index test, ASCUS+ </w:t>
            </w:r>
            <w:r w:rsidRPr="009F0807">
              <w:rPr>
                <w:vertAlign w:val="superscript"/>
              </w:rPr>
              <w:t>a</w:t>
            </w:r>
            <w:r>
              <w:t xml:space="preserve"> (Conventional Cytology)</w:t>
            </w:r>
          </w:p>
        </w:tc>
        <w:tc>
          <w:tcPr>
            <w:tcW w:w="496" w:type="pct"/>
            <w:tcBorders>
              <w:top w:val="single" w:sz="4" w:space="0" w:color="auto"/>
              <w:left w:val="single" w:sz="4" w:space="0" w:color="auto"/>
              <w:bottom w:val="single" w:sz="4" w:space="0" w:color="auto"/>
              <w:right w:val="single" w:sz="4" w:space="0" w:color="auto"/>
            </w:tcBorders>
          </w:tcPr>
          <w:p w:rsidR="00F333F8" w:rsidRDefault="00F333F8" w:rsidP="002561B1">
            <w:pPr>
              <w:pStyle w:val="Tabletext"/>
            </w:pPr>
            <w:r>
              <w:t>Positive</w:t>
            </w:r>
          </w:p>
        </w:tc>
        <w:tc>
          <w:tcPr>
            <w:tcW w:w="1049" w:type="pct"/>
            <w:tcBorders>
              <w:left w:val="single" w:sz="4" w:space="0" w:color="auto"/>
            </w:tcBorders>
          </w:tcPr>
          <w:p w:rsidR="00F333F8" w:rsidRDefault="00F333F8" w:rsidP="00805DDD">
            <w:pPr>
              <w:pStyle w:val="Tabletext"/>
              <w:jc w:val="center"/>
            </w:pPr>
            <w:r>
              <w:t>347</w:t>
            </w:r>
            <w:r w:rsidRPr="009F0807">
              <w:rPr>
                <w:vertAlign w:val="superscript"/>
              </w:rPr>
              <w:t>a</w:t>
            </w:r>
          </w:p>
        </w:tc>
        <w:tc>
          <w:tcPr>
            <w:tcW w:w="1220" w:type="pct"/>
          </w:tcPr>
          <w:p w:rsidR="00F333F8" w:rsidRDefault="00F333F8" w:rsidP="00805DDD">
            <w:pPr>
              <w:pStyle w:val="Tabletext"/>
              <w:jc w:val="center"/>
            </w:pPr>
            <w:r>
              <w:t>929</w:t>
            </w:r>
            <w:r w:rsidRPr="009F0807">
              <w:rPr>
                <w:vertAlign w:val="superscript"/>
              </w:rPr>
              <w:t xml:space="preserve"> a</w:t>
            </w:r>
          </w:p>
        </w:tc>
        <w:tc>
          <w:tcPr>
            <w:tcW w:w="953" w:type="pct"/>
          </w:tcPr>
          <w:p w:rsidR="00F333F8" w:rsidRDefault="00F333F8" w:rsidP="00470D30">
            <w:pPr>
              <w:pStyle w:val="Tabletext"/>
            </w:pPr>
            <w:r>
              <w:t>PPV=347/1276</w:t>
            </w:r>
            <w:r w:rsidR="00470D30">
              <w:br/>
            </w:r>
            <w:r>
              <w:t xml:space="preserve"> </w:t>
            </w:r>
            <w:r w:rsidR="005E0D57">
              <w:t>=</w:t>
            </w:r>
            <w:r>
              <w:t>0.2719</w:t>
            </w:r>
          </w:p>
        </w:tc>
      </w:tr>
      <w:tr w:rsidR="00F333F8" w:rsidTr="00C10926">
        <w:tc>
          <w:tcPr>
            <w:tcW w:w="1282" w:type="pct"/>
            <w:vMerge/>
            <w:tcBorders>
              <w:left w:val="single" w:sz="4" w:space="0" w:color="auto"/>
              <w:bottom w:val="single" w:sz="4" w:space="0" w:color="auto"/>
              <w:right w:val="single" w:sz="4" w:space="0" w:color="auto"/>
            </w:tcBorders>
          </w:tcPr>
          <w:p w:rsidR="00F333F8" w:rsidRDefault="00F333F8" w:rsidP="002561B1">
            <w:pPr>
              <w:pStyle w:val="Tabletext"/>
            </w:pPr>
          </w:p>
        </w:tc>
        <w:tc>
          <w:tcPr>
            <w:tcW w:w="496" w:type="pct"/>
            <w:tcBorders>
              <w:top w:val="single" w:sz="4" w:space="0" w:color="auto"/>
              <w:left w:val="single" w:sz="4" w:space="0" w:color="auto"/>
              <w:bottom w:val="single" w:sz="4" w:space="0" w:color="auto"/>
            </w:tcBorders>
          </w:tcPr>
          <w:p w:rsidR="00F333F8" w:rsidRDefault="00F333F8" w:rsidP="002561B1">
            <w:pPr>
              <w:pStyle w:val="Tabletext"/>
            </w:pPr>
            <w:r>
              <w:t>Negative</w:t>
            </w:r>
          </w:p>
        </w:tc>
        <w:tc>
          <w:tcPr>
            <w:tcW w:w="1049" w:type="pct"/>
          </w:tcPr>
          <w:p w:rsidR="00F333F8" w:rsidRDefault="00F333F8" w:rsidP="008755C3">
            <w:pPr>
              <w:pStyle w:val="Tabletext"/>
              <w:jc w:val="center"/>
            </w:pPr>
            <w:r>
              <w:t>30</w:t>
            </w:r>
            <w:r>
              <w:rPr>
                <w:vertAlign w:val="superscript"/>
              </w:rPr>
              <w:t>b</w:t>
            </w:r>
          </w:p>
        </w:tc>
        <w:tc>
          <w:tcPr>
            <w:tcW w:w="1220" w:type="pct"/>
          </w:tcPr>
          <w:p w:rsidR="00F333F8" w:rsidRDefault="00F333F8" w:rsidP="00805DDD">
            <w:pPr>
              <w:pStyle w:val="Tabletext"/>
              <w:jc w:val="center"/>
            </w:pPr>
            <w:r>
              <w:t>49,826</w:t>
            </w:r>
          </w:p>
        </w:tc>
        <w:tc>
          <w:tcPr>
            <w:tcW w:w="953" w:type="pct"/>
          </w:tcPr>
          <w:p w:rsidR="00F333F8" w:rsidRDefault="00F333F8" w:rsidP="00470D30">
            <w:pPr>
              <w:pStyle w:val="Tabletext"/>
            </w:pPr>
            <w:r>
              <w:t>NPV</w:t>
            </w:r>
            <w:r w:rsidR="005E0D57">
              <w:t>=</w:t>
            </w:r>
            <w:r>
              <w:t>49826/49856</w:t>
            </w:r>
            <w:r w:rsidR="00470D30">
              <w:br/>
            </w:r>
            <w:r>
              <w:t xml:space="preserve"> </w:t>
            </w:r>
            <w:r w:rsidR="005E0D57">
              <w:t>=</w:t>
            </w:r>
            <w:r>
              <w:t>0.9994</w:t>
            </w:r>
          </w:p>
        </w:tc>
      </w:tr>
      <w:tr w:rsidR="00805DDD" w:rsidTr="00C10926">
        <w:tc>
          <w:tcPr>
            <w:tcW w:w="1282" w:type="pct"/>
            <w:tcBorders>
              <w:top w:val="single" w:sz="4" w:space="0" w:color="auto"/>
            </w:tcBorders>
          </w:tcPr>
          <w:p w:rsidR="00805DDD" w:rsidRDefault="00805DDD" w:rsidP="002561B1">
            <w:pPr>
              <w:pStyle w:val="Tabletext"/>
            </w:pPr>
          </w:p>
        </w:tc>
        <w:tc>
          <w:tcPr>
            <w:tcW w:w="496" w:type="pct"/>
            <w:tcBorders>
              <w:top w:val="single" w:sz="4" w:space="0" w:color="auto"/>
            </w:tcBorders>
          </w:tcPr>
          <w:p w:rsidR="00805DDD" w:rsidRDefault="00805DDD" w:rsidP="002561B1">
            <w:pPr>
              <w:pStyle w:val="Tabletext"/>
            </w:pPr>
          </w:p>
        </w:tc>
        <w:tc>
          <w:tcPr>
            <w:tcW w:w="1049" w:type="pct"/>
          </w:tcPr>
          <w:p w:rsidR="00805DDD" w:rsidRDefault="00805DDD" w:rsidP="00F26D58">
            <w:pPr>
              <w:pStyle w:val="Tabletext"/>
            </w:pPr>
            <w:r>
              <w:t xml:space="preserve">Sensitivity: </w:t>
            </w:r>
            <w:r w:rsidR="00F26D58">
              <w:br/>
              <w:t>=347/377</w:t>
            </w:r>
            <w:r w:rsidR="00F26D58">
              <w:br/>
              <w:t>=0.</w:t>
            </w:r>
            <w:r w:rsidR="006030C2">
              <w:t>9204</w:t>
            </w:r>
          </w:p>
        </w:tc>
        <w:tc>
          <w:tcPr>
            <w:tcW w:w="1220" w:type="pct"/>
          </w:tcPr>
          <w:p w:rsidR="00805DDD" w:rsidRDefault="00F26D58" w:rsidP="002561B1">
            <w:pPr>
              <w:pStyle w:val="Tabletext"/>
            </w:pPr>
            <w:r>
              <w:t>Specificity:</w:t>
            </w:r>
            <w:r>
              <w:br/>
              <w:t>=49826/50755</w:t>
            </w:r>
            <w:r>
              <w:br/>
              <w:t>=0.9817</w:t>
            </w:r>
          </w:p>
        </w:tc>
        <w:tc>
          <w:tcPr>
            <w:tcW w:w="953" w:type="pct"/>
          </w:tcPr>
          <w:p w:rsidR="00805DDD" w:rsidRDefault="00805DDD" w:rsidP="002561B1">
            <w:pPr>
              <w:pStyle w:val="Tabletext"/>
            </w:pPr>
          </w:p>
        </w:tc>
      </w:tr>
    </w:tbl>
    <w:p w:rsidR="009F0807" w:rsidRDefault="009F0807" w:rsidP="00683A5F">
      <w:pPr>
        <w:pStyle w:val="Tabletext"/>
      </w:pPr>
      <w:r>
        <w:t xml:space="preserve">Abbreviations: </w:t>
      </w:r>
      <w:r w:rsidR="005C38C4" w:rsidRPr="005C38C4">
        <w:t>ASCUS, atypical cells of undetermined significance or more severe</w:t>
      </w:r>
      <w:r w:rsidR="005C38C4">
        <w:t xml:space="preserve">; CIN, </w:t>
      </w:r>
      <w:r w:rsidR="005C38C4" w:rsidRPr="00287273">
        <w:t>cervical intraepithelial neoplasia grade</w:t>
      </w:r>
      <w:r w:rsidR="005C38C4">
        <w:t xml:space="preserve">; NPV, negative predictive value; PPV, positive predictive value </w:t>
      </w:r>
    </w:p>
    <w:p w:rsidR="00683A5F" w:rsidRDefault="009F0807" w:rsidP="00AB012A">
      <w:pPr>
        <w:pStyle w:val="Tabletext"/>
        <w:numPr>
          <w:ilvl w:val="0"/>
          <w:numId w:val="22"/>
        </w:numPr>
      </w:pPr>
      <w:r w:rsidRPr="00683A5F">
        <w:t>I</w:t>
      </w:r>
      <w:r w:rsidR="00702AD5" w:rsidRPr="00683A5F">
        <w:t>nclude</w:t>
      </w:r>
      <w:r w:rsidRPr="00683A5F">
        <w:t xml:space="preserve">s the histological outcomes for 435 </w:t>
      </w:r>
      <w:r w:rsidR="00702AD5" w:rsidRPr="00683A5F">
        <w:t xml:space="preserve">unsatisfactory </w:t>
      </w:r>
      <w:r w:rsidR="007E7C62">
        <w:t>specimen</w:t>
      </w:r>
      <w:r w:rsidR="003B6229" w:rsidRPr="00683A5F">
        <w:t>s</w:t>
      </w:r>
    </w:p>
    <w:p w:rsidR="00702AD5" w:rsidRPr="00683A5F" w:rsidRDefault="009F0807" w:rsidP="00AB012A">
      <w:pPr>
        <w:pStyle w:val="Tabletext"/>
        <w:numPr>
          <w:ilvl w:val="0"/>
          <w:numId w:val="22"/>
        </w:numPr>
      </w:pPr>
      <w:r w:rsidRPr="00683A5F">
        <w:t>The majority of these false negative findings (</w:t>
      </w:r>
      <w:r w:rsidR="00E377CC">
        <w:t>21/ 30, 70%) were CIN</w:t>
      </w:r>
      <w:r w:rsidR="007E7C62">
        <w:t xml:space="preserve"> </w:t>
      </w:r>
      <w:r w:rsidR="00E377CC">
        <w:t>2+ lesions</w:t>
      </w:r>
    </w:p>
    <w:p w:rsidR="002561B1" w:rsidRDefault="002561B1" w:rsidP="00C10926"/>
    <w:p w:rsidR="006F03A1" w:rsidRDefault="005A62C0" w:rsidP="00C10926">
      <w:r w:rsidRPr="005A62C0">
        <w:t>The</w:t>
      </w:r>
      <w:r>
        <w:t xml:space="preserve"> </w:t>
      </w:r>
      <w:r w:rsidRPr="005A62C0">
        <w:t>sensitivity for detection of a histological proven lesion (CIN 1+)</w:t>
      </w:r>
      <w:r w:rsidR="006F03A1">
        <w:t xml:space="preserve"> based on an ASCUS+ index test</w:t>
      </w:r>
      <w:r w:rsidRPr="005A62C0">
        <w:t xml:space="preserve"> is</w:t>
      </w:r>
      <w:r>
        <w:t xml:space="preserve"> </w:t>
      </w:r>
      <w:r w:rsidR="006F03A1">
        <w:t>significantly higher with cell enrichment LBC compared to</w:t>
      </w:r>
      <w:r>
        <w:t xml:space="preserve"> </w:t>
      </w:r>
      <w:r w:rsidRPr="005A62C0">
        <w:t xml:space="preserve">conventional </w:t>
      </w:r>
      <w:r w:rsidR="00272BA6">
        <w:t>cytology (96.3</w:t>
      </w:r>
      <w:r w:rsidR="006F03A1">
        <w:t>%</w:t>
      </w:r>
      <w:r w:rsidRPr="005A62C0">
        <w:t xml:space="preserve"> vs. 92.04%</w:t>
      </w:r>
      <w:r w:rsidR="006F03A1">
        <w:t>, OR</w:t>
      </w:r>
      <w:r>
        <w:t xml:space="preserve"> </w:t>
      </w:r>
      <w:r w:rsidR="00272BA6">
        <w:t>2.23</w:t>
      </w:r>
      <w:r w:rsidR="006F03A1">
        <w:t>, 95%</w:t>
      </w:r>
      <w:r w:rsidR="00C10926">
        <w:t xml:space="preserve"> </w:t>
      </w:r>
      <w:r w:rsidRPr="005A62C0">
        <w:t xml:space="preserve">CI </w:t>
      </w:r>
      <w:r w:rsidR="006F03A1">
        <w:t>1.1</w:t>
      </w:r>
      <w:r w:rsidR="00272BA6">
        <w:t>2</w:t>
      </w:r>
      <w:r w:rsidR="006F03A1">
        <w:t xml:space="preserve"> to 4.4</w:t>
      </w:r>
      <w:r w:rsidR="00272BA6">
        <w:t>2</w:t>
      </w:r>
      <w:r w:rsidR="00C10926">
        <w:t>, P</w:t>
      </w:r>
      <w:r w:rsidR="00272BA6">
        <w:t>=</w:t>
      </w:r>
      <w:r w:rsidR="006F03A1">
        <w:t>0.0</w:t>
      </w:r>
      <w:r w:rsidR="00272BA6">
        <w:t>244</w:t>
      </w:r>
      <w:r w:rsidRPr="005A62C0">
        <w:t>). The same was true for the detection of CIN 2+ lesions</w:t>
      </w:r>
      <w:r>
        <w:t xml:space="preserve"> </w:t>
      </w:r>
      <w:r w:rsidRPr="005A62C0">
        <w:t xml:space="preserve">using </w:t>
      </w:r>
      <w:r w:rsidR="003C0082">
        <w:t>LBC</w:t>
      </w:r>
      <w:r w:rsidRPr="005A62C0">
        <w:t xml:space="preserve"> (97.19%; 95% CI 94.31–98.63 vs. 93.46%;</w:t>
      </w:r>
      <w:r>
        <w:t xml:space="preserve"> </w:t>
      </w:r>
      <w:r w:rsidRPr="005A62C0">
        <w:t>95% CI 90.21–95.68)</w:t>
      </w:r>
      <w:r w:rsidR="006F03A1" w:rsidRPr="006F03A1">
        <w:t xml:space="preserve"> </w:t>
      </w:r>
      <w:r w:rsidR="00C10926">
        <w:t>(Beerman</w:t>
      </w:r>
      <w:r w:rsidR="006F03A1">
        <w:t xml:space="preserve"> 200</w:t>
      </w:r>
      <w:r w:rsidR="00963888">
        <w:t>9</w:t>
      </w:r>
      <w:r w:rsidR="006F03A1">
        <w:t xml:space="preserve"> p.574)</w:t>
      </w:r>
      <w:r w:rsidRPr="005A62C0">
        <w:t>.</w:t>
      </w:r>
      <w:r w:rsidR="00D807E8">
        <w:t xml:space="preserve"> </w:t>
      </w:r>
    </w:p>
    <w:p w:rsidR="005A62C0" w:rsidRDefault="006F03A1" w:rsidP="00C10926">
      <w:r w:rsidRPr="005A62C0">
        <w:t>The</w:t>
      </w:r>
      <w:r>
        <w:t xml:space="preserve"> </w:t>
      </w:r>
      <w:r w:rsidRPr="005A62C0">
        <w:t>s</w:t>
      </w:r>
      <w:r>
        <w:t>pecificity</w:t>
      </w:r>
      <w:r w:rsidRPr="005A62C0">
        <w:t xml:space="preserve"> for</w:t>
      </w:r>
      <w:r>
        <w:t xml:space="preserve"> the</w:t>
      </w:r>
      <w:r w:rsidRPr="005A62C0">
        <w:t xml:space="preserve"> detection of a histological proven lesion (CIN 1+) </w:t>
      </w:r>
      <w:r>
        <w:t xml:space="preserve">based on an ASCUS+ index test </w:t>
      </w:r>
      <w:r w:rsidRPr="005A62C0">
        <w:t>is</w:t>
      </w:r>
      <w:r>
        <w:t xml:space="preserve"> </w:t>
      </w:r>
      <w:r w:rsidRPr="005A62C0">
        <w:t xml:space="preserve">significantly </w:t>
      </w:r>
      <w:r>
        <w:t>low</w:t>
      </w:r>
      <w:r w:rsidRPr="005A62C0">
        <w:t xml:space="preserve">er </w:t>
      </w:r>
      <w:r>
        <w:t>with cell enrichment</w:t>
      </w:r>
      <w:r w:rsidRPr="005A62C0">
        <w:t xml:space="preserve"> </w:t>
      </w:r>
      <w:r>
        <w:t xml:space="preserve">LBC </w:t>
      </w:r>
      <w:r w:rsidRPr="005A62C0">
        <w:t xml:space="preserve">compared to conventional </w:t>
      </w:r>
      <w:r>
        <w:t>cytology (9</w:t>
      </w:r>
      <w:r w:rsidR="0017130A">
        <w:t>7.75</w:t>
      </w:r>
      <w:r>
        <w:t>%</w:t>
      </w:r>
      <w:r w:rsidRPr="005A62C0">
        <w:t xml:space="preserve"> vs. 9</w:t>
      </w:r>
      <w:r w:rsidR="0017130A">
        <w:t>8.17</w:t>
      </w:r>
      <w:r w:rsidRPr="005A62C0">
        <w:t>%</w:t>
      </w:r>
      <w:r>
        <w:t xml:space="preserve">, OR </w:t>
      </w:r>
      <w:r w:rsidR="0017130A">
        <w:t>0.81</w:t>
      </w:r>
      <w:r>
        <w:t>, 95%</w:t>
      </w:r>
      <w:r w:rsidR="00C10926">
        <w:t xml:space="preserve"> </w:t>
      </w:r>
      <w:r w:rsidRPr="005A62C0">
        <w:t xml:space="preserve">CI </w:t>
      </w:r>
      <w:r w:rsidR="0017130A">
        <w:t>0.73</w:t>
      </w:r>
      <w:r>
        <w:t xml:space="preserve"> to </w:t>
      </w:r>
      <w:r w:rsidR="0017130A">
        <w:t>0.89</w:t>
      </w:r>
      <w:r w:rsidR="00C10926">
        <w:t xml:space="preserve">, P </w:t>
      </w:r>
      <w:r>
        <w:t>&lt;</w:t>
      </w:r>
      <w:r w:rsidR="00C10926">
        <w:t xml:space="preserve"> </w:t>
      </w:r>
      <w:r>
        <w:t>0.0001</w:t>
      </w:r>
      <w:r w:rsidRPr="005A62C0">
        <w:t>)</w:t>
      </w:r>
      <w:r w:rsidR="00F77239">
        <w:t>.</w:t>
      </w:r>
      <w:r w:rsidR="00042A00">
        <w:t xml:space="preserve"> </w:t>
      </w:r>
    </w:p>
    <w:p w:rsidR="005A730E" w:rsidRDefault="005A730E" w:rsidP="00C10926">
      <w:r>
        <w:t xml:space="preserve">It is noted that the absolute difference in increased </w:t>
      </w:r>
      <w:r w:rsidR="00A075C2">
        <w:t xml:space="preserve">sensitivity </w:t>
      </w:r>
      <w:r>
        <w:t xml:space="preserve">is in the order of 4% whereas the decrease in </w:t>
      </w:r>
      <w:r w:rsidR="00A075C2">
        <w:t xml:space="preserve">specificity </w:t>
      </w:r>
      <w:r>
        <w:t xml:space="preserve">is </w:t>
      </w:r>
      <w:r w:rsidR="00A075C2">
        <w:t>0.5</w:t>
      </w:r>
      <w:r>
        <w:t>%.</w:t>
      </w:r>
    </w:p>
    <w:p w:rsidR="002561B1" w:rsidRDefault="002561B1" w:rsidP="002561B1">
      <w:pPr>
        <w:pStyle w:val="Caption"/>
      </w:pPr>
      <w:bookmarkStart w:id="393" w:name="_Ref332828410"/>
      <w:bookmarkStart w:id="394" w:name="_Toc331766480"/>
      <w:bookmarkStart w:id="395" w:name="_Toc335666016"/>
      <w:bookmarkStart w:id="396" w:name="_Toc337546987"/>
      <w:r>
        <w:lastRenderedPageBreak/>
        <w:t xml:space="preserve">Table </w:t>
      </w:r>
      <w:fldSimple w:instr=" SEQ Table \* ARABIC ">
        <w:r w:rsidR="003361A8">
          <w:rPr>
            <w:noProof/>
          </w:rPr>
          <w:t>50</w:t>
        </w:r>
      </w:fldSimple>
      <w:bookmarkEnd w:id="393"/>
      <w:r w:rsidR="007E7C62">
        <w:tab/>
        <w:t>Sensitivity and specificity—</w:t>
      </w:r>
      <w:r w:rsidR="00C10926">
        <w:t>CC</w:t>
      </w:r>
      <w:r>
        <w:t xml:space="preserve"> versus </w:t>
      </w:r>
      <w:r w:rsidR="00F757FF">
        <w:t xml:space="preserve">cell enrichment </w:t>
      </w:r>
      <w:r w:rsidR="00C10926">
        <w:t xml:space="preserve">LBC: Beerman </w:t>
      </w:r>
      <w:r>
        <w:t>2009</w:t>
      </w:r>
      <w:bookmarkEnd w:id="394"/>
      <w:bookmarkEnd w:id="395"/>
      <w:bookmarkEnd w:id="39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5"/>
        <w:gridCol w:w="2962"/>
        <w:gridCol w:w="2964"/>
      </w:tblGrid>
      <w:tr w:rsidR="002561B1" w:rsidRPr="00C10926" w:rsidTr="005F6015">
        <w:tc>
          <w:tcPr>
            <w:tcW w:w="2965" w:type="dxa"/>
          </w:tcPr>
          <w:p w:rsidR="002561B1" w:rsidRPr="00C10926" w:rsidRDefault="002561B1" w:rsidP="002561B1">
            <w:pPr>
              <w:pStyle w:val="Tabletext"/>
              <w:rPr>
                <w:b/>
              </w:rPr>
            </w:pPr>
          </w:p>
        </w:tc>
        <w:tc>
          <w:tcPr>
            <w:tcW w:w="2962" w:type="dxa"/>
          </w:tcPr>
          <w:p w:rsidR="002561B1" w:rsidRPr="00C10926" w:rsidRDefault="002561B1" w:rsidP="002561B1">
            <w:pPr>
              <w:pStyle w:val="Tabletext"/>
              <w:rPr>
                <w:b/>
              </w:rPr>
            </w:pPr>
            <w:r w:rsidRPr="00C10926">
              <w:rPr>
                <w:b/>
              </w:rPr>
              <w:t>Sens</w:t>
            </w:r>
            <w:r w:rsidR="00C10926">
              <w:rPr>
                <w:b/>
              </w:rPr>
              <w:t>itivity (95% CI</w:t>
            </w:r>
            <w:r w:rsidRPr="00C10926">
              <w:rPr>
                <w:b/>
              </w:rPr>
              <w:t>)</w:t>
            </w:r>
          </w:p>
        </w:tc>
        <w:tc>
          <w:tcPr>
            <w:tcW w:w="2964" w:type="dxa"/>
          </w:tcPr>
          <w:p w:rsidR="002561B1" w:rsidRPr="00C10926" w:rsidRDefault="002561B1" w:rsidP="002561B1">
            <w:pPr>
              <w:pStyle w:val="Tabletext"/>
              <w:rPr>
                <w:b/>
              </w:rPr>
            </w:pPr>
            <w:r w:rsidRPr="00C10926">
              <w:rPr>
                <w:b/>
              </w:rPr>
              <w:t>Specificity</w:t>
            </w:r>
            <w:r w:rsidR="00C10926">
              <w:rPr>
                <w:b/>
              </w:rPr>
              <w:t xml:space="preserve"> </w:t>
            </w:r>
            <w:r w:rsidRPr="00C10926">
              <w:rPr>
                <w:b/>
              </w:rPr>
              <w:t xml:space="preserve">(95% </w:t>
            </w:r>
            <w:r w:rsidR="00C10926">
              <w:rPr>
                <w:b/>
              </w:rPr>
              <w:t>CI</w:t>
            </w:r>
            <w:r w:rsidRPr="00C10926">
              <w:rPr>
                <w:b/>
              </w:rPr>
              <w:t>)</w:t>
            </w:r>
          </w:p>
        </w:tc>
      </w:tr>
      <w:tr w:rsidR="002561B1" w:rsidTr="005F6015">
        <w:tc>
          <w:tcPr>
            <w:tcW w:w="2965" w:type="dxa"/>
          </w:tcPr>
          <w:p w:rsidR="002561B1" w:rsidRDefault="00C10926" w:rsidP="002561B1">
            <w:pPr>
              <w:pStyle w:val="Tabletext"/>
            </w:pPr>
            <w:r>
              <w:t>LBC (cell e</w:t>
            </w:r>
            <w:r w:rsidR="00F757FF">
              <w:t>nrichment</w:t>
            </w:r>
            <w:r w:rsidR="002561B1">
              <w:t>)</w:t>
            </w:r>
          </w:p>
        </w:tc>
        <w:tc>
          <w:tcPr>
            <w:tcW w:w="2962" w:type="dxa"/>
          </w:tcPr>
          <w:p w:rsidR="002561B1" w:rsidRDefault="002561B1" w:rsidP="002561B1">
            <w:pPr>
              <w:pStyle w:val="Tabletext"/>
            </w:pPr>
            <w:r>
              <w:t>96.24 (93.54, 97.84)</w:t>
            </w:r>
          </w:p>
        </w:tc>
        <w:tc>
          <w:tcPr>
            <w:tcW w:w="2964" w:type="dxa"/>
          </w:tcPr>
          <w:p w:rsidR="002561B1" w:rsidRDefault="002561B1" w:rsidP="002561B1">
            <w:pPr>
              <w:pStyle w:val="Tabletext"/>
            </w:pPr>
            <w:r>
              <w:t>97.75 (97.58, 97.90)</w:t>
            </w:r>
          </w:p>
        </w:tc>
      </w:tr>
      <w:tr w:rsidR="002561B1" w:rsidTr="005F6015">
        <w:tc>
          <w:tcPr>
            <w:tcW w:w="2965" w:type="dxa"/>
          </w:tcPr>
          <w:p w:rsidR="002561B1" w:rsidRDefault="002561B1" w:rsidP="002561B1">
            <w:pPr>
              <w:pStyle w:val="Tabletext"/>
            </w:pPr>
            <w:r>
              <w:t>Conventional cytology</w:t>
            </w:r>
          </w:p>
        </w:tc>
        <w:tc>
          <w:tcPr>
            <w:tcW w:w="2962" w:type="dxa"/>
          </w:tcPr>
          <w:p w:rsidR="002561B1" w:rsidRDefault="002561B1" w:rsidP="002561B1">
            <w:pPr>
              <w:pStyle w:val="Tabletext"/>
            </w:pPr>
            <w:r>
              <w:t>92.04 (88.87, 94.37)</w:t>
            </w:r>
          </w:p>
        </w:tc>
        <w:tc>
          <w:tcPr>
            <w:tcW w:w="2964" w:type="dxa"/>
          </w:tcPr>
          <w:p w:rsidR="002561B1" w:rsidRDefault="002561B1" w:rsidP="002561B1">
            <w:pPr>
              <w:pStyle w:val="Tabletext"/>
            </w:pPr>
            <w:r>
              <w:t>98.17 (98.05, 98.28)</w:t>
            </w:r>
          </w:p>
        </w:tc>
      </w:tr>
      <w:tr w:rsidR="00473C72" w:rsidTr="005F6015">
        <w:tc>
          <w:tcPr>
            <w:tcW w:w="2965" w:type="dxa"/>
          </w:tcPr>
          <w:p w:rsidR="00473C72" w:rsidRDefault="006030C2" w:rsidP="006030C2">
            <w:pPr>
              <w:pStyle w:val="Tabletext"/>
            </w:pPr>
            <w:r>
              <w:t xml:space="preserve">OR </w:t>
            </w:r>
            <w:r w:rsidR="00473C72">
              <w:t>(95%</w:t>
            </w:r>
            <w:r w:rsidR="00C10926">
              <w:t xml:space="preserve"> CI), P</w:t>
            </w:r>
            <w:r w:rsidR="00473C72">
              <w:t xml:space="preserve"> value</w:t>
            </w:r>
          </w:p>
        </w:tc>
        <w:tc>
          <w:tcPr>
            <w:tcW w:w="2962" w:type="dxa"/>
          </w:tcPr>
          <w:p w:rsidR="00473C72" w:rsidRDefault="00272BA6" w:rsidP="00272BA6">
            <w:pPr>
              <w:pStyle w:val="Tabletext"/>
            </w:pPr>
            <w:r>
              <w:t>2.23</w:t>
            </w:r>
            <w:r w:rsidR="00C10926">
              <w:t xml:space="preserve"> </w:t>
            </w:r>
            <w:r w:rsidR="006030C2">
              <w:t>(1.1</w:t>
            </w:r>
            <w:r>
              <w:t>2</w:t>
            </w:r>
            <w:r w:rsidR="006030C2">
              <w:t>, 4.4</w:t>
            </w:r>
            <w:r>
              <w:t>2</w:t>
            </w:r>
            <w:r w:rsidR="00C10926">
              <w:t>), P</w:t>
            </w:r>
            <w:r>
              <w:t>=</w:t>
            </w:r>
            <w:r w:rsidR="006030C2">
              <w:t>0.0</w:t>
            </w:r>
            <w:r>
              <w:t>244</w:t>
            </w:r>
          </w:p>
        </w:tc>
        <w:tc>
          <w:tcPr>
            <w:tcW w:w="2964" w:type="dxa"/>
          </w:tcPr>
          <w:p w:rsidR="00473C72" w:rsidRDefault="00C10926" w:rsidP="002561B1">
            <w:pPr>
              <w:pStyle w:val="Tabletext"/>
            </w:pPr>
            <w:r>
              <w:t xml:space="preserve">0.81 (0.73,0.89), P </w:t>
            </w:r>
            <w:r w:rsidR="006030C2">
              <w:t>&lt;</w:t>
            </w:r>
            <w:r>
              <w:t xml:space="preserve"> </w:t>
            </w:r>
            <w:r w:rsidR="006030C2">
              <w:t>0.0001</w:t>
            </w:r>
          </w:p>
        </w:tc>
      </w:tr>
      <w:tr w:rsidR="005F6015" w:rsidTr="005F6015">
        <w:tc>
          <w:tcPr>
            <w:tcW w:w="2965" w:type="dxa"/>
          </w:tcPr>
          <w:p w:rsidR="005F6015" w:rsidRDefault="005F6015" w:rsidP="006030C2">
            <w:pPr>
              <w:pStyle w:val="Tabletext"/>
            </w:pPr>
            <w:r>
              <w:t>Source</w:t>
            </w:r>
          </w:p>
        </w:tc>
        <w:tc>
          <w:tcPr>
            <w:tcW w:w="5926" w:type="dxa"/>
            <w:gridSpan w:val="2"/>
          </w:tcPr>
          <w:p w:rsidR="005F6015" w:rsidRDefault="005F6015" w:rsidP="002561B1">
            <w:pPr>
              <w:pStyle w:val="Tabletext"/>
            </w:pPr>
            <w:r>
              <w:t>Beerman 2009 Table 3, Attachment 4</w:t>
            </w:r>
          </w:p>
        </w:tc>
      </w:tr>
    </w:tbl>
    <w:p w:rsidR="002561B1" w:rsidRDefault="00E377CC" w:rsidP="00683A5F">
      <w:pPr>
        <w:pStyle w:val="Tabletext"/>
      </w:pPr>
      <w:r>
        <w:t>Abbreviations: CI, confidence interval; LBC, liquid-based cytology; OR, odds ratio</w:t>
      </w:r>
      <w:r>
        <w:br/>
      </w:r>
      <w:r w:rsidR="00702AD5">
        <w:t>Note: Include unsatisfactory specimens</w:t>
      </w:r>
      <w:r w:rsidR="00D44FAE">
        <w:br/>
      </w:r>
      <w:r w:rsidR="00D44FAE" w:rsidRPr="00D44FAE">
        <w:t xml:space="preserve">An OR </w:t>
      </w:r>
      <w:r w:rsidR="00104F4C">
        <w:t>&gt;</w:t>
      </w:r>
      <w:r w:rsidR="00D44FAE" w:rsidRPr="00D44FAE">
        <w:t>1 indicates</w:t>
      </w:r>
      <w:r w:rsidR="00D44FAE">
        <w:t xml:space="preserve"> performance of LBC is better than CC</w:t>
      </w:r>
    </w:p>
    <w:p w:rsidR="00C569E0" w:rsidRPr="002561B1" w:rsidRDefault="00C569E0" w:rsidP="00C569E0">
      <w:pPr>
        <w:pStyle w:val="Heading50"/>
      </w:pPr>
      <w:r>
        <w:t xml:space="preserve">Cell filtration LBC </w:t>
      </w:r>
      <w:r w:rsidR="003B6229">
        <w:t>vs.</w:t>
      </w:r>
      <w:r>
        <w:t xml:space="preserve"> </w:t>
      </w:r>
      <w:r w:rsidR="00C10926">
        <w:t>CC</w:t>
      </w:r>
    </w:p>
    <w:p w:rsidR="00470D2B" w:rsidRPr="00C439C8" w:rsidRDefault="00470D2B" w:rsidP="00683A5F">
      <w:r w:rsidRPr="004D7D39">
        <w:t xml:space="preserve">Histopathology diagnoses were searched for </w:t>
      </w:r>
      <w:r w:rsidR="00C10926">
        <w:t>by Strander 2007</w:t>
      </w:r>
      <w:r>
        <w:t xml:space="preserve"> in a Swedish </w:t>
      </w:r>
      <w:r w:rsidRPr="004D7D39">
        <w:t>Regional Database for Prevention of Cervical Cancer,</w:t>
      </w:r>
      <w:r>
        <w:t xml:space="preserve"> which covered</w:t>
      </w:r>
      <w:r w:rsidRPr="004D7D39">
        <w:t xml:space="preserve"> </w:t>
      </w:r>
      <w:r>
        <w:t>the</w:t>
      </w:r>
      <w:r w:rsidRPr="004D7D39">
        <w:t xml:space="preserve"> laboratories in</w:t>
      </w:r>
      <w:r>
        <w:t>volved in the trial</w:t>
      </w:r>
      <w:r w:rsidRPr="004D7D39">
        <w:t>, including,</w:t>
      </w:r>
      <w:r>
        <w:t xml:space="preserve"> </w:t>
      </w:r>
      <w:r w:rsidRPr="004D7D39">
        <w:t>among other data, all histopathology related to</w:t>
      </w:r>
      <w:r>
        <w:t xml:space="preserve"> </w:t>
      </w:r>
      <w:r w:rsidRPr="004D7D39">
        <w:t>cervical disease (biopsies, cones, and hysterectomy</w:t>
      </w:r>
      <w:r>
        <w:t xml:space="preserve"> </w:t>
      </w:r>
      <w:r w:rsidRPr="004D7D39">
        <w:t xml:space="preserve">specimens). </w:t>
      </w:r>
      <w:r>
        <w:t xml:space="preserve">The database was searched for any histological outcomes for patients in the trial </w:t>
      </w:r>
      <w:r w:rsidRPr="000812DC">
        <w:t>at 1.5 years</w:t>
      </w:r>
      <w:r>
        <w:t xml:space="preserve"> after patients were screened and enabled the detection of any false negative cytological reports. </w:t>
      </w:r>
    </w:p>
    <w:p w:rsidR="00470D2B" w:rsidRDefault="00470D2B" w:rsidP="00470D2B">
      <w:r>
        <w:t>The contingency table with the correlation of index test (ASCUS+) and histological outcome (CIN</w:t>
      </w:r>
      <w:r w:rsidR="00C10926">
        <w:t xml:space="preserve"> </w:t>
      </w:r>
      <w:r>
        <w:t>1+) was generated for the purposes of the submission from da</w:t>
      </w:r>
      <w:r w:rsidR="00C10926">
        <w:t>ta reported by Strander 2007</w:t>
      </w:r>
      <w:r>
        <w:t xml:space="preserve">. The correlation, calculated sensitivity, specificity, positive and negative predictive value for the cell </w:t>
      </w:r>
      <w:r w:rsidR="00F757FF">
        <w:t>filtration</w:t>
      </w:r>
      <w:r w:rsidR="00C10926">
        <w:t xml:space="preserve"> LBC arm are</w:t>
      </w:r>
      <w:r>
        <w:t xml:space="preserve"> presented in </w:t>
      </w:r>
      <w:r w:rsidR="00086C77">
        <w:fldChar w:fldCharType="begin"/>
      </w:r>
      <w:r>
        <w:instrText xml:space="preserve"> REF _Ref332828351 \h </w:instrText>
      </w:r>
      <w:r w:rsidR="00086C77">
        <w:fldChar w:fldCharType="separate"/>
      </w:r>
      <w:r w:rsidR="003361A8">
        <w:t xml:space="preserve">Table </w:t>
      </w:r>
      <w:r w:rsidR="003361A8">
        <w:rPr>
          <w:noProof/>
        </w:rPr>
        <w:t>51</w:t>
      </w:r>
      <w:r w:rsidR="00086C77">
        <w:fldChar w:fldCharType="end"/>
      </w:r>
      <w:r>
        <w:t xml:space="preserve"> and the conventional arm in </w:t>
      </w:r>
      <w:r w:rsidR="00086C77">
        <w:fldChar w:fldCharType="begin"/>
      </w:r>
      <w:r>
        <w:instrText xml:space="preserve"> REF _Ref332828360 \h </w:instrText>
      </w:r>
      <w:r w:rsidR="00086C77">
        <w:fldChar w:fldCharType="separate"/>
      </w:r>
      <w:r w:rsidR="003361A8">
        <w:t xml:space="preserve">Table </w:t>
      </w:r>
      <w:r w:rsidR="003361A8">
        <w:rPr>
          <w:noProof/>
        </w:rPr>
        <w:t>52</w:t>
      </w:r>
      <w:r w:rsidR="00086C77">
        <w:fldChar w:fldCharType="end"/>
      </w:r>
      <w:r>
        <w:t>. The sensitivity and specificity (and corresponding 95% confidence intervals) were then form</w:t>
      </w:r>
      <w:r w:rsidR="00BA768A">
        <w:t>ally calculated and compared (</w:t>
      </w:r>
      <w:r w:rsidR="00BA768A" w:rsidRPr="005F6015">
        <w:t xml:space="preserve">refer to </w:t>
      </w:r>
      <w:r w:rsidR="005F6015" w:rsidRPr="005F6015">
        <w:t>A</w:t>
      </w:r>
      <w:r w:rsidR="00BA768A" w:rsidRPr="005F6015">
        <w:t xml:space="preserve">ttachment </w:t>
      </w:r>
      <w:r w:rsidR="005F6015" w:rsidRPr="005F6015">
        <w:t>4</w:t>
      </w:r>
      <w:r w:rsidR="00BA768A" w:rsidRPr="005F6015">
        <w:t>)</w:t>
      </w:r>
      <w:r w:rsidRPr="005F6015">
        <w:t xml:space="preserve"> and are presented</w:t>
      </w:r>
      <w:r>
        <w:t xml:space="preserve"> in </w:t>
      </w:r>
      <w:r w:rsidR="00086C77">
        <w:fldChar w:fldCharType="begin"/>
      </w:r>
      <w:r>
        <w:instrText xml:space="preserve"> REF _Ref334281221 \h </w:instrText>
      </w:r>
      <w:r w:rsidR="00086C77">
        <w:fldChar w:fldCharType="separate"/>
      </w:r>
      <w:r w:rsidR="003361A8">
        <w:t xml:space="preserve">Table </w:t>
      </w:r>
      <w:r w:rsidR="003361A8">
        <w:rPr>
          <w:noProof/>
        </w:rPr>
        <w:t>53</w:t>
      </w:r>
      <w:r w:rsidR="00086C77">
        <w:fldChar w:fldCharType="end"/>
      </w:r>
      <w:r>
        <w:t>.</w:t>
      </w:r>
    </w:p>
    <w:p w:rsidR="00470D2B" w:rsidRDefault="00224980" w:rsidP="00470D2B">
      <w:r>
        <w:t>No patients with benign cytology using cell filtration LBC had subsequent histology showing low grade or higher lesions (</w:t>
      </w:r>
      <w:r w:rsidR="00086C77">
        <w:fldChar w:fldCharType="begin"/>
      </w:r>
      <w:r>
        <w:instrText xml:space="preserve"> REF _Ref332828351 \h </w:instrText>
      </w:r>
      <w:r w:rsidR="00086C77">
        <w:fldChar w:fldCharType="separate"/>
      </w:r>
      <w:r w:rsidR="003361A8">
        <w:t xml:space="preserve">Table </w:t>
      </w:r>
      <w:r w:rsidR="003361A8">
        <w:rPr>
          <w:noProof/>
        </w:rPr>
        <w:t>51</w:t>
      </w:r>
      <w:r w:rsidR="00086C77">
        <w:fldChar w:fldCharType="end"/>
      </w:r>
      <w:r>
        <w:t xml:space="preserve">). </w:t>
      </w:r>
      <w:r w:rsidR="00470D2B">
        <w:t>A very small number of patients with a negative cytology (</w:t>
      </w:r>
      <w:r w:rsidR="003B6229">
        <w:t>i.e</w:t>
      </w:r>
      <w:r w:rsidR="00195600">
        <w:t>.</w:t>
      </w:r>
      <w:r w:rsidR="003B6229">
        <w:t xml:space="preserve"> benign</w:t>
      </w:r>
      <w:r w:rsidR="00470D2B">
        <w:t>)</w:t>
      </w:r>
      <w:r>
        <w:t xml:space="preserve"> using conventional cytology</w:t>
      </w:r>
      <w:r w:rsidR="00470D2B">
        <w:t xml:space="preserve"> were found to have unforeseen histology performed</w:t>
      </w:r>
      <w:r>
        <w:t xml:space="preserve"> within the window of follow up (</w:t>
      </w:r>
      <w:r w:rsidR="00673EC8">
        <w:t>n=</w:t>
      </w:r>
      <w:r>
        <w:t xml:space="preserve">5, </w:t>
      </w:r>
      <w:r w:rsidR="00470D2B">
        <w:t>0.06%)</w:t>
      </w:r>
      <w:r>
        <w:t xml:space="preserve"> </w:t>
      </w:r>
      <w:proofErr w:type="gramStart"/>
      <w:r>
        <w:t>(</w:t>
      </w:r>
      <w:r w:rsidR="00086C77">
        <w:fldChar w:fldCharType="begin"/>
      </w:r>
      <w:r>
        <w:instrText xml:space="preserve"> REF _Ref332828360 \h </w:instrText>
      </w:r>
      <w:r w:rsidR="00086C77">
        <w:fldChar w:fldCharType="separate"/>
      </w:r>
      <w:r w:rsidR="003361A8">
        <w:t xml:space="preserve">Table </w:t>
      </w:r>
      <w:r w:rsidR="003361A8">
        <w:rPr>
          <w:noProof/>
        </w:rPr>
        <w:t>52</w:t>
      </w:r>
      <w:r w:rsidR="00086C77">
        <w:fldChar w:fldCharType="end"/>
      </w:r>
      <w:r>
        <w:t>)</w:t>
      </w:r>
      <w:r w:rsidR="00470D2B">
        <w:t>.</w:t>
      </w:r>
      <w:proofErr w:type="gramEnd"/>
      <w:r w:rsidR="00470D2B">
        <w:t xml:space="preserve"> </w:t>
      </w:r>
    </w:p>
    <w:p w:rsidR="00470D2B" w:rsidRDefault="00470D2B" w:rsidP="00470D2B">
      <w:pPr>
        <w:pStyle w:val="Tablenotes"/>
        <w:spacing w:after="0"/>
        <w:rPr>
          <w:rFonts w:ascii="Californian FB" w:hAnsi="Californian FB"/>
          <w:sz w:val="22"/>
          <w:szCs w:val="24"/>
        </w:rPr>
      </w:pPr>
    </w:p>
    <w:p w:rsidR="00470D2B" w:rsidRDefault="00470D2B" w:rsidP="00470D2B">
      <w:pPr>
        <w:pStyle w:val="Caption"/>
      </w:pPr>
      <w:bookmarkStart w:id="397" w:name="_Ref332828351"/>
      <w:bookmarkStart w:id="398" w:name="_Toc331766484"/>
      <w:bookmarkStart w:id="399" w:name="_Toc335666017"/>
      <w:bookmarkStart w:id="400" w:name="_Toc337546988"/>
      <w:r>
        <w:lastRenderedPageBreak/>
        <w:t xml:space="preserve">Table </w:t>
      </w:r>
      <w:fldSimple w:instr=" SEQ Table \* ARABIC ">
        <w:r w:rsidR="003361A8">
          <w:rPr>
            <w:noProof/>
          </w:rPr>
          <w:t>51</w:t>
        </w:r>
      </w:fldSimple>
      <w:bookmarkEnd w:id="397"/>
      <w:r w:rsidR="00C10926">
        <w:tab/>
        <w:t>Contingency t</w:t>
      </w:r>
      <w:r w:rsidR="007E7C62">
        <w:t>able—</w:t>
      </w:r>
      <w:r w:rsidR="00C10926">
        <w:t>cell f</w:t>
      </w:r>
      <w:r w:rsidR="00F757FF">
        <w:t xml:space="preserve">iltration </w:t>
      </w:r>
      <w:r>
        <w:t>LBC</w:t>
      </w:r>
      <w:r w:rsidR="00C10926">
        <w:t xml:space="preserve">:  Strander </w:t>
      </w:r>
      <w:r>
        <w:t>2007</w:t>
      </w:r>
      <w:bookmarkEnd w:id="398"/>
      <w:bookmarkEnd w:id="399"/>
      <w:bookmarkEnd w:id="40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1326"/>
        <w:gridCol w:w="1816"/>
        <w:gridCol w:w="1664"/>
        <w:gridCol w:w="1664"/>
      </w:tblGrid>
      <w:tr w:rsidR="00470D2B" w:rsidRPr="00683A5F" w:rsidTr="00683A5F">
        <w:tc>
          <w:tcPr>
            <w:tcW w:w="1361" w:type="pct"/>
            <w:tcBorders>
              <w:top w:val="nil"/>
              <w:left w:val="nil"/>
              <w:bottom w:val="nil"/>
              <w:right w:val="nil"/>
            </w:tcBorders>
          </w:tcPr>
          <w:p w:rsidR="00470D2B" w:rsidRPr="00683A5F" w:rsidRDefault="00470D2B" w:rsidP="00470D2B">
            <w:pPr>
              <w:pStyle w:val="Tabletext"/>
              <w:rPr>
                <w:b/>
              </w:rPr>
            </w:pPr>
          </w:p>
        </w:tc>
        <w:tc>
          <w:tcPr>
            <w:tcW w:w="745" w:type="pct"/>
            <w:tcBorders>
              <w:top w:val="nil"/>
              <w:left w:val="nil"/>
              <w:bottom w:val="nil"/>
              <w:right w:val="single" w:sz="4" w:space="0" w:color="auto"/>
            </w:tcBorders>
          </w:tcPr>
          <w:p w:rsidR="00470D2B" w:rsidRPr="00683A5F" w:rsidRDefault="00470D2B" w:rsidP="00470D2B">
            <w:pPr>
              <w:pStyle w:val="Tabletext"/>
              <w:rPr>
                <w:b/>
              </w:rPr>
            </w:pPr>
          </w:p>
        </w:tc>
        <w:tc>
          <w:tcPr>
            <w:tcW w:w="2893" w:type="pct"/>
            <w:gridSpan w:val="3"/>
            <w:tcBorders>
              <w:left w:val="single" w:sz="4" w:space="0" w:color="auto"/>
            </w:tcBorders>
          </w:tcPr>
          <w:p w:rsidR="00470D2B" w:rsidRPr="00683A5F" w:rsidRDefault="00683A5F" w:rsidP="00470D2B">
            <w:pPr>
              <w:pStyle w:val="Tabletext"/>
              <w:rPr>
                <w:b/>
              </w:rPr>
            </w:pPr>
            <w:r w:rsidRPr="00683A5F">
              <w:rPr>
                <w:b/>
              </w:rPr>
              <w:t>Reference standard (h</w:t>
            </w:r>
            <w:r w:rsidR="00470D2B" w:rsidRPr="00683A5F">
              <w:rPr>
                <w:b/>
              </w:rPr>
              <w:t>istology, threshold CIN 1+)</w:t>
            </w:r>
          </w:p>
        </w:tc>
      </w:tr>
      <w:tr w:rsidR="00470D2B" w:rsidRPr="00683A5F" w:rsidTr="00683A5F">
        <w:tc>
          <w:tcPr>
            <w:tcW w:w="1361" w:type="pct"/>
            <w:tcBorders>
              <w:top w:val="nil"/>
              <w:left w:val="nil"/>
              <w:bottom w:val="single" w:sz="4" w:space="0" w:color="auto"/>
              <w:right w:val="nil"/>
            </w:tcBorders>
          </w:tcPr>
          <w:p w:rsidR="00470D2B" w:rsidRPr="00683A5F" w:rsidRDefault="00470D2B" w:rsidP="00470D2B">
            <w:pPr>
              <w:pStyle w:val="Tabletext"/>
              <w:rPr>
                <w:b/>
              </w:rPr>
            </w:pPr>
          </w:p>
        </w:tc>
        <w:tc>
          <w:tcPr>
            <w:tcW w:w="745" w:type="pct"/>
            <w:tcBorders>
              <w:top w:val="nil"/>
              <w:left w:val="nil"/>
              <w:bottom w:val="single" w:sz="4" w:space="0" w:color="auto"/>
              <w:right w:val="single" w:sz="4" w:space="0" w:color="auto"/>
            </w:tcBorders>
          </w:tcPr>
          <w:p w:rsidR="00470D2B" w:rsidRPr="00683A5F" w:rsidRDefault="00470D2B" w:rsidP="00470D2B">
            <w:pPr>
              <w:pStyle w:val="Tabletext"/>
              <w:rPr>
                <w:b/>
              </w:rPr>
            </w:pPr>
          </w:p>
        </w:tc>
        <w:tc>
          <w:tcPr>
            <w:tcW w:w="1021" w:type="pct"/>
            <w:tcBorders>
              <w:left w:val="single" w:sz="4" w:space="0" w:color="auto"/>
            </w:tcBorders>
          </w:tcPr>
          <w:p w:rsidR="00470D2B" w:rsidRPr="00683A5F" w:rsidRDefault="00470D2B" w:rsidP="00470D2B">
            <w:pPr>
              <w:pStyle w:val="Tabletext"/>
              <w:rPr>
                <w:b/>
              </w:rPr>
            </w:pPr>
            <w:r w:rsidRPr="00683A5F">
              <w:rPr>
                <w:b/>
              </w:rPr>
              <w:t>Positive</w:t>
            </w:r>
          </w:p>
        </w:tc>
        <w:tc>
          <w:tcPr>
            <w:tcW w:w="936" w:type="pct"/>
          </w:tcPr>
          <w:p w:rsidR="00470D2B" w:rsidRPr="00683A5F" w:rsidRDefault="00470D2B" w:rsidP="00470D2B">
            <w:pPr>
              <w:pStyle w:val="Tabletext"/>
              <w:rPr>
                <w:b/>
              </w:rPr>
            </w:pPr>
            <w:r w:rsidRPr="00683A5F">
              <w:rPr>
                <w:b/>
              </w:rPr>
              <w:t>Negative</w:t>
            </w:r>
          </w:p>
        </w:tc>
        <w:tc>
          <w:tcPr>
            <w:tcW w:w="936" w:type="pct"/>
          </w:tcPr>
          <w:p w:rsidR="00470D2B" w:rsidRPr="00683A5F" w:rsidRDefault="00470D2B" w:rsidP="00470D2B">
            <w:pPr>
              <w:pStyle w:val="Tabletext"/>
              <w:rPr>
                <w:b/>
              </w:rPr>
            </w:pPr>
          </w:p>
        </w:tc>
      </w:tr>
      <w:tr w:rsidR="00470D2B" w:rsidTr="00683A5F">
        <w:tc>
          <w:tcPr>
            <w:tcW w:w="1361" w:type="pct"/>
            <w:vMerge w:val="restart"/>
            <w:tcBorders>
              <w:top w:val="single" w:sz="4" w:space="0" w:color="auto"/>
              <w:left w:val="single" w:sz="4" w:space="0" w:color="auto"/>
              <w:right w:val="single" w:sz="4" w:space="0" w:color="auto"/>
            </w:tcBorders>
          </w:tcPr>
          <w:p w:rsidR="00470D2B" w:rsidRDefault="00470D2B" w:rsidP="00F757FF">
            <w:pPr>
              <w:pStyle w:val="Tabletext"/>
            </w:pPr>
            <w:r>
              <w:t>Index test, ASCUS+ (</w:t>
            </w:r>
            <w:r w:rsidR="00F757FF">
              <w:t xml:space="preserve">cell filtration </w:t>
            </w:r>
            <w:r>
              <w:t>LBC</w:t>
            </w:r>
            <w:r w:rsidR="00F757FF">
              <w:t>)</w:t>
            </w:r>
          </w:p>
        </w:tc>
        <w:tc>
          <w:tcPr>
            <w:tcW w:w="745" w:type="pct"/>
            <w:tcBorders>
              <w:top w:val="single" w:sz="4" w:space="0" w:color="auto"/>
              <w:left w:val="single" w:sz="4" w:space="0" w:color="auto"/>
              <w:bottom w:val="single" w:sz="4" w:space="0" w:color="auto"/>
              <w:right w:val="single" w:sz="4" w:space="0" w:color="auto"/>
            </w:tcBorders>
          </w:tcPr>
          <w:p w:rsidR="00470D2B" w:rsidRDefault="00470D2B" w:rsidP="00470D2B">
            <w:pPr>
              <w:pStyle w:val="Tabletext"/>
            </w:pPr>
            <w:r>
              <w:t>Positive</w:t>
            </w:r>
          </w:p>
        </w:tc>
        <w:tc>
          <w:tcPr>
            <w:tcW w:w="1021" w:type="pct"/>
            <w:tcBorders>
              <w:left w:val="single" w:sz="4" w:space="0" w:color="auto"/>
            </w:tcBorders>
          </w:tcPr>
          <w:p w:rsidR="00470D2B" w:rsidRDefault="00470D2B" w:rsidP="00470D2B">
            <w:pPr>
              <w:pStyle w:val="Tabletext"/>
            </w:pPr>
            <w:r>
              <w:t>81</w:t>
            </w:r>
          </w:p>
        </w:tc>
        <w:tc>
          <w:tcPr>
            <w:tcW w:w="936" w:type="pct"/>
          </w:tcPr>
          <w:p w:rsidR="00470D2B" w:rsidRDefault="00470D2B" w:rsidP="00470D2B">
            <w:pPr>
              <w:pStyle w:val="Tabletext"/>
            </w:pPr>
            <w:r>
              <w:t>105</w:t>
            </w:r>
            <w:r w:rsidRPr="002C1A00">
              <w:rPr>
                <w:vertAlign w:val="superscript"/>
              </w:rPr>
              <w:t xml:space="preserve"> a</w:t>
            </w:r>
          </w:p>
        </w:tc>
        <w:tc>
          <w:tcPr>
            <w:tcW w:w="936" w:type="pct"/>
          </w:tcPr>
          <w:p w:rsidR="00470D2B" w:rsidRDefault="00331981" w:rsidP="00470D30">
            <w:pPr>
              <w:pStyle w:val="Tabletext"/>
            </w:pPr>
            <w:r>
              <w:t>PPV=81/186</w:t>
            </w:r>
            <w:r w:rsidR="00470D30">
              <w:br/>
            </w:r>
            <w:r w:rsidR="00447222">
              <w:t xml:space="preserve"> </w:t>
            </w:r>
            <w:r w:rsidR="005E0D57">
              <w:t>=</w:t>
            </w:r>
            <w:r w:rsidR="00447222">
              <w:t>0.4355</w:t>
            </w:r>
          </w:p>
        </w:tc>
      </w:tr>
      <w:tr w:rsidR="00470D2B" w:rsidTr="00683A5F">
        <w:tc>
          <w:tcPr>
            <w:tcW w:w="1361" w:type="pct"/>
            <w:vMerge/>
            <w:tcBorders>
              <w:left w:val="single" w:sz="4" w:space="0" w:color="auto"/>
              <w:right w:val="single" w:sz="4" w:space="0" w:color="auto"/>
            </w:tcBorders>
          </w:tcPr>
          <w:p w:rsidR="00470D2B" w:rsidRDefault="00470D2B" w:rsidP="00470D2B">
            <w:pPr>
              <w:pStyle w:val="Tabletext"/>
            </w:pPr>
          </w:p>
        </w:tc>
        <w:tc>
          <w:tcPr>
            <w:tcW w:w="745" w:type="pct"/>
            <w:tcBorders>
              <w:top w:val="single" w:sz="4" w:space="0" w:color="auto"/>
              <w:left w:val="single" w:sz="4" w:space="0" w:color="auto"/>
              <w:bottom w:val="single" w:sz="4" w:space="0" w:color="auto"/>
            </w:tcBorders>
          </w:tcPr>
          <w:p w:rsidR="00470D2B" w:rsidRDefault="00470D2B" w:rsidP="00470D2B">
            <w:pPr>
              <w:pStyle w:val="Tabletext"/>
            </w:pPr>
            <w:r>
              <w:t>Negative</w:t>
            </w:r>
          </w:p>
        </w:tc>
        <w:tc>
          <w:tcPr>
            <w:tcW w:w="1021" w:type="pct"/>
          </w:tcPr>
          <w:p w:rsidR="00470D2B" w:rsidRDefault="00470D2B" w:rsidP="00470D2B">
            <w:pPr>
              <w:pStyle w:val="Tabletext"/>
            </w:pPr>
            <w:r>
              <w:t>0</w:t>
            </w:r>
          </w:p>
        </w:tc>
        <w:tc>
          <w:tcPr>
            <w:tcW w:w="936" w:type="pct"/>
          </w:tcPr>
          <w:p w:rsidR="00470D2B" w:rsidRDefault="00470D2B" w:rsidP="00470D2B">
            <w:pPr>
              <w:pStyle w:val="Tabletext"/>
            </w:pPr>
            <w:r>
              <w:t>4470</w:t>
            </w:r>
            <w:r w:rsidRPr="002C1A00">
              <w:rPr>
                <w:vertAlign w:val="superscript"/>
              </w:rPr>
              <w:t>a</w:t>
            </w:r>
          </w:p>
        </w:tc>
        <w:tc>
          <w:tcPr>
            <w:tcW w:w="936" w:type="pct"/>
          </w:tcPr>
          <w:p w:rsidR="00470D2B" w:rsidRDefault="00447222" w:rsidP="00470D30">
            <w:pPr>
              <w:pStyle w:val="Tabletext"/>
            </w:pPr>
            <w:r>
              <w:t>NPV=4470/</w:t>
            </w:r>
            <w:r w:rsidR="00535600">
              <w:t>447</w:t>
            </w:r>
            <w:r w:rsidR="00470D30">
              <w:t>0</w:t>
            </w:r>
            <w:r w:rsidR="00470D30">
              <w:br/>
              <w:t xml:space="preserve"> </w:t>
            </w:r>
            <w:r w:rsidR="005E0D57">
              <w:t>=</w:t>
            </w:r>
            <w:r w:rsidR="00535600">
              <w:t>1</w:t>
            </w:r>
          </w:p>
        </w:tc>
      </w:tr>
      <w:tr w:rsidR="00470D2B" w:rsidTr="00683A5F">
        <w:tc>
          <w:tcPr>
            <w:tcW w:w="1361" w:type="pct"/>
            <w:tcBorders>
              <w:left w:val="single" w:sz="4" w:space="0" w:color="auto"/>
              <w:right w:val="single" w:sz="4" w:space="0" w:color="auto"/>
            </w:tcBorders>
          </w:tcPr>
          <w:p w:rsidR="00470D2B" w:rsidRDefault="00470D2B" w:rsidP="00470D2B">
            <w:pPr>
              <w:pStyle w:val="Tabletext"/>
            </w:pPr>
          </w:p>
        </w:tc>
        <w:tc>
          <w:tcPr>
            <w:tcW w:w="745" w:type="pct"/>
            <w:tcBorders>
              <w:top w:val="single" w:sz="4" w:space="0" w:color="auto"/>
              <w:left w:val="single" w:sz="4" w:space="0" w:color="auto"/>
            </w:tcBorders>
          </w:tcPr>
          <w:p w:rsidR="00470D2B" w:rsidRDefault="00470D2B" w:rsidP="00470D2B">
            <w:pPr>
              <w:pStyle w:val="Tabletext"/>
            </w:pPr>
          </w:p>
        </w:tc>
        <w:tc>
          <w:tcPr>
            <w:tcW w:w="1021" w:type="pct"/>
          </w:tcPr>
          <w:p w:rsidR="00470D2B" w:rsidRDefault="00470D2B" w:rsidP="00470D2B">
            <w:pPr>
              <w:pStyle w:val="Tabletext"/>
            </w:pPr>
            <w:r>
              <w:t>Sensitivity:</w:t>
            </w:r>
            <w:r>
              <w:br/>
            </w:r>
            <w:r w:rsidR="005E0D57">
              <w:t>=</w:t>
            </w:r>
            <w:r>
              <w:t>81/81</w:t>
            </w:r>
            <w:r>
              <w:br/>
              <w:t>=1.00</w:t>
            </w:r>
          </w:p>
        </w:tc>
        <w:tc>
          <w:tcPr>
            <w:tcW w:w="936" w:type="pct"/>
          </w:tcPr>
          <w:p w:rsidR="00470D2B" w:rsidRDefault="00470D2B" w:rsidP="00470D2B">
            <w:pPr>
              <w:pStyle w:val="Tabletext"/>
            </w:pPr>
            <w:r>
              <w:t>Specificity:</w:t>
            </w:r>
            <w:r>
              <w:br/>
              <w:t>=4470/4575</w:t>
            </w:r>
            <w:r>
              <w:br/>
              <w:t>=0.9770</w:t>
            </w:r>
          </w:p>
        </w:tc>
        <w:tc>
          <w:tcPr>
            <w:tcW w:w="936" w:type="pct"/>
          </w:tcPr>
          <w:p w:rsidR="00470D2B" w:rsidRDefault="00470D2B" w:rsidP="00470D2B">
            <w:pPr>
              <w:pStyle w:val="Tabletext"/>
            </w:pPr>
          </w:p>
        </w:tc>
      </w:tr>
    </w:tbl>
    <w:p w:rsidR="00470D2B" w:rsidRDefault="00470D2B" w:rsidP="00AA509D">
      <w:pPr>
        <w:pStyle w:val="Tabletext"/>
        <w:keepNext w:val="0"/>
        <w:numPr>
          <w:ilvl w:val="0"/>
          <w:numId w:val="16"/>
        </w:numPr>
      </w:pPr>
      <w:r>
        <w:t>Clinical management of atypical cytology and referral to colposcopy and treatment were performed as routine procedures within the screening program. ASCUS and CIN type 1 (CIN</w:t>
      </w:r>
      <w:r w:rsidR="00B83BAD">
        <w:t xml:space="preserve"> </w:t>
      </w:r>
      <w:r>
        <w:t>1) led either to colposcopy after 4 months or to a rep</w:t>
      </w:r>
      <w:r w:rsidR="00B83BAD">
        <w:t>eat smear. Therefore “no h</w:t>
      </w:r>
      <w:r>
        <w:t xml:space="preserve">istology” outcome was assumed to represent a benign or normal outcome for women with benign cytology and ASCUS+ given all women in the </w:t>
      </w:r>
      <w:r w:rsidR="003B6229">
        <w:t>latter</w:t>
      </w:r>
      <w:r>
        <w:t xml:space="preserve"> category would have</w:t>
      </w:r>
      <w:r w:rsidR="00192B9C">
        <w:t xml:space="preserve"> undergone follow up procedures</w:t>
      </w:r>
      <w:r w:rsidR="00192B9C">
        <w:br/>
      </w:r>
    </w:p>
    <w:p w:rsidR="00470D2B" w:rsidRDefault="00470D2B" w:rsidP="00470D2B">
      <w:pPr>
        <w:pStyle w:val="Caption"/>
      </w:pPr>
      <w:bookmarkStart w:id="401" w:name="_Ref332828360"/>
      <w:bookmarkStart w:id="402" w:name="_Toc331766485"/>
      <w:bookmarkStart w:id="403" w:name="_Toc335666018"/>
      <w:bookmarkStart w:id="404" w:name="_Toc337546989"/>
      <w:r>
        <w:t xml:space="preserve">Table </w:t>
      </w:r>
      <w:fldSimple w:instr=" SEQ Table \* ARABIC ">
        <w:r w:rsidR="003361A8">
          <w:rPr>
            <w:noProof/>
          </w:rPr>
          <w:t>52</w:t>
        </w:r>
      </w:fldSimple>
      <w:bookmarkEnd w:id="401"/>
      <w:r w:rsidR="007E7C62">
        <w:tab/>
        <w:t>Contingency table—</w:t>
      </w:r>
      <w:r w:rsidR="00683A5F">
        <w:t xml:space="preserve">CC: Strander </w:t>
      </w:r>
      <w:r>
        <w:t>2007</w:t>
      </w:r>
      <w:bookmarkEnd w:id="402"/>
      <w:bookmarkEnd w:id="403"/>
      <w:bookmarkEnd w:id="40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31"/>
        <w:gridCol w:w="1216"/>
        <w:gridCol w:w="1816"/>
        <w:gridCol w:w="1664"/>
        <w:gridCol w:w="1664"/>
      </w:tblGrid>
      <w:tr w:rsidR="00470D2B" w:rsidRPr="00683A5F" w:rsidTr="00683A5F">
        <w:tc>
          <w:tcPr>
            <w:tcW w:w="1423" w:type="pct"/>
            <w:tcBorders>
              <w:top w:val="nil"/>
              <w:left w:val="nil"/>
              <w:bottom w:val="nil"/>
              <w:right w:val="nil"/>
            </w:tcBorders>
          </w:tcPr>
          <w:p w:rsidR="00470D2B" w:rsidRPr="00683A5F" w:rsidRDefault="00470D2B" w:rsidP="00470D2B">
            <w:pPr>
              <w:pStyle w:val="Tabletext"/>
              <w:rPr>
                <w:b/>
              </w:rPr>
            </w:pPr>
          </w:p>
        </w:tc>
        <w:tc>
          <w:tcPr>
            <w:tcW w:w="684" w:type="pct"/>
            <w:tcBorders>
              <w:top w:val="nil"/>
              <w:left w:val="nil"/>
              <w:bottom w:val="nil"/>
              <w:right w:val="single" w:sz="4" w:space="0" w:color="auto"/>
            </w:tcBorders>
          </w:tcPr>
          <w:p w:rsidR="00470D2B" w:rsidRPr="00683A5F" w:rsidRDefault="00470D2B" w:rsidP="00470D2B">
            <w:pPr>
              <w:pStyle w:val="Tabletext"/>
              <w:rPr>
                <w:b/>
              </w:rPr>
            </w:pPr>
          </w:p>
        </w:tc>
        <w:tc>
          <w:tcPr>
            <w:tcW w:w="2893" w:type="pct"/>
            <w:gridSpan w:val="3"/>
            <w:tcBorders>
              <w:left w:val="single" w:sz="4" w:space="0" w:color="auto"/>
            </w:tcBorders>
          </w:tcPr>
          <w:p w:rsidR="00470D2B" w:rsidRPr="00683A5F" w:rsidRDefault="00683A5F" w:rsidP="00470D2B">
            <w:pPr>
              <w:pStyle w:val="Tabletext"/>
              <w:rPr>
                <w:b/>
              </w:rPr>
            </w:pPr>
            <w:r w:rsidRPr="00683A5F">
              <w:rPr>
                <w:b/>
              </w:rPr>
              <w:t>Reference standard (h</w:t>
            </w:r>
            <w:r w:rsidR="00470D2B" w:rsidRPr="00683A5F">
              <w:rPr>
                <w:b/>
              </w:rPr>
              <w:t>istology, threshold CIN 1+)</w:t>
            </w:r>
          </w:p>
        </w:tc>
      </w:tr>
      <w:tr w:rsidR="00470D2B" w:rsidRPr="00683A5F" w:rsidTr="00683A5F">
        <w:tc>
          <w:tcPr>
            <w:tcW w:w="1423" w:type="pct"/>
            <w:tcBorders>
              <w:top w:val="nil"/>
              <w:left w:val="nil"/>
              <w:bottom w:val="single" w:sz="4" w:space="0" w:color="auto"/>
              <w:right w:val="nil"/>
            </w:tcBorders>
          </w:tcPr>
          <w:p w:rsidR="00470D2B" w:rsidRPr="00683A5F" w:rsidRDefault="00470D2B" w:rsidP="00470D2B">
            <w:pPr>
              <w:pStyle w:val="Tabletext"/>
              <w:rPr>
                <w:b/>
              </w:rPr>
            </w:pPr>
          </w:p>
        </w:tc>
        <w:tc>
          <w:tcPr>
            <w:tcW w:w="684" w:type="pct"/>
            <w:tcBorders>
              <w:top w:val="nil"/>
              <w:left w:val="nil"/>
              <w:bottom w:val="single" w:sz="4" w:space="0" w:color="auto"/>
              <w:right w:val="single" w:sz="4" w:space="0" w:color="auto"/>
            </w:tcBorders>
          </w:tcPr>
          <w:p w:rsidR="00470D2B" w:rsidRPr="00683A5F" w:rsidRDefault="00470D2B" w:rsidP="00470D2B">
            <w:pPr>
              <w:pStyle w:val="Tabletext"/>
              <w:rPr>
                <w:b/>
              </w:rPr>
            </w:pPr>
          </w:p>
        </w:tc>
        <w:tc>
          <w:tcPr>
            <w:tcW w:w="1021" w:type="pct"/>
            <w:tcBorders>
              <w:left w:val="single" w:sz="4" w:space="0" w:color="auto"/>
            </w:tcBorders>
          </w:tcPr>
          <w:p w:rsidR="00470D2B" w:rsidRPr="00683A5F" w:rsidRDefault="00470D2B" w:rsidP="00470D2B">
            <w:pPr>
              <w:pStyle w:val="Tabletext"/>
              <w:rPr>
                <w:b/>
              </w:rPr>
            </w:pPr>
            <w:r w:rsidRPr="00683A5F">
              <w:rPr>
                <w:b/>
              </w:rPr>
              <w:t>Positive</w:t>
            </w:r>
          </w:p>
        </w:tc>
        <w:tc>
          <w:tcPr>
            <w:tcW w:w="936" w:type="pct"/>
          </w:tcPr>
          <w:p w:rsidR="00470D2B" w:rsidRPr="00683A5F" w:rsidRDefault="00470D2B" w:rsidP="00470D2B">
            <w:pPr>
              <w:pStyle w:val="Tabletext"/>
              <w:rPr>
                <w:b/>
              </w:rPr>
            </w:pPr>
            <w:r w:rsidRPr="00683A5F">
              <w:rPr>
                <w:b/>
              </w:rPr>
              <w:t>Negative</w:t>
            </w:r>
          </w:p>
        </w:tc>
        <w:tc>
          <w:tcPr>
            <w:tcW w:w="936" w:type="pct"/>
          </w:tcPr>
          <w:p w:rsidR="00470D2B" w:rsidRPr="00683A5F" w:rsidRDefault="00470D2B" w:rsidP="00470D2B">
            <w:pPr>
              <w:pStyle w:val="Tabletext"/>
              <w:rPr>
                <w:b/>
              </w:rPr>
            </w:pPr>
          </w:p>
        </w:tc>
      </w:tr>
      <w:tr w:rsidR="00470D2B" w:rsidTr="00683A5F">
        <w:tc>
          <w:tcPr>
            <w:tcW w:w="1423" w:type="pct"/>
            <w:vMerge w:val="restart"/>
            <w:tcBorders>
              <w:top w:val="single" w:sz="4" w:space="0" w:color="auto"/>
              <w:left w:val="single" w:sz="4" w:space="0" w:color="auto"/>
              <w:right w:val="single" w:sz="4" w:space="0" w:color="auto"/>
            </w:tcBorders>
          </w:tcPr>
          <w:p w:rsidR="00470D2B" w:rsidRDefault="007E7C62" w:rsidP="00470D2B">
            <w:pPr>
              <w:pStyle w:val="Tabletext"/>
            </w:pPr>
            <w:r>
              <w:t xml:space="preserve">Index test, ASCUS+ </w:t>
            </w:r>
            <w:r w:rsidR="00683A5F">
              <w:t>(conventional c</w:t>
            </w:r>
            <w:r w:rsidR="00470D2B">
              <w:t>ytology)</w:t>
            </w:r>
          </w:p>
        </w:tc>
        <w:tc>
          <w:tcPr>
            <w:tcW w:w="684" w:type="pct"/>
            <w:tcBorders>
              <w:top w:val="single" w:sz="4" w:space="0" w:color="auto"/>
              <w:left w:val="single" w:sz="4" w:space="0" w:color="auto"/>
              <w:bottom w:val="single" w:sz="4" w:space="0" w:color="auto"/>
              <w:right w:val="single" w:sz="4" w:space="0" w:color="auto"/>
            </w:tcBorders>
          </w:tcPr>
          <w:p w:rsidR="00470D2B" w:rsidRDefault="00470D2B" w:rsidP="00470D2B">
            <w:pPr>
              <w:pStyle w:val="Tabletext"/>
            </w:pPr>
            <w:r>
              <w:t>Positive</w:t>
            </w:r>
          </w:p>
        </w:tc>
        <w:tc>
          <w:tcPr>
            <w:tcW w:w="1021" w:type="pct"/>
            <w:tcBorders>
              <w:left w:val="single" w:sz="4" w:space="0" w:color="auto"/>
            </w:tcBorders>
          </w:tcPr>
          <w:p w:rsidR="00470D2B" w:rsidRDefault="00470D2B" w:rsidP="00470D2B">
            <w:pPr>
              <w:pStyle w:val="Tabletext"/>
            </w:pPr>
            <w:r>
              <w:t>120</w:t>
            </w:r>
          </w:p>
        </w:tc>
        <w:tc>
          <w:tcPr>
            <w:tcW w:w="936" w:type="pct"/>
          </w:tcPr>
          <w:p w:rsidR="00470D2B" w:rsidRDefault="00470D2B" w:rsidP="00470D2B">
            <w:pPr>
              <w:pStyle w:val="Tabletext"/>
            </w:pPr>
            <w:r>
              <w:t>128</w:t>
            </w:r>
            <w:r w:rsidRPr="002C1A00">
              <w:rPr>
                <w:vertAlign w:val="superscript"/>
              </w:rPr>
              <w:t xml:space="preserve"> a</w:t>
            </w:r>
          </w:p>
        </w:tc>
        <w:tc>
          <w:tcPr>
            <w:tcW w:w="936" w:type="pct"/>
          </w:tcPr>
          <w:p w:rsidR="00470D2B" w:rsidRDefault="00470D30" w:rsidP="00470D30">
            <w:pPr>
              <w:pStyle w:val="Tabletext"/>
            </w:pPr>
            <w:r>
              <w:t>PPV=120/248</w:t>
            </w:r>
            <w:r>
              <w:br/>
              <w:t xml:space="preserve"> </w:t>
            </w:r>
            <w:r w:rsidR="005E0D57">
              <w:t>=</w:t>
            </w:r>
            <w:r w:rsidR="00447222">
              <w:t>0.4839</w:t>
            </w:r>
          </w:p>
        </w:tc>
      </w:tr>
      <w:tr w:rsidR="00470D2B" w:rsidTr="00683A5F">
        <w:tc>
          <w:tcPr>
            <w:tcW w:w="1423" w:type="pct"/>
            <w:vMerge/>
            <w:tcBorders>
              <w:left w:val="single" w:sz="4" w:space="0" w:color="auto"/>
              <w:right w:val="single" w:sz="4" w:space="0" w:color="auto"/>
            </w:tcBorders>
          </w:tcPr>
          <w:p w:rsidR="00470D2B" w:rsidRDefault="00470D2B" w:rsidP="00470D2B">
            <w:pPr>
              <w:pStyle w:val="Tabletext"/>
            </w:pPr>
          </w:p>
        </w:tc>
        <w:tc>
          <w:tcPr>
            <w:tcW w:w="684" w:type="pct"/>
            <w:tcBorders>
              <w:top w:val="single" w:sz="4" w:space="0" w:color="auto"/>
              <w:left w:val="single" w:sz="4" w:space="0" w:color="auto"/>
              <w:bottom w:val="single" w:sz="4" w:space="0" w:color="auto"/>
            </w:tcBorders>
          </w:tcPr>
          <w:p w:rsidR="00470D2B" w:rsidRDefault="00470D2B" w:rsidP="00470D2B">
            <w:pPr>
              <w:pStyle w:val="Tabletext"/>
            </w:pPr>
            <w:r>
              <w:t>Negative</w:t>
            </w:r>
          </w:p>
        </w:tc>
        <w:tc>
          <w:tcPr>
            <w:tcW w:w="1021" w:type="pct"/>
          </w:tcPr>
          <w:p w:rsidR="00470D2B" w:rsidRDefault="00470D2B" w:rsidP="00470D2B">
            <w:pPr>
              <w:pStyle w:val="Tabletext"/>
            </w:pPr>
            <w:r>
              <w:t>5</w:t>
            </w:r>
          </w:p>
        </w:tc>
        <w:tc>
          <w:tcPr>
            <w:tcW w:w="936" w:type="pct"/>
          </w:tcPr>
          <w:p w:rsidR="00470D2B" w:rsidRDefault="00470D2B" w:rsidP="00470D2B">
            <w:pPr>
              <w:pStyle w:val="Tabletext"/>
            </w:pPr>
            <w:r>
              <w:t>8491</w:t>
            </w:r>
            <w:r w:rsidRPr="002C1A00">
              <w:rPr>
                <w:vertAlign w:val="superscript"/>
              </w:rPr>
              <w:t xml:space="preserve"> a</w:t>
            </w:r>
          </w:p>
        </w:tc>
        <w:tc>
          <w:tcPr>
            <w:tcW w:w="936" w:type="pct"/>
          </w:tcPr>
          <w:p w:rsidR="00470D2B" w:rsidRDefault="00470D2B" w:rsidP="00470D30">
            <w:pPr>
              <w:pStyle w:val="Tabletext"/>
            </w:pPr>
            <w:r>
              <w:t>NPV</w:t>
            </w:r>
            <w:r w:rsidR="00470D30">
              <w:t>=8491/8496</w:t>
            </w:r>
            <w:r w:rsidR="00470D30">
              <w:br/>
              <w:t xml:space="preserve"> </w:t>
            </w:r>
            <w:r w:rsidR="005E0D57">
              <w:t>=</w:t>
            </w:r>
            <w:r w:rsidR="00447222">
              <w:t>0.9994</w:t>
            </w:r>
          </w:p>
        </w:tc>
      </w:tr>
      <w:tr w:rsidR="00470D2B" w:rsidTr="00683A5F">
        <w:tc>
          <w:tcPr>
            <w:tcW w:w="1423" w:type="pct"/>
            <w:tcBorders>
              <w:left w:val="single" w:sz="4" w:space="0" w:color="auto"/>
              <w:right w:val="single" w:sz="4" w:space="0" w:color="auto"/>
            </w:tcBorders>
          </w:tcPr>
          <w:p w:rsidR="00470D2B" w:rsidRDefault="00470D2B" w:rsidP="00470D2B">
            <w:pPr>
              <w:pStyle w:val="Tabletext"/>
            </w:pPr>
          </w:p>
        </w:tc>
        <w:tc>
          <w:tcPr>
            <w:tcW w:w="684" w:type="pct"/>
            <w:tcBorders>
              <w:top w:val="single" w:sz="4" w:space="0" w:color="auto"/>
              <w:left w:val="single" w:sz="4" w:space="0" w:color="auto"/>
            </w:tcBorders>
          </w:tcPr>
          <w:p w:rsidR="00470D2B" w:rsidRDefault="00470D2B" w:rsidP="00470D2B">
            <w:pPr>
              <w:pStyle w:val="Tabletext"/>
            </w:pPr>
          </w:p>
        </w:tc>
        <w:tc>
          <w:tcPr>
            <w:tcW w:w="1021" w:type="pct"/>
          </w:tcPr>
          <w:p w:rsidR="00470D2B" w:rsidRDefault="00470D2B" w:rsidP="00470D2B">
            <w:pPr>
              <w:pStyle w:val="Tabletext"/>
            </w:pPr>
            <w:r>
              <w:t>Sensitivity:</w:t>
            </w:r>
            <w:r>
              <w:br/>
              <w:t>=120/125</w:t>
            </w:r>
            <w:r>
              <w:br/>
            </w:r>
            <w:r w:rsidR="005E0D57">
              <w:t>=</w:t>
            </w:r>
            <w:r>
              <w:t>0.96</w:t>
            </w:r>
          </w:p>
        </w:tc>
        <w:tc>
          <w:tcPr>
            <w:tcW w:w="936" w:type="pct"/>
          </w:tcPr>
          <w:p w:rsidR="00470D2B" w:rsidRDefault="00470D2B" w:rsidP="00470D2B">
            <w:pPr>
              <w:pStyle w:val="Tabletext"/>
            </w:pPr>
            <w:r>
              <w:t>Specificity:</w:t>
            </w:r>
            <w:r>
              <w:br/>
              <w:t>=8491/8619</w:t>
            </w:r>
            <w:r>
              <w:br/>
              <w:t>=0.9851</w:t>
            </w:r>
          </w:p>
        </w:tc>
        <w:tc>
          <w:tcPr>
            <w:tcW w:w="936" w:type="pct"/>
          </w:tcPr>
          <w:p w:rsidR="00470D2B" w:rsidRDefault="00470D2B" w:rsidP="00470D2B">
            <w:pPr>
              <w:pStyle w:val="Tabletext"/>
            </w:pPr>
          </w:p>
        </w:tc>
      </w:tr>
    </w:tbl>
    <w:p w:rsidR="00470D2B" w:rsidRDefault="00470D2B" w:rsidP="00AA509D">
      <w:pPr>
        <w:pStyle w:val="Tabletext"/>
        <w:keepNext w:val="0"/>
        <w:numPr>
          <w:ilvl w:val="0"/>
          <w:numId w:val="17"/>
        </w:numPr>
      </w:pPr>
      <w:r>
        <w:t>Clinical management of atypical cytology and referral to colposcopy and treatment were performed as routine procedures within the screening program. ASCUS and CIN type 1 (CIN</w:t>
      </w:r>
      <w:r w:rsidR="00B83BAD">
        <w:t xml:space="preserve"> </w:t>
      </w:r>
      <w:r>
        <w:t>1) led either to colposcopy after 4 months or</w:t>
      </w:r>
      <w:r w:rsidR="00B83BAD">
        <w:t xml:space="preserve"> to a repeat smear. Therefore “no h</w:t>
      </w:r>
      <w:r>
        <w:t xml:space="preserve">istology” outcome was assumed to represent a benign or normal outcome for women with benign cytology and ASCUS+ given all women in the </w:t>
      </w:r>
      <w:r w:rsidR="003B6229">
        <w:t>latter</w:t>
      </w:r>
      <w:r>
        <w:t xml:space="preserve"> category would have undergone follow up procedures </w:t>
      </w:r>
    </w:p>
    <w:p w:rsidR="0025365D" w:rsidRDefault="0025365D" w:rsidP="00683A5F"/>
    <w:p w:rsidR="00470D2B" w:rsidRDefault="00470D2B" w:rsidP="00683A5F">
      <w:r w:rsidRPr="005A62C0">
        <w:t>The</w:t>
      </w:r>
      <w:r>
        <w:t xml:space="preserve"> </w:t>
      </w:r>
      <w:r w:rsidRPr="005A62C0">
        <w:t xml:space="preserve">sensitivity for detection of a histological proven </w:t>
      </w:r>
      <w:r>
        <w:t xml:space="preserve">low grade </w:t>
      </w:r>
      <w:r w:rsidRPr="005A62C0">
        <w:t>lesion</w:t>
      </w:r>
      <w:r>
        <w:t xml:space="preserve"> or worse</w:t>
      </w:r>
      <w:r w:rsidRPr="005A62C0">
        <w:t xml:space="preserve"> (</w:t>
      </w:r>
      <w:r>
        <w:t xml:space="preserve">equivalent of </w:t>
      </w:r>
      <w:r w:rsidRPr="005A62C0">
        <w:t>CIN 1+) is</w:t>
      </w:r>
      <w:r>
        <w:t xml:space="preserve"> </w:t>
      </w:r>
      <w:r w:rsidRPr="005A62C0">
        <w:t xml:space="preserve">higher </w:t>
      </w:r>
      <w:r w:rsidR="00224980">
        <w:t xml:space="preserve">with cell filtration </w:t>
      </w:r>
      <w:r w:rsidRPr="005A62C0">
        <w:t xml:space="preserve">LBC compared </w:t>
      </w:r>
      <w:r w:rsidR="00224980">
        <w:t>with</w:t>
      </w:r>
      <w:r>
        <w:t xml:space="preserve"> </w:t>
      </w:r>
      <w:r w:rsidR="00683A5F">
        <w:t>CC</w:t>
      </w:r>
      <w:r w:rsidRPr="005A62C0">
        <w:t xml:space="preserve"> (</w:t>
      </w:r>
      <w:r>
        <w:t>100</w:t>
      </w:r>
      <w:r w:rsidR="00224980">
        <w:t xml:space="preserve">% </w:t>
      </w:r>
      <w:r w:rsidR="003B6229">
        <w:t>vs.</w:t>
      </w:r>
      <w:r w:rsidRPr="005A62C0">
        <w:t xml:space="preserve"> 9</w:t>
      </w:r>
      <w:r w:rsidR="00224980">
        <w:t>6</w:t>
      </w:r>
      <w:r w:rsidRPr="005A62C0">
        <w:t>%</w:t>
      </w:r>
      <w:r w:rsidR="00224980">
        <w:t>, OR</w:t>
      </w:r>
      <w:r w:rsidR="00683A5F">
        <w:t xml:space="preserve"> </w:t>
      </w:r>
      <w:r w:rsidR="00224980">
        <w:t>6.71 95%</w:t>
      </w:r>
      <w:r w:rsidRPr="005A62C0">
        <w:t xml:space="preserve"> CI </w:t>
      </w:r>
      <w:r w:rsidR="00B83BAD">
        <w:t>0.36 to 124.47;</w:t>
      </w:r>
      <w:r w:rsidR="00B44EFF">
        <w:t xml:space="preserve"> </w:t>
      </w:r>
      <w:r w:rsidR="00683A5F">
        <w:t xml:space="preserve">P </w:t>
      </w:r>
      <w:r w:rsidR="00B44EFF">
        <w:t>&lt;</w:t>
      </w:r>
      <w:r w:rsidR="00683A5F">
        <w:t xml:space="preserve"> </w:t>
      </w:r>
      <w:r w:rsidR="00B44EFF">
        <w:t>0.0001</w:t>
      </w:r>
      <w:r w:rsidR="00A075C2">
        <w:t>).</w:t>
      </w:r>
    </w:p>
    <w:p w:rsidR="00A075C2" w:rsidRDefault="005F74E5" w:rsidP="005A730E">
      <w:r w:rsidRPr="005A62C0">
        <w:t>The</w:t>
      </w:r>
      <w:r>
        <w:t xml:space="preserve"> </w:t>
      </w:r>
      <w:r w:rsidRPr="005A62C0">
        <w:t>s</w:t>
      </w:r>
      <w:r>
        <w:t>pecificity</w:t>
      </w:r>
      <w:r w:rsidRPr="005A62C0">
        <w:t xml:space="preserve"> for</w:t>
      </w:r>
      <w:r>
        <w:t xml:space="preserve"> the</w:t>
      </w:r>
      <w:r w:rsidRPr="005A62C0">
        <w:t xml:space="preserve"> detection of a histological proven lesion (CIN 1+) </w:t>
      </w:r>
      <w:r>
        <w:t xml:space="preserve">based on an ASCUS+ index test </w:t>
      </w:r>
      <w:r w:rsidRPr="005A62C0">
        <w:t>is</w:t>
      </w:r>
      <w:r>
        <w:t xml:space="preserve"> </w:t>
      </w:r>
      <w:r w:rsidRPr="005A62C0">
        <w:t xml:space="preserve">significantly </w:t>
      </w:r>
      <w:r>
        <w:t>low</w:t>
      </w:r>
      <w:r w:rsidRPr="005A62C0">
        <w:t xml:space="preserve">er </w:t>
      </w:r>
      <w:r>
        <w:t>with cell enrichment</w:t>
      </w:r>
      <w:r w:rsidRPr="005A62C0">
        <w:t xml:space="preserve"> </w:t>
      </w:r>
      <w:r>
        <w:t xml:space="preserve">LBC </w:t>
      </w:r>
      <w:r w:rsidRPr="005A62C0">
        <w:t xml:space="preserve">compared to conventional </w:t>
      </w:r>
      <w:r>
        <w:t>cytology (82.32%</w:t>
      </w:r>
      <w:r w:rsidRPr="005A62C0">
        <w:t xml:space="preserve"> vs. </w:t>
      </w:r>
      <w:r>
        <w:t>85.84</w:t>
      </w:r>
      <w:r w:rsidRPr="005A62C0">
        <w:t>%</w:t>
      </w:r>
      <w:r>
        <w:t>, OR 0.64, 95%</w:t>
      </w:r>
      <w:r w:rsidR="00683A5F">
        <w:t xml:space="preserve"> </w:t>
      </w:r>
      <w:r w:rsidRPr="005A62C0">
        <w:t xml:space="preserve">CI </w:t>
      </w:r>
      <w:r>
        <w:t xml:space="preserve">0.49 to 0.83, </w:t>
      </w:r>
      <w:r w:rsidR="00683A5F">
        <w:t>P</w:t>
      </w:r>
      <w:r>
        <w:t>=0.0008</w:t>
      </w:r>
      <w:r w:rsidRPr="005A62C0">
        <w:t>)</w:t>
      </w:r>
      <w:r>
        <w:t>.</w:t>
      </w:r>
    </w:p>
    <w:p w:rsidR="00470D2B" w:rsidRDefault="00470D2B" w:rsidP="00470D2B">
      <w:pPr>
        <w:pStyle w:val="Caption"/>
      </w:pPr>
      <w:bookmarkStart w:id="405" w:name="_Ref334281221"/>
      <w:bookmarkStart w:id="406" w:name="_Toc331766486"/>
      <w:bookmarkStart w:id="407" w:name="_Toc335666019"/>
      <w:bookmarkStart w:id="408" w:name="_Toc337546990"/>
      <w:r>
        <w:lastRenderedPageBreak/>
        <w:t xml:space="preserve">Table </w:t>
      </w:r>
      <w:fldSimple w:instr=" SEQ Table \* ARABIC ">
        <w:r w:rsidR="003361A8">
          <w:rPr>
            <w:noProof/>
          </w:rPr>
          <w:t>53</w:t>
        </w:r>
      </w:fldSimple>
      <w:bookmarkEnd w:id="405"/>
      <w:r w:rsidR="00683A5F">
        <w:tab/>
        <w:t>Sensitivity and s</w:t>
      </w:r>
      <w:r>
        <w:t>pecificity</w:t>
      </w:r>
      <w:r w:rsidR="007E7C62">
        <w:t>—</w:t>
      </w:r>
      <w:r w:rsidR="00683A5F">
        <w:t>CC</w:t>
      </w:r>
      <w:r>
        <w:t xml:space="preserve"> versus</w:t>
      </w:r>
      <w:r w:rsidR="00F757FF">
        <w:t xml:space="preserve"> cell filtration LBC</w:t>
      </w:r>
      <w:r w:rsidR="00683A5F">
        <w:t xml:space="preserve">: Strander </w:t>
      </w:r>
      <w:r>
        <w:t>2007</w:t>
      </w:r>
      <w:bookmarkEnd w:id="406"/>
      <w:bookmarkEnd w:id="407"/>
      <w:bookmarkEnd w:id="40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6"/>
        <w:gridCol w:w="2962"/>
        <w:gridCol w:w="2963"/>
      </w:tblGrid>
      <w:tr w:rsidR="00470D2B" w:rsidRPr="00683A5F" w:rsidTr="00470D2B">
        <w:tc>
          <w:tcPr>
            <w:tcW w:w="3001" w:type="dxa"/>
          </w:tcPr>
          <w:p w:rsidR="00470D2B" w:rsidRPr="00683A5F" w:rsidRDefault="00470D2B" w:rsidP="00470D2B">
            <w:pPr>
              <w:pStyle w:val="Tabletext"/>
              <w:rPr>
                <w:b/>
              </w:rPr>
            </w:pPr>
          </w:p>
        </w:tc>
        <w:tc>
          <w:tcPr>
            <w:tcW w:w="3001" w:type="dxa"/>
          </w:tcPr>
          <w:p w:rsidR="00470D2B" w:rsidRPr="00683A5F" w:rsidRDefault="00470D2B" w:rsidP="00470D2B">
            <w:pPr>
              <w:pStyle w:val="Tabletext"/>
              <w:rPr>
                <w:b/>
              </w:rPr>
            </w:pPr>
            <w:r w:rsidRPr="00683A5F">
              <w:rPr>
                <w:b/>
              </w:rPr>
              <w:t>Sens</w:t>
            </w:r>
            <w:r w:rsidR="00683A5F">
              <w:rPr>
                <w:b/>
              </w:rPr>
              <w:t>itivity (95% CI</w:t>
            </w:r>
            <w:r w:rsidRPr="00683A5F">
              <w:rPr>
                <w:b/>
              </w:rPr>
              <w:t>)</w:t>
            </w:r>
          </w:p>
        </w:tc>
        <w:tc>
          <w:tcPr>
            <w:tcW w:w="3002" w:type="dxa"/>
          </w:tcPr>
          <w:p w:rsidR="00470D2B" w:rsidRPr="00683A5F" w:rsidRDefault="00470D2B" w:rsidP="00470D2B">
            <w:pPr>
              <w:pStyle w:val="Tabletext"/>
              <w:rPr>
                <w:b/>
              </w:rPr>
            </w:pPr>
            <w:r w:rsidRPr="00683A5F">
              <w:rPr>
                <w:b/>
              </w:rPr>
              <w:t>Spe</w:t>
            </w:r>
            <w:r w:rsidR="00683A5F">
              <w:rPr>
                <w:b/>
              </w:rPr>
              <w:t>cificity (95% CI</w:t>
            </w:r>
            <w:r w:rsidRPr="00683A5F">
              <w:rPr>
                <w:b/>
              </w:rPr>
              <w:t>)</w:t>
            </w:r>
          </w:p>
        </w:tc>
      </w:tr>
      <w:tr w:rsidR="00BA768A" w:rsidTr="00470D2B">
        <w:tc>
          <w:tcPr>
            <w:tcW w:w="3001" w:type="dxa"/>
          </w:tcPr>
          <w:p w:rsidR="00BA768A" w:rsidRDefault="00BA768A" w:rsidP="00BA768A">
            <w:pPr>
              <w:pStyle w:val="Tabletext"/>
            </w:pPr>
            <w:r>
              <w:t>LBC (</w:t>
            </w:r>
            <w:r w:rsidR="00F757FF">
              <w:t>cell filtration</w:t>
            </w:r>
            <w:r>
              <w:t>)</w:t>
            </w:r>
          </w:p>
        </w:tc>
        <w:tc>
          <w:tcPr>
            <w:tcW w:w="3001" w:type="dxa"/>
          </w:tcPr>
          <w:p w:rsidR="00BA768A" w:rsidRDefault="00BA768A" w:rsidP="00470D2B">
            <w:pPr>
              <w:pStyle w:val="Tabletext"/>
            </w:pPr>
            <w:r>
              <w:t>100.00</w:t>
            </w:r>
            <w:r w:rsidR="00192B9C" w:rsidRPr="00192B9C">
              <w:rPr>
                <w:vertAlign w:val="superscript"/>
              </w:rPr>
              <w:t>a</w:t>
            </w:r>
            <w:r>
              <w:t xml:space="preserve"> (96,100)</w:t>
            </w:r>
          </w:p>
        </w:tc>
        <w:tc>
          <w:tcPr>
            <w:tcW w:w="3002" w:type="dxa"/>
          </w:tcPr>
          <w:p w:rsidR="00BA768A" w:rsidRDefault="00BA768A" w:rsidP="00470D2B">
            <w:pPr>
              <w:pStyle w:val="Tabletext"/>
            </w:pPr>
            <w:r>
              <w:t>82.32 (75, 88)</w:t>
            </w:r>
          </w:p>
        </w:tc>
      </w:tr>
      <w:tr w:rsidR="00BA768A" w:rsidTr="00470D2B">
        <w:tc>
          <w:tcPr>
            <w:tcW w:w="3001" w:type="dxa"/>
          </w:tcPr>
          <w:p w:rsidR="00BA768A" w:rsidRDefault="00BA768A" w:rsidP="00FC4D8A">
            <w:pPr>
              <w:pStyle w:val="Tabletext"/>
            </w:pPr>
            <w:r>
              <w:t>Conventional cytology</w:t>
            </w:r>
          </w:p>
        </w:tc>
        <w:tc>
          <w:tcPr>
            <w:tcW w:w="3001" w:type="dxa"/>
          </w:tcPr>
          <w:p w:rsidR="00BA768A" w:rsidRDefault="00BA768A" w:rsidP="00470D2B">
            <w:pPr>
              <w:pStyle w:val="Tabletext"/>
            </w:pPr>
            <w:r>
              <w:t>96.00 (91, 99)</w:t>
            </w:r>
          </w:p>
        </w:tc>
        <w:tc>
          <w:tcPr>
            <w:tcW w:w="3002" w:type="dxa"/>
          </w:tcPr>
          <w:p w:rsidR="00BA768A" w:rsidRDefault="00BA768A" w:rsidP="00470D2B">
            <w:pPr>
              <w:pStyle w:val="Tabletext"/>
            </w:pPr>
            <w:r>
              <w:t>85.84 (81, 90)</w:t>
            </w:r>
          </w:p>
        </w:tc>
      </w:tr>
      <w:tr w:rsidR="00BA768A" w:rsidTr="00470D2B">
        <w:tc>
          <w:tcPr>
            <w:tcW w:w="3001" w:type="dxa"/>
          </w:tcPr>
          <w:p w:rsidR="00BA768A" w:rsidRDefault="00683A5F" w:rsidP="00FC4D8A">
            <w:pPr>
              <w:pStyle w:val="Tabletext"/>
            </w:pPr>
            <w:r>
              <w:t>OR (</w:t>
            </w:r>
            <w:r w:rsidR="005E0D57">
              <w:t>95% CI</w:t>
            </w:r>
            <w:r>
              <w:t>), P</w:t>
            </w:r>
            <w:r w:rsidR="00BA768A">
              <w:t xml:space="preserve"> value</w:t>
            </w:r>
          </w:p>
        </w:tc>
        <w:tc>
          <w:tcPr>
            <w:tcW w:w="3001" w:type="dxa"/>
          </w:tcPr>
          <w:p w:rsidR="00BA768A" w:rsidRDefault="00BA768A" w:rsidP="00683A5F">
            <w:pPr>
              <w:pStyle w:val="Tabletext"/>
            </w:pPr>
            <w:r>
              <w:t>6.71</w:t>
            </w:r>
            <w:r w:rsidR="00683A5F">
              <w:t xml:space="preserve"> </w:t>
            </w:r>
            <w:r>
              <w:t xml:space="preserve">(0.36 to 124.47), </w:t>
            </w:r>
            <w:r w:rsidR="00683A5F">
              <w:t>P</w:t>
            </w:r>
            <w:r w:rsidR="00B83BAD">
              <w:t xml:space="preserve"> </w:t>
            </w:r>
            <w:r>
              <w:t>&lt;</w:t>
            </w:r>
            <w:r w:rsidR="00B83BAD">
              <w:t xml:space="preserve"> </w:t>
            </w:r>
            <w:r>
              <w:t>0.0001</w:t>
            </w:r>
          </w:p>
        </w:tc>
        <w:tc>
          <w:tcPr>
            <w:tcW w:w="3002" w:type="dxa"/>
          </w:tcPr>
          <w:p w:rsidR="00BA768A" w:rsidRDefault="00BA768A" w:rsidP="00683A5F">
            <w:pPr>
              <w:pStyle w:val="Tabletext"/>
            </w:pPr>
            <w:r>
              <w:t>0.64</w:t>
            </w:r>
            <w:r w:rsidR="00683A5F">
              <w:t xml:space="preserve"> </w:t>
            </w:r>
            <w:r>
              <w:t xml:space="preserve">(0.49 to 0.83), </w:t>
            </w:r>
            <w:r w:rsidR="00683A5F">
              <w:t>P</w:t>
            </w:r>
            <w:r>
              <w:t>=0.0008</w:t>
            </w:r>
          </w:p>
        </w:tc>
      </w:tr>
      <w:tr w:rsidR="00A826EF" w:rsidTr="00A826EF">
        <w:tc>
          <w:tcPr>
            <w:tcW w:w="3001" w:type="dxa"/>
          </w:tcPr>
          <w:p w:rsidR="00A826EF" w:rsidRDefault="00A826EF" w:rsidP="00FC4D8A">
            <w:pPr>
              <w:pStyle w:val="Tabletext"/>
            </w:pPr>
            <w:r>
              <w:t>Source</w:t>
            </w:r>
          </w:p>
        </w:tc>
        <w:tc>
          <w:tcPr>
            <w:tcW w:w="6003" w:type="dxa"/>
            <w:gridSpan w:val="2"/>
          </w:tcPr>
          <w:p w:rsidR="00A826EF" w:rsidRDefault="00683A5F" w:rsidP="0061117D">
            <w:pPr>
              <w:pStyle w:val="Tabletext"/>
            </w:pPr>
            <w:r w:rsidRPr="005F6015">
              <w:t xml:space="preserve">Strander </w:t>
            </w:r>
            <w:r w:rsidR="00A826EF" w:rsidRPr="005F6015">
              <w:t xml:space="preserve">2007, attachment </w:t>
            </w:r>
            <w:r w:rsidR="005F6015" w:rsidRPr="005F6015">
              <w:t xml:space="preserve">4 </w:t>
            </w:r>
          </w:p>
        </w:tc>
      </w:tr>
    </w:tbl>
    <w:p w:rsidR="00470D2B" w:rsidRDefault="00B83BAD" w:rsidP="00683A5F">
      <w:pPr>
        <w:pStyle w:val="Tabletext"/>
      </w:pPr>
      <w:r>
        <w:t>Abbreviations: CI, confidence interval; LBC, liquid-based cytology; OR, odds ratio</w:t>
      </w:r>
      <w:r>
        <w:br/>
      </w:r>
      <w:r w:rsidR="001A312F" w:rsidRPr="001A312F">
        <w:t xml:space="preserve">An OR </w:t>
      </w:r>
      <w:r w:rsidR="00104F4C">
        <w:t>&gt;</w:t>
      </w:r>
      <w:r w:rsidR="001A312F" w:rsidRPr="001A312F">
        <w:t>1 indicates performance of LBC is better than CC</w:t>
      </w:r>
      <w:r w:rsidR="001A312F">
        <w:br/>
        <w:t xml:space="preserve">a. </w:t>
      </w:r>
      <w:r w:rsidR="00192B9C" w:rsidRPr="001A312F">
        <w:t xml:space="preserve">Zero cells </w:t>
      </w:r>
      <w:r w:rsidR="001A312F" w:rsidRPr="001A312F">
        <w:t>cause problems with computation of standard errors so rather than using 81/81=1 in the calculation of the odds ratio (p/1-p) which would result in 1/0, 80.5 was substituted in the numerator according to standard practice</w:t>
      </w:r>
      <w:r>
        <w:t xml:space="preserve"> (Egger, Smith and Altman 2003)</w:t>
      </w:r>
    </w:p>
    <w:p w:rsidR="00A075C2" w:rsidRDefault="00A075C2" w:rsidP="00A075C2"/>
    <w:p w:rsidR="00470D2B" w:rsidRPr="00B83BAD" w:rsidRDefault="00683A5F" w:rsidP="00683A5F">
      <w:pPr>
        <w:pStyle w:val="Heading50"/>
      </w:pPr>
      <w:r>
        <w:t>Relative s</w:t>
      </w:r>
      <w:r w:rsidR="00B83BAD">
        <w:t>ensitivity</w:t>
      </w:r>
    </w:p>
    <w:p w:rsidR="004579C3" w:rsidRDefault="00683A5F" w:rsidP="00683A5F">
      <w:r>
        <w:t>Ronco 2007</w:t>
      </w:r>
      <w:r w:rsidR="002F1FF4" w:rsidRPr="0090540A">
        <w:t xml:space="preserve"> present</w:t>
      </w:r>
      <w:r>
        <w:t>s</w:t>
      </w:r>
      <w:r w:rsidR="002F1FF4" w:rsidRPr="0090540A">
        <w:t xml:space="preserve"> analyses that did not consider the results of cytological a</w:t>
      </w:r>
      <w:r>
        <w:t xml:space="preserve">nd histological tests </w:t>
      </w:r>
      <w:r w:rsidR="002F1FF4" w:rsidRPr="0090540A">
        <w:t xml:space="preserve">carried out because of a positive </w:t>
      </w:r>
      <w:r w:rsidR="0041335B">
        <w:t>HPV</w:t>
      </w:r>
      <w:r w:rsidR="002F1FF4" w:rsidRPr="0090540A">
        <w:t xml:space="preserve"> test result in the presence of normal cytology. These tests would not have been </w:t>
      </w:r>
      <w:r>
        <w:t>performed</w:t>
      </w:r>
      <w:r w:rsidR="002F1FF4" w:rsidRPr="0090540A">
        <w:t xml:space="preserve"> if cytology alone was used. </w:t>
      </w:r>
      <w:r w:rsidR="003B6229" w:rsidRPr="0090540A">
        <w:t xml:space="preserve">The authors report </w:t>
      </w:r>
      <w:r>
        <w:t xml:space="preserve">combined </w:t>
      </w:r>
      <w:r w:rsidR="003B6229" w:rsidRPr="0090540A">
        <w:t xml:space="preserve">results for both </w:t>
      </w:r>
      <w:r>
        <w:t xml:space="preserve">25 to </w:t>
      </w:r>
      <w:r w:rsidR="003B6229">
        <w:t>34</w:t>
      </w:r>
      <w:r>
        <w:t xml:space="preserve"> years and 35 to </w:t>
      </w:r>
      <w:r w:rsidR="003B6229">
        <w:t>60</w:t>
      </w:r>
      <w:r>
        <w:t xml:space="preserve"> years</w:t>
      </w:r>
      <w:r w:rsidR="003B6229">
        <w:t xml:space="preserve"> </w:t>
      </w:r>
      <w:r>
        <w:t>cohorts</w:t>
      </w:r>
      <w:r w:rsidR="003B6229" w:rsidRPr="0090540A">
        <w:t>.</w:t>
      </w:r>
      <w:r w:rsidR="003B6229">
        <w:t xml:space="preserve"> </w:t>
      </w:r>
      <w:r w:rsidR="004579C3">
        <w:t>The detection and</w:t>
      </w:r>
      <w:r w:rsidR="00FC4D8A">
        <w:t xml:space="preserve"> relative</w:t>
      </w:r>
      <w:r w:rsidR="004579C3">
        <w:t xml:space="preserve"> sensitivity ra</w:t>
      </w:r>
      <w:r>
        <w:t>tes for the entire NTCC trial are</w:t>
      </w:r>
      <w:r w:rsidR="004579C3">
        <w:t xml:space="preserve"> reported in </w:t>
      </w:r>
      <w:r w:rsidR="00086C77">
        <w:fldChar w:fldCharType="begin"/>
      </w:r>
      <w:r w:rsidR="00086C77">
        <w:instrText xml:space="preserve"> REF _Ref332800019 \h  \* MERGEFORMAT </w:instrText>
      </w:r>
      <w:r w:rsidR="00086C77">
        <w:fldChar w:fldCharType="separate"/>
      </w:r>
      <w:r w:rsidR="003361A8" w:rsidRPr="00683A5F">
        <w:t xml:space="preserve">Table </w:t>
      </w:r>
      <w:r w:rsidR="003361A8">
        <w:t>54</w:t>
      </w:r>
      <w:r w:rsidR="00086C77">
        <w:fldChar w:fldCharType="end"/>
      </w:r>
      <w:r w:rsidR="004579C3">
        <w:t>. The sensitivities of the different combinations of cytology are given as values relative to the conventional cytology group, for all randomised eligible women.</w:t>
      </w:r>
    </w:p>
    <w:p w:rsidR="00945E95" w:rsidRDefault="00945E95" w:rsidP="00683A5F">
      <w:r w:rsidRPr="00945E95">
        <w:t>No significant increase was observed in sensitivity</w:t>
      </w:r>
      <w:r>
        <w:t xml:space="preserve"> </w:t>
      </w:r>
      <w:r w:rsidR="004579C3">
        <w:t>for CIN</w:t>
      </w:r>
      <w:r w:rsidR="00683A5F">
        <w:t xml:space="preserve"> </w:t>
      </w:r>
      <w:r w:rsidR="00FC4D8A">
        <w:t>1</w:t>
      </w:r>
      <w:r w:rsidR="004579C3">
        <w:t>+</w:t>
      </w:r>
      <w:r w:rsidRPr="00945E95">
        <w:t xml:space="preserve"> for </w:t>
      </w:r>
      <w:r w:rsidR="004579C3">
        <w:t>cell filtration LBC</w:t>
      </w:r>
      <w:r w:rsidR="00FC4D8A">
        <w:t xml:space="preserve"> </w:t>
      </w:r>
      <w:r w:rsidRPr="00945E95">
        <w:t xml:space="preserve">compared with </w:t>
      </w:r>
      <w:r w:rsidR="00683A5F">
        <w:t>CC</w:t>
      </w:r>
      <w:r w:rsidRPr="00945E95">
        <w:t xml:space="preserve"> with either </w:t>
      </w:r>
      <w:r w:rsidR="004579C3">
        <w:t xml:space="preserve">ASCUS or LSIL </w:t>
      </w:r>
      <w:r w:rsidRPr="00945E95">
        <w:t xml:space="preserve">as cut-off </w:t>
      </w:r>
      <w:r w:rsidRPr="00683A5F">
        <w:t>points</w:t>
      </w:r>
      <w:r w:rsidR="00683A5F" w:rsidRPr="00683A5F">
        <w:t xml:space="preserve"> </w:t>
      </w:r>
      <w:r w:rsidRPr="00683A5F">
        <w:t>(</w:t>
      </w:r>
      <w:r w:rsidR="00086C77">
        <w:fldChar w:fldCharType="begin"/>
      </w:r>
      <w:r w:rsidR="00086C77">
        <w:instrText xml:space="preserve"> REF _Ref332800019 \h  \* MERGEFORMAT </w:instrText>
      </w:r>
      <w:r w:rsidR="00086C77">
        <w:fldChar w:fldCharType="separate"/>
      </w:r>
      <w:r w:rsidR="003361A8" w:rsidRPr="00683A5F">
        <w:t xml:space="preserve">Table </w:t>
      </w:r>
      <w:r w:rsidR="003361A8">
        <w:t>54</w:t>
      </w:r>
      <w:r w:rsidR="00086C77">
        <w:fldChar w:fldCharType="end"/>
      </w:r>
      <w:r w:rsidRPr="00683A5F">
        <w:t>)</w:t>
      </w:r>
      <w:r w:rsidR="00424B86" w:rsidRPr="00683A5F">
        <w:t>.</w:t>
      </w:r>
    </w:p>
    <w:p w:rsidR="00FC4D8A" w:rsidRDefault="00FC4D8A" w:rsidP="00683A5F">
      <w:r>
        <w:t>There was a</w:t>
      </w:r>
      <w:r w:rsidRPr="00945E95">
        <w:t xml:space="preserve"> s</w:t>
      </w:r>
      <w:r>
        <w:t>ignificant increase</w:t>
      </w:r>
      <w:r w:rsidRPr="00945E95">
        <w:t xml:space="preserve"> in sensitivity</w:t>
      </w:r>
      <w:r>
        <w:t xml:space="preserve"> for CIN</w:t>
      </w:r>
      <w:r w:rsidR="00B83BAD">
        <w:t xml:space="preserve"> </w:t>
      </w:r>
      <w:r>
        <w:t>2+</w:t>
      </w:r>
      <w:r w:rsidRPr="00945E95">
        <w:t xml:space="preserve"> for </w:t>
      </w:r>
      <w:r>
        <w:t xml:space="preserve">cell filtration LBC </w:t>
      </w:r>
      <w:r w:rsidRPr="00945E95">
        <w:t xml:space="preserve">compared with </w:t>
      </w:r>
      <w:r w:rsidR="00C64B49">
        <w:t>CC</w:t>
      </w:r>
      <w:r>
        <w:t xml:space="preserve"> with ASCUS or LSIL </w:t>
      </w:r>
      <w:r w:rsidRPr="00945E95">
        <w:t>as cut-off points (</w:t>
      </w:r>
      <w:r w:rsidR="00086C77">
        <w:fldChar w:fldCharType="begin"/>
      </w:r>
      <w:r w:rsidR="00086C77">
        <w:instrText xml:space="preserve"> REF _Ref332800019 \h  \* MERGEFORMAT </w:instrText>
      </w:r>
      <w:r w:rsidR="00086C77">
        <w:fldChar w:fldCharType="separate"/>
      </w:r>
      <w:r w:rsidR="003361A8" w:rsidRPr="00683A5F">
        <w:t xml:space="preserve">Table </w:t>
      </w:r>
      <w:r w:rsidR="003361A8">
        <w:rPr>
          <w:noProof/>
        </w:rPr>
        <w:t>54</w:t>
      </w:r>
      <w:r w:rsidR="00086C77">
        <w:fldChar w:fldCharType="end"/>
      </w:r>
      <w:r w:rsidRPr="00945E95">
        <w:t>)</w:t>
      </w:r>
      <w:r>
        <w:t>. There was a</w:t>
      </w:r>
      <w:r w:rsidRPr="00945E95">
        <w:t xml:space="preserve"> s</w:t>
      </w:r>
      <w:r>
        <w:t>ignificant decrease</w:t>
      </w:r>
      <w:r w:rsidRPr="00945E95">
        <w:t xml:space="preserve"> in sensitivity</w:t>
      </w:r>
      <w:r>
        <w:t xml:space="preserve"> for CIN3+</w:t>
      </w:r>
      <w:r w:rsidRPr="00945E95">
        <w:t xml:space="preserve"> for </w:t>
      </w:r>
      <w:r>
        <w:t xml:space="preserve">cell filtration LBC </w:t>
      </w:r>
      <w:r w:rsidRPr="00945E95">
        <w:t xml:space="preserve">compared with </w:t>
      </w:r>
      <w:r w:rsidR="00C64B49">
        <w:t>CC</w:t>
      </w:r>
      <w:r w:rsidRPr="00945E95">
        <w:t xml:space="preserve"> with either </w:t>
      </w:r>
      <w:r>
        <w:t xml:space="preserve">ASCUS or LSIL </w:t>
      </w:r>
      <w:r w:rsidRPr="00945E95">
        <w:t>as cut-off points (</w:t>
      </w:r>
      <w:r w:rsidR="00086C77">
        <w:fldChar w:fldCharType="begin"/>
      </w:r>
      <w:r w:rsidR="00086C77">
        <w:instrText xml:space="preserve"> REF _Ref332800019 \h  \* MERGEFORMAT </w:instrText>
      </w:r>
      <w:r w:rsidR="00086C77">
        <w:fldChar w:fldCharType="separate"/>
      </w:r>
      <w:r w:rsidR="003361A8" w:rsidRPr="00683A5F">
        <w:t xml:space="preserve">Table </w:t>
      </w:r>
      <w:r w:rsidR="003361A8">
        <w:rPr>
          <w:noProof/>
        </w:rPr>
        <w:t>54</w:t>
      </w:r>
      <w:r w:rsidR="00086C77">
        <w:fldChar w:fldCharType="end"/>
      </w:r>
      <w:r w:rsidRPr="00945E95">
        <w:t>)</w:t>
      </w:r>
      <w:r>
        <w:t>.</w:t>
      </w:r>
    </w:p>
    <w:p w:rsidR="002561B1" w:rsidRPr="00683A5F" w:rsidRDefault="002561B1" w:rsidP="00683A5F">
      <w:pPr>
        <w:pStyle w:val="Caption"/>
      </w:pPr>
      <w:bookmarkStart w:id="409" w:name="_Ref332800019"/>
      <w:bookmarkStart w:id="410" w:name="_Toc331766483"/>
      <w:bookmarkStart w:id="411" w:name="_Toc335666020"/>
      <w:bookmarkStart w:id="412" w:name="_Toc337546991"/>
      <w:r w:rsidRPr="00683A5F">
        <w:lastRenderedPageBreak/>
        <w:t xml:space="preserve">Table </w:t>
      </w:r>
      <w:fldSimple w:instr=" SEQ Table \* ARABIC ">
        <w:r w:rsidR="003361A8">
          <w:rPr>
            <w:noProof/>
          </w:rPr>
          <w:t>54</w:t>
        </w:r>
      </w:fldSimple>
      <w:bookmarkEnd w:id="409"/>
      <w:r w:rsidR="007E7C62">
        <w:tab/>
        <w:t>Relative sensitivity—</w:t>
      </w:r>
      <w:r w:rsidR="00C64B49">
        <w:t>CC</w:t>
      </w:r>
      <w:r w:rsidRPr="00683A5F">
        <w:t xml:space="preserve"> versus</w:t>
      </w:r>
      <w:r w:rsidR="007E7C62">
        <w:t xml:space="preserve"> cell filtration LBC;</w:t>
      </w:r>
      <w:r w:rsidR="00C64B49">
        <w:t xml:space="preserve"> </w:t>
      </w:r>
      <w:r w:rsidRPr="00683A5F">
        <w:t>NTCC trial</w:t>
      </w:r>
      <w:r w:rsidR="007E7C62">
        <w:t>, a</w:t>
      </w:r>
      <w:r w:rsidRPr="00683A5F">
        <w:t xml:space="preserve">ge </w:t>
      </w:r>
      <w:r w:rsidR="00B83BAD">
        <w:t>24–</w:t>
      </w:r>
      <w:r w:rsidRPr="00683A5F">
        <w:t>60</w:t>
      </w:r>
      <w:r w:rsidR="00B83BAD">
        <w:t xml:space="preserve"> years:</w:t>
      </w:r>
      <w:r w:rsidR="00C64B49">
        <w:t xml:space="preserve"> Ronco </w:t>
      </w:r>
      <w:r w:rsidRPr="00683A5F">
        <w:t>2007</w:t>
      </w:r>
      <w:bookmarkEnd w:id="410"/>
      <w:bookmarkEnd w:id="411"/>
      <w:bookmarkEnd w:id="41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42"/>
        <w:gridCol w:w="1936"/>
        <w:gridCol w:w="2086"/>
        <w:gridCol w:w="1627"/>
      </w:tblGrid>
      <w:tr w:rsidR="00257721" w:rsidRPr="00C64B49" w:rsidTr="00C64B49">
        <w:tc>
          <w:tcPr>
            <w:tcW w:w="1823" w:type="pct"/>
            <w:tcBorders>
              <w:right w:val="single" w:sz="4" w:space="0" w:color="auto"/>
            </w:tcBorders>
          </w:tcPr>
          <w:p w:rsidR="00257721" w:rsidRPr="00C64B49" w:rsidRDefault="00257721" w:rsidP="002561B1">
            <w:pPr>
              <w:pStyle w:val="Tabletext"/>
              <w:rPr>
                <w:b/>
              </w:rPr>
            </w:pPr>
          </w:p>
        </w:tc>
        <w:tc>
          <w:tcPr>
            <w:tcW w:w="3177" w:type="pct"/>
            <w:gridSpan w:val="3"/>
            <w:tcBorders>
              <w:top w:val="single" w:sz="4" w:space="0" w:color="auto"/>
              <w:right w:val="single" w:sz="4" w:space="0" w:color="auto"/>
            </w:tcBorders>
          </w:tcPr>
          <w:p w:rsidR="00257721" w:rsidRPr="00C64B49" w:rsidRDefault="00257721" w:rsidP="001B4D68">
            <w:pPr>
              <w:pStyle w:val="Tabletext"/>
              <w:rPr>
                <w:b/>
              </w:rPr>
            </w:pPr>
            <w:r w:rsidRPr="00C64B49">
              <w:rPr>
                <w:b/>
              </w:rPr>
              <w:t xml:space="preserve">Histological </w:t>
            </w:r>
            <w:r w:rsidR="001B4D68" w:rsidRPr="00C64B49">
              <w:rPr>
                <w:b/>
              </w:rPr>
              <w:t xml:space="preserve">CIN </w:t>
            </w:r>
            <w:r w:rsidRPr="00C64B49">
              <w:rPr>
                <w:b/>
              </w:rPr>
              <w:t>endpoint</w:t>
            </w:r>
          </w:p>
        </w:tc>
      </w:tr>
      <w:tr w:rsidR="002561B1" w:rsidRPr="00C64B49" w:rsidTr="00C64B49">
        <w:tc>
          <w:tcPr>
            <w:tcW w:w="1823" w:type="pct"/>
            <w:tcBorders>
              <w:right w:val="single" w:sz="4" w:space="0" w:color="auto"/>
            </w:tcBorders>
          </w:tcPr>
          <w:p w:rsidR="002561B1" w:rsidRPr="00C64B49" w:rsidRDefault="002561B1" w:rsidP="002561B1">
            <w:pPr>
              <w:pStyle w:val="Tabletext"/>
              <w:rPr>
                <w:b/>
              </w:rPr>
            </w:pPr>
          </w:p>
        </w:tc>
        <w:tc>
          <w:tcPr>
            <w:tcW w:w="1089" w:type="pct"/>
          </w:tcPr>
          <w:p w:rsidR="002561B1" w:rsidRPr="00C64B49" w:rsidRDefault="00FC4D8A" w:rsidP="002561B1">
            <w:pPr>
              <w:pStyle w:val="Tabletext"/>
              <w:rPr>
                <w:b/>
              </w:rPr>
            </w:pPr>
            <w:r w:rsidRPr="00C64B49">
              <w:rPr>
                <w:b/>
              </w:rPr>
              <w:t>CIN</w:t>
            </w:r>
            <w:r w:rsidR="00C64B49">
              <w:rPr>
                <w:b/>
              </w:rPr>
              <w:t xml:space="preserve"> </w:t>
            </w:r>
            <w:r w:rsidRPr="00C64B49">
              <w:rPr>
                <w:b/>
              </w:rPr>
              <w:t>1+</w:t>
            </w:r>
            <w:r w:rsidR="002561B1" w:rsidRPr="00C64B49">
              <w:rPr>
                <w:b/>
              </w:rPr>
              <w:t>, %(n)</w:t>
            </w:r>
          </w:p>
        </w:tc>
        <w:tc>
          <w:tcPr>
            <w:tcW w:w="1173" w:type="pct"/>
          </w:tcPr>
          <w:p w:rsidR="002561B1" w:rsidRPr="00C64B49" w:rsidRDefault="00FC4D8A" w:rsidP="002561B1">
            <w:pPr>
              <w:pStyle w:val="Tabletext"/>
              <w:rPr>
                <w:b/>
              </w:rPr>
            </w:pPr>
            <w:r w:rsidRPr="00C64B49">
              <w:rPr>
                <w:b/>
              </w:rPr>
              <w:t>CIN</w:t>
            </w:r>
            <w:r w:rsidR="00C64B49">
              <w:rPr>
                <w:b/>
              </w:rPr>
              <w:t xml:space="preserve"> </w:t>
            </w:r>
            <w:r w:rsidRPr="00C64B49">
              <w:rPr>
                <w:b/>
              </w:rPr>
              <w:t>2+</w:t>
            </w:r>
            <w:r w:rsidR="002561B1" w:rsidRPr="00C64B49">
              <w:rPr>
                <w:b/>
              </w:rPr>
              <w:t>, %(n)</w:t>
            </w:r>
          </w:p>
        </w:tc>
        <w:tc>
          <w:tcPr>
            <w:tcW w:w="915" w:type="pct"/>
            <w:tcBorders>
              <w:right w:val="single" w:sz="4" w:space="0" w:color="auto"/>
            </w:tcBorders>
          </w:tcPr>
          <w:p w:rsidR="002561B1" w:rsidRPr="00C64B49" w:rsidRDefault="00FC4D8A" w:rsidP="002561B1">
            <w:pPr>
              <w:pStyle w:val="Tabletext"/>
              <w:rPr>
                <w:b/>
              </w:rPr>
            </w:pPr>
            <w:r w:rsidRPr="00C64B49">
              <w:rPr>
                <w:b/>
              </w:rPr>
              <w:t>CIN</w:t>
            </w:r>
            <w:r w:rsidR="00C64B49">
              <w:rPr>
                <w:b/>
              </w:rPr>
              <w:t xml:space="preserve"> </w:t>
            </w:r>
            <w:r w:rsidRPr="00C64B49">
              <w:rPr>
                <w:b/>
              </w:rPr>
              <w:t>3+</w:t>
            </w:r>
            <w:r w:rsidR="002561B1" w:rsidRPr="00C64B49">
              <w:rPr>
                <w:b/>
              </w:rPr>
              <w:t>, %(n)</w:t>
            </w:r>
          </w:p>
        </w:tc>
      </w:tr>
      <w:tr w:rsidR="00A826EF" w:rsidRPr="00767F7A" w:rsidTr="00C64B49">
        <w:tc>
          <w:tcPr>
            <w:tcW w:w="5000" w:type="pct"/>
            <w:gridSpan w:val="4"/>
            <w:tcBorders>
              <w:right w:val="single" w:sz="4" w:space="0" w:color="auto"/>
            </w:tcBorders>
          </w:tcPr>
          <w:p w:rsidR="00A826EF" w:rsidRDefault="00A826EF" w:rsidP="002D28E4">
            <w:pPr>
              <w:pStyle w:val="Tabletext"/>
            </w:pPr>
            <w:r w:rsidRPr="00257721">
              <w:rPr>
                <w:b/>
              </w:rPr>
              <w:t xml:space="preserve">Positive if cytology shows </w:t>
            </w:r>
            <w:r w:rsidR="002D28E4">
              <w:rPr>
                <w:b/>
              </w:rPr>
              <w:t>ASCUS</w:t>
            </w:r>
            <w:r w:rsidRPr="00257721">
              <w:rPr>
                <w:b/>
              </w:rPr>
              <w:t xml:space="preserve"> or more</w:t>
            </w:r>
          </w:p>
        </w:tc>
      </w:tr>
      <w:tr w:rsidR="0025365D" w:rsidRPr="00767F7A" w:rsidTr="0025365D">
        <w:tc>
          <w:tcPr>
            <w:tcW w:w="5000" w:type="pct"/>
            <w:gridSpan w:val="4"/>
            <w:tcBorders>
              <w:right w:val="single" w:sz="4" w:space="0" w:color="auto"/>
            </w:tcBorders>
          </w:tcPr>
          <w:p w:rsidR="0025365D" w:rsidRDefault="0025365D" w:rsidP="002561B1">
            <w:pPr>
              <w:pStyle w:val="Tabletext"/>
            </w:pPr>
            <w:r w:rsidRPr="00257721">
              <w:rPr>
                <w:i/>
              </w:rPr>
              <w:t>Detection rate</w:t>
            </w:r>
          </w:p>
        </w:tc>
      </w:tr>
      <w:tr w:rsidR="002561B1" w:rsidRPr="00767F7A" w:rsidTr="00C64B49">
        <w:tc>
          <w:tcPr>
            <w:tcW w:w="1823" w:type="pct"/>
            <w:tcBorders>
              <w:right w:val="single" w:sz="4" w:space="0" w:color="auto"/>
            </w:tcBorders>
          </w:tcPr>
          <w:p w:rsidR="002561B1" w:rsidRDefault="002561B1" w:rsidP="0025365D">
            <w:pPr>
              <w:pStyle w:val="Tabletext"/>
              <w:ind w:left="720"/>
            </w:pPr>
            <w:r>
              <w:t>Conventional group</w:t>
            </w:r>
          </w:p>
        </w:tc>
        <w:tc>
          <w:tcPr>
            <w:tcW w:w="1089" w:type="pct"/>
          </w:tcPr>
          <w:p w:rsidR="002561B1" w:rsidRDefault="002561B1" w:rsidP="002561B1">
            <w:pPr>
              <w:pStyle w:val="Tabletext"/>
            </w:pPr>
            <w:r>
              <w:t>0.82</w:t>
            </w:r>
            <w:r w:rsidR="00C64B49">
              <w:t xml:space="preserve"> </w:t>
            </w:r>
            <w:r>
              <w:t>(184)</w:t>
            </w:r>
          </w:p>
        </w:tc>
        <w:tc>
          <w:tcPr>
            <w:tcW w:w="1173" w:type="pct"/>
          </w:tcPr>
          <w:p w:rsidR="002561B1" w:rsidRDefault="002561B1" w:rsidP="002561B1">
            <w:pPr>
              <w:pStyle w:val="Tabletext"/>
            </w:pPr>
            <w:r>
              <w:t>0.37</w:t>
            </w:r>
            <w:r w:rsidR="00C64B49">
              <w:t xml:space="preserve"> </w:t>
            </w:r>
            <w:r>
              <w:t>(84)</w:t>
            </w:r>
          </w:p>
        </w:tc>
        <w:tc>
          <w:tcPr>
            <w:tcW w:w="915" w:type="pct"/>
            <w:tcBorders>
              <w:right w:val="single" w:sz="4" w:space="0" w:color="auto"/>
            </w:tcBorders>
          </w:tcPr>
          <w:p w:rsidR="002561B1" w:rsidRPr="0067783C" w:rsidRDefault="002561B1" w:rsidP="002561B1">
            <w:pPr>
              <w:pStyle w:val="Tabletext"/>
            </w:pPr>
            <w:r>
              <w:t>0.24</w:t>
            </w:r>
            <w:r w:rsidR="00C64B49">
              <w:t xml:space="preserve"> </w:t>
            </w:r>
            <w:r>
              <w:t>(53)</w:t>
            </w:r>
          </w:p>
        </w:tc>
      </w:tr>
      <w:tr w:rsidR="002561B1" w:rsidRPr="00767F7A" w:rsidTr="00C64B49">
        <w:tc>
          <w:tcPr>
            <w:tcW w:w="1823" w:type="pct"/>
            <w:tcBorders>
              <w:right w:val="single" w:sz="4" w:space="0" w:color="auto"/>
            </w:tcBorders>
          </w:tcPr>
          <w:p w:rsidR="002561B1" w:rsidRDefault="003C0082" w:rsidP="0025365D">
            <w:pPr>
              <w:pStyle w:val="Tabletext"/>
              <w:ind w:left="720"/>
            </w:pPr>
            <w:r>
              <w:t xml:space="preserve">LBC </w:t>
            </w:r>
            <w:r w:rsidR="002561B1">
              <w:t>group</w:t>
            </w:r>
            <w:r w:rsidR="002561B1" w:rsidRPr="007A7D60">
              <w:rPr>
                <w:vertAlign w:val="superscript"/>
              </w:rPr>
              <w:t>a</w:t>
            </w:r>
          </w:p>
        </w:tc>
        <w:tc>
          <w:tcPr>
            <w:tcW w:w="1089" w:type="pct"/>
          </w:tcPr>
          <w:p w:rsidR="002561B1" w:rsidRDefault="002561B1" w:rsidP="002561B1">
            <w:pPr>
              <w:pStyle w:val="Tabletext"/>
            </w:pPr>
            <w:r>
              <w:t>1.38</w:t>
            </w:r>
            <w:r w:rsidR="00C64B49">
              <w:t xml:space="preserve"> </w:t>
            </w:r>
            <w:r>
              <w:t>(313)</w:t>
            </w:r>
          </w:p>
        </w:tc>
        <w:tc>
          <w:tcPr>
            <w:tcW w:w="1173" w:type="pct"/>
          </w:tcPr>
          <w:p w:rsidR="002561B1" w:rsidRDefault="002561B1" w:rsidP="002561B1">
            <w:pPr>
              <w:pStyle w:val="Tabletext"/>
            </w:pPr>
            <w:r>
              <w:t>0.44</w:t>
            </w:r>
            <w:r w:rsidR="00C64B49">
              <w:t xml:space="preserve"> </w:t>
            </w:r>
            <w:r>
              <w:t>(99)</w:t>
            </w:r>
          </w:p>
        </w:tc>
        <w:tc>
          <w:tcPr>
            <w:tcW w:w="915" w:type="pct"/>
            <w:tcBorders>
              <w:right w:val="single" w:sz="4" w:space="0" w:color="auto"/>
            </w:tcBorders>
          </w:tcPr>
          <w:p w:rsidR="002561B1" w:rsidRDefault="002561B1" w:rsidP="002561B1">
            <w:pPr>
              <w:pStyle w:val="Tabletext"/>
            </w:pPr>
            <w:r>
              <w:t>0.20</w:t>
            </w:r>
            <w:r w:rsidR="00C64B49">
              <w:t xml:space="preserve"> </w:t>
            </w:r>
            <w:r>
              <w:t>(45)</w:t>
            </w:r>
          </w:p>
        </w:tc>
      </w:tr>
      <w:tr w:rsidR="002561B1" w:rsidRPr="00767F7A" w:rsidTr="00C64B49">
        <w:tc>
          <w:tcPr>
            <w:tcW w:w="1823" w:type="pct"/>
            <w:tcBorders>
              <w:right w:val="single" w:sz="4" w:space="0" w:color="auto"/>
            </w:tcBorders>
          </w:tcPr>
          <w:p w:rsidR="002561B1" w:rsidRPr="00257721" w:rsidRDefault="002561B1" w:rsidP="002561B1">
            <w:pPr>
              <w:pStyle w:val="Tabletext"/>
              <w:rPr>
                <w:i/>
              </w:rPr>
            </w:pPr>
            <w:r w:rsidRPr="00257721">
              <w:rPr>
                <w:i/>
              </w:rPr>
              <w:t>Relative sensitivity</w:t>
            </w:r>
            <w:r w:rsidRPr="00257721">
              <w:rPr>
                <w:i/>
                <w:vertAlign w:val="superscript"/>
              </w:rPr>
              <w:t>b</w:t>
            </w:r>
            <w:r w:rsidRPr="00257721">
              <w:rPr>
                <w:i/>
              </w:rPr>
              <w:t xml:space="preserve"> (</w:t>
            </w:r>
            <w:r w:rsidR="005E0D57">
              <w:rPr>
                <w:i/>
              </w:rPr>
              <w:t>95% CI</w:t>
            </w:r>
            <w:r w:rsidRPr="00257721">
              <w:rPr>
                <w:i/>
              </w:rPr>
              <w:t>)</w:t>
            </w:r>
          </w:p>
        </w:tc>
        <w:tc>
          <w:tcPr>
            <w:tcW w:w="1089" w:type="pct"/>
          </w:tcPr>
          <w:p w:rsidR="002561B1" w:rsidRDefault="002561B1" w:rsidP="002561B1">
            <w:pPr>
              <w:pStyle w:val="Tabletext"/>
            </w:pPr>
            <w:r>
              <w:t>1.68</w:t>
            </w:r>
            <w:r w:rsidR="00C64B49">
              <w:t xml:space="preserve"> </w:t>
            </w:r>
            <w:r>
              <w:t>(1.40 to 2.02)</w:t>
            </w:r>
          </w:p>
        </w:tc>
        <w:tc>
          <w:tcPr>
            <w:tcW w:w="1173" w:type="pct"/>
          </w:tcPr>
          <w:p w:rsidR="002561B1" w:rsidRDefault="002561B1" w:rsidP="002561B1">
            <w:pPr>
              <w:pStyle w:val="Tabletext"/>
            </w:pPr>
            <w:r>
              <w:t>1.17</w:t>
            </w:r>
            <w:r w:rsidR="00C64B49">
              <w:t xml:space="preserve"> </w:t>
            </w:r>
            <w:r>
              <w:t>(0.87 to 1.56)</w:t>
            </w:r>
          </w:p>
        </w:tc>
        <w:tc>
          <w:tcPr>
            <w:tcW w:w="915" w:type="pct"/>
            <w:tcBorders>
              <w:right w:val="single" w:sz="4" w:space="0" w:color="auto"/>
            </w:tcBorders>
          </w:tcPr>
          <w:p w:rsidR="002561B1" w:rsidRDefault="002561B1" w:rsidP="002561B1">
            <w:pPr>
              <w:pStyle w:val="Tabletext"/>
            </w:pPr>
            <w:r>
              <w:t>0.84</w:t>
            </w:r>
            <w:r w:rsidR="00C64B49">
              <w:t xml:space="preserve"> </w:t>
            </w:r>
            <w:r>
              <w:t>(0.56 to 1.25)</w:t>
            </w:r>
          </w:p>
        </w:tc>
      </w:tr>
      <w:tr w:rsidR="00A826EF" w:rsidRPr="00767F7A" w:rsidTr="00C64B49">
        <w:tc>
          <w:tcPr>
            <w:tcW w:w="5000" w:type="pct"/>
            <w:gridSpan w:val="4"/>
            <w:tcBorders>
              <w:right w:val="single" w:sz="4" w:space="0" w:color="auto"/>
            </w:tcBorders>
          </w:tcPr>
          <w:p w:rsidR="00A826EF" w:rsidRDefault="00A826EF" w:rsidP="002D28E4">
            <w:pPr>
              <w:pStyle w:val="Tabletext"/>
            </w:pPr>
            <w:r w:rsidRPr="00257721">
              <w:rPr>
                <w:b/>
              </w:rPr>
              <w:t xml:space="preserve">Positive if cytology shows </w:t>
            </w:r>
            <w:r w:rsidR="002D28E4">
              <w:rPr>
                <w:b/>
              </w:rPr>
              <w:t>LSIL</w:t>
            </w:r>
            <w:r w:rsidRPr="00257721">
              <w:rPr>
                <w:b/>
              </w:rPr>
              <w:t xml:space="preserve"> or more</w:t>
            </w:r>
          </w:p>
        </w:tc>
      </w:tr>
      <w:tr w:rsidR="0025365D" w:rsidRPr="00767F7A" w:rsidTr="0025365D">
        <w:tc>
          <w:tcPr>
            <w:tcW w:w="5000" w:type="pct"/>
            <w:gridSpan w:val="4"/>
            <w:tcBorders>
              <w:right w:val="single" w:sz="4" w:space="0" w:color="auto"/>
            </w:tcBorders>
          </w:tcPr>
          <w:p w:rsidR="0025365D" w:rsidRDefault="0025365D" w:rsidP="002561B1">
            <w:pPr>
              <w:pStyle w:val="Tabletext"/>
            </w:pPr>
            <w:r w:rsidRPr="00257721">
              <w:rPr>
                <w:i/>
              </w:rPr>
              <w:t>Detection rate</w:t>
            </w:r>
          </w:p>
        </w:tc>
      </w:tr>
      <w:tr w:rsidR="002561B1" w:rsidRPr="00767F7A" w:rsidTr="00C64B49">
        <w:tc>
          <w:tcPr>
            <w:tcW w:w="1823" w:type="pct"/>
            <w:tcBorders>
              <w:right w:val="single" w:sz="4" w:space="0" w:color="auto"/>
            </w:tcBorders>
          </w:tcPr>
          <w:p w:rsidR="002561B1" w:rsidRDefault="002561B1" w:rsidP="0025365D">
            <w:pPr>
              <w:pStyle w:val="Tabletext"/>
              <w:ind w:left="720"/>
            </w:pPr>
            <w:r>
              <w:t>Conventional group</w:t>
            </w:r>
          </w:p>
        </w:tc>
        <w:tc>
          <w:tcPr>
            <w:tcW w:w="1089" w:type="pct"/>
          </w:tcPr>
          <w:p w:rsidR="002561B1" w:rsidRDefault="002561B1" w:rsidP="002561B1">
            <w:pPr>
              <w:pStyle w:val="Tabletext"/>
            </w:pPr>
            <w:r>
              <w:t>0.55</w:t>
            </w:r>
            <w:r w:rsidR="00C64B49">
              <w:t xml:space="preserve"> </w:t>
            </w:r>
            <w:r>
              <w:t>(123)</w:t>
            </w:r>
          </w:p>
        </w:tc>
        <w:tc>
          <w:tcPr>
            <w:tcW w:w="1173" w:type="pct"/>
          </w:tcPr>
          <w:p w:rsidR="002561B1" w:rsidRDefault="002561B1" w:rsidP="002561B1">
            <w:pPr>
              <w:pStyle w:val="Tabletext"/>
            </w:pPr>
            <w:r>
              <w:t>0.31</w:t>
            </w:r>
            <w:r w:rsidR="00C64B49">
              <w:t xml:space="preserve"> </w:t>
            </w:r>
            <w:r>
              <w:t>(70</w:t>
            </w:r>
            <w:r w:rsidR="00C64B49">
              <w:t>)</w:t>
            </w:r>
          </w:p>
        </w:tc>
        <w:tc>
          <w:tcPr>
            <w:tcW w:w="915" w:type="pct"/>
            <w:tcBorders>
              <w:right w:val="single" w:sz="4" w:space="0" w:color="auto"/>
            </w:tcBorders>
          </w:tcPr>
          <w:p w:rsidR="002561B1" w:rsidRDefault="002561B1" w:rsidP="002561B1">
            <w:pPr>
              <w:pStyle w:val="Tabletext"/>
            </w:pPr>
            <w:r>
              <w:t>0.20</w:t>
            </w:r>
            <w:r w:rsidR="00C64B49">
              <w:t xml:space="preserve"> </w:t>
            </w:r>
            <w:r>
              <w:t>(44)</w:t>
            </w:r>
          </w:p>
        </w:tc>
      </w:tr>
      <w:tr w:rsidR="002561B1" w:rsidRPr="00767F7A" w:rsidTr="00C64B49">
        <w:tc>
          <w:tcPr>
            <w:tcW w:w="1823" w:type="pct"/>
            <w:tcBorders>
              <w:right w:val="single" w:sz="4" w:space="0" w:color="auto"/>
            </w:tcBorders>
          </w:tcPr>
          <w:p w:rsidR="002561B1" w:rsidRDefault="003C0082" w:rsidP="0025365D">
            <w:pPr>
              <w:pStyle w:val="Tabletext"/>
              <w:ind w:left="720"/>
            </w:pPr>
            <w:r>
              <w:t>LBC</w:t>
            </w:r>
            <w:r w:rsidR="002561B1">
              <w:t xml:space="preserve"> group</w:t>
            </w:r>
            <w:r w:rsidR="002561B1" w:rsidRPr="007A7D60">
              <w:rPr>
                <w:vertAlign w:val="superscript"/>
              </w:rPr>
              <w:t>a</w:t>
            </w:r>
          </w:p>
        </w:tc>
        <w:tc>
          <w:tcPr>
            <w:tcW w:w="1089" w:type="pct"/>
          </w:tcPr>
          <w:p w:rsidR="002561B1" w:rsidRDefault="002561B1" w:rsidP="002561B1">
            <w:pPr>
              <w:pStyle w:val="Tabletext"/>
            </w:pPr>
            <w:r>
              <w:t>0.95</w:t>
            </w:r>
            <w:r w:rsidR="00C64B49">
              <w:t xml:space="preserve"> </w:t>
            </w:r>
            <w:r>
              <w:t>(211)</w:t>
            </w:r>
          </w:p>
        </w:tc>
        <w:tc>
          <w:tcPr>
            <w:tcW w:w="1173" w:type="pct"/>
          </w:tcPr>
          <w:p w:rsidR="002561B1" w:rsidRDefault="002561B1" w:rsidP="002561B1">
            <w:pPr>
              <w:pStyle w:val="Tabletext"/>
            </w:pPr>
            <w:r>
              <w:t>0.32</w:t>
            </w:r>
            <w:r w:rsidR="00C64B49">
              <w:t xml:space="preserve"> </w:t>
            </w:r>
            <w:r>
              <w:t>(73</w:t>
            </w:r>
            <w:r w:rsidR="00C64B49">
              <w:t>)</w:t>
            </w:r>
          </w:p>
        </w:tc>
        <w:tc>
          <w:tcPr>
            <w:tcW w:w="915" w:type="pct"/>
            <w:tcBorders>
              <w:right w:val="single" w:sz="4" w:space="0" w:color="auto"/>
            </w:tcBorders>
          </w:tcPr>
          <w:p w:rsidR="002561B1" w:rsidRDefault="002561B1" w:rsidP="002561B1">
            <w:pPr>
              <w:pStyle w:val="Tabletext"/>
            </w:pPr>
            <w:r>
              <w:t>0.14</w:t>
            </w:r>
            <w:r w:rsidR="00C64B49">
              <w:t xml:space="preserve"> </w:t>
            </w:r>
            <w:r>
              <w:t>(32)</w:t>
            </w:r>
          </w:p>
        </w:tc>
      </w:tr>
      <w:tr w:rsidR="002561B1" w:rsidRPr="00767F7A" w:rsidTr="00C64B49">
        <w:tc>
          <w:tcPr>
            <w:tcW w:w="1823" w:type="pct"/>
            <w:tcBorders>
              <w:right w:val="single" w:sz="4" w:space="0" w:color="auto"/>
            </w:tcBorders>
          </w:tcPr>
          <w:p w:rsidR="002561B1" w:rsidRPr="00257721" w:rsidRDefault="002561B1" w:rsidP="002561B1">
            <w:pPr>
              <w:pStyle w:val="Tabletext"/>
              <w:rPr>
                <w:i/>
              </w:rPr>
            </w:pPr>
            <w:r w:rsidRPr="00257721">
              <w:rPr>
                <w:i/>
              </w:rPr>
              <w:t>Relative sensitivity</w:t>
            </w:r>
            <w:r w:rsidRPr="00257721">
              <w:rPr>
                <w:i/>
                <w:vertAlign w:val="superscript"/>
              </w:rPr>
              <w:t>b</w:t>
            </w:r>
            <w:r w:rsidRPr="00257721">
              <w:rPr>
                <w:i/>
              </w:rPr>
              <w:t xml:space="preserve"> (</w:t>
            </w:r>
            <w:r w:rsidR="005E0D57">
              <w:rPr>
                <w:i/>
              </w:rPr>
              <w:t>95% CI</w:t>
            </w:r>
            <w:r w:rsidRPr="00257721">
              <w:rPr>
                <w:i/>
              </w:rPr>
              <w:t>)</w:t>
            </w:r>
          </w:p>
        </w:tc>
        <w:tc>
          <w:tcPr>
            <w:tcW w:w="1089" w:type="pct"/>
          </w:tcPr>
          <w:p w:rsidR="002561B1" w:rsidRDefault="002561B1" w:rsidP="002561B1">
            <w:pPr>
              <w:pStyle w:val="Tabletext"/>
            </w:pPr>
            <w:r>
              <w:t>1.70</w:t>
            </w:r>
            <w:r w:rsidR="00C64B49">
              <w:t xml:space="preserve"> </w:t>
            </w:r>
            <w:r>
              <w:t>(1.36 to 2.12)</w:t>
            </w:r>
          </w:p>
        </w:tc>
        <w:tc>
          <w:tcPr>
            <w:tcW w:w="1173" w:type="pct"/>
          </w:tcPr>
          <w:p w:rsidR="002561B1" w:rsidRDefault="002561B1" w:rsidP="002561B1">
            <w:pPr>
              <w:pStyle w:val="Tabletext"/>
            </w:pPr>
            <w:r>
              <w:t>1.03</w:t>
            </w:r>
            <w:r w:rsidR="00C64B49">
              <w:t xml:space="preserve"> </w:t>
            </w:r>
            <w:r>
              <w:t>(0.74 to 1.43)</w:t>
            </w:r>
          </w:p>
        </w:tc>
        <w:tc>
          <w:tcPr>
            <w:tcW w:w="915" w:type="pct"/>
            <w:tcBorders>
              <w:right w:val="single" w:sz="4" w:space="0" w:color="auto"/>
            </w:tcBorders>
          </w:tcPr>
          <w:p w:rsidR="002561B1" w:rsidRDefault="002561B1" w:rsidP="002561B1">
            <w:pPr>
              <w:pStyle w:val="Tabletext"/>
            </w:pPr>
            <w:r>
              <w:t>0.72</w:t>
            </w:r>
            <w:r w:rsidR="00C64B49">
              <w:t xml:space="preserve"> </w:t>
            </w:r>
            <w:r>
              <w:t>(0.46 to1.13)</w:t>
            </w:r>
          </w:p>
        </w:tc>
      </w:tr>
      <w:tr w:rsidR="00257721" w:rsidRPr="00767F7A" w:rsidTr="00C64B49">
        <w:tc>
          <w:tcPr>
            <w:tcW w:w="5000" w:type="pct"/>
            <w:gridSpan w:val="4"/>
            <w:tcBorders>
              <w:right w:val="single" w:sz="4" w:space="0" w:color="auto"/>
            </w:tcBorders>
          </w:tcPr>
          <w:p w:rsidR="00257721" w:rsidRDefault="00257721" w:rsidP="002561B1">
            <w:pPr>
              <w:pStyle w:val="Tabletext"/>
            </w:pPr>
            <w:r>
              <w:t>Source: Ronco 2007 Table 3</w:t>
            </w:r>
          </w:p>
        </w:tc>
      </w:tr>
    </w:tbl>
    <w:p w:rsidR="002561B1" w:rsidRDefault="002561B1" w:rsidP="00C64B49">
      <w:pPr>
        <w:pStyle w:val="Tabletext"/>
      </w:pPr>
      <w:r w:rsidRPr="000D3CB5">
        <w:t xml:space="preserve">Abbreviations: </w:t>
      </w:r>
      <w:r w:rsidR="00B83BAD" w:rsidRPr="000D3CB5">
        <w:t xml:space="preserve">ASCUS, </w:t>
      </w:r>
      <w:r w:rsidR="000D3CB5" w:rsidRPr="000D3CB5">
        <w:t>Atypical squamous cells of undetermined significance</w:t>
      </w:r>
      <w:r w:rsidR="000D3CB5">
        <w:t>;</w:t>
      </w:r>
      <w:r w:rsidR="000D3CB5" w:rsidRPr="000D3CB5">
        <w:t xml:space="preserve"> </w:t>
      </w:r>
      <w:r w:rsidR="00B83BAD">
        <w:t xml:space="preserve">CIN, cervical intraepithelial neoplasia; </w:t>
      </w:r>
      <w:r>
        <w:t>CI, confidence interval</w:t>
      </w:r>
    </w:p>
    <w:p w:rsidR="002561B1" w:rsidRDefault="002561B1" w:rsidP="00C64B49">
      <w:pPr>
        <w:pStyle w:val="Tabletext"/>
      </w:pPr>
      <w:r>
        <w:t>Note:</w:t>
      </w:r>
      <w:r w:rsidRPr="002614A4">
        <w:t xml:space="preserve"> </w:t>
      </w:r>
      <w:r>
        <w:t xml:space="preserve">For detection rate and relative </w:t>
      </w:r>
      <w:r w:rsidR="007E7C62">
        <w:t>sensitivity denominators are 22,</w:t>
      </w:r>
      <w:r>
        <w:t>466 wom</w:t>
      </w:r>
      <w:r w:rsidR="007E7C62">
        <w:t>en in conventional group and 22,</w:t>
      </w:r>
      <w:r>
        <w:t xml:space="preserve">708 in </w:t>
      </w:r>
      <w:r w:rsidR="003C0082">
        <w:t>LBC</w:t>
      </w:r>
      <w:r>
        <w:t xml:space="preserve"> group. For positive predictive values and relative positive predictive values denominators are women with positive cytology for atypical cells of undetermined significance who had had colposcopy: 661 in conventional group and 1337 in </w:t>
      </w:r>
      <w:r w:rsidR="003C0082">
        <w:t>LBC</w:t>
      </w:r>
      <w:r w:rsidR="007E7C62">
        <w:t xml:space="preserve"> group</w:t>
      </w:r>
    </w:p>
    <w:p w:rsidR="00C64B49" w:rsidRDefault="007E7C62" w:rsidP="00AB012A">
      <w:pPr>
        <w:pStyle w:val="Tabletext"/>
        <w:numPr>
          <w:ilvl w:val="0"/>
          <w:numId w:val="26"/>
        </w:numPr>
      </w:pPr>
      <w:r>
        <w:t xml:space="preserve">Only </w:t>
      </w:r>
      <w:r w:rsidR="001B4D68">
        <w:t>CIN</w:t>
      </w:r>
      <w:r w:rsidR="002561B1">
        <w:t xml:space="preserve"> detected by cytology considered</w:t>
      </w:r>
    </w:p>
    <w:p w:rsidR="003C2C65" w:rsidRDefault="002561B1" w:rsidP="00AB012A">
      <w:pPr>
        <w:pStyle w:val="Tabletext"/>
        <w:numPr>
          <w:ilvl w:val="0"/>
          <w:numId w:val="26"/>
        </w:numPr>
      </w:pPr>
      <w:r>
        <w:t xml:space="preserve">Ratio of percentages. </w:t>
      </w:r>
      <w:r w:rsidR="003C0082">
        <w:t>LBC</w:t>
      </w:r>
      <w:r>
        <w:t xml:space="preserve"> com</w:t>
      </w:r>
      <w:r w:rsidR="00A4060E">
        <w:t>pared with conventional cytology</w:t>
      </w:r>
    </w:p>
    <w:p w:rsidR="00A4060E" w:rsidRDefault="00A4060E" w:rsidP="00C64B49"/>
    <w:p w:rsidR="00CB7CAE" w:rsidRDefault="00C64B49" w:rsidP="00C902AF">
      <w:r>
        <w:t>The relative sensitivity</w:t>
      </w:r>
      <w:r w:rsidR="00CB7CAE">
        <w:t xml:space="preserve"> </w:t>
      </w:r>
      <w:r w:rsidR="00CB7CAE" w:rsidRPr="00C902AF">
        <w:t>for histologically confirmed CIN</w:t>
      </w:r>
      <w:r>
        <w:t xml:space="preserve"> </w:t>
      </w:r>
      <w:r w:rsidR="00CB7CAE" w:rsidRPr="00C902AF">
        <w:t xml:space="preserve">2+ </w:t>
      </w:r>
      <w:r w:rsidR="00CB7CAE">
        <w:t xml:space="preserve">reported in </w:t>
      </w:r>
      <w:r>
        <w:t>the RHINE SAAR trial is presented</w:t>
      </w:r>
      <w:r w:rsidR="00CB7CAE">
        <w:t xml:space="preserve"> in </w:t>
      </w:r>
      <w:r w:rsidR="00086C77">
        <w:fldChar w:fldCharType="begin"/>
      </w:r>
      <w:r w:rsidR="00CB7CAE">
        <w:instrText xml:space="preserve"> REF _Ref332828384 \h </w:instrText>
      </w:r>
      <w:r w:rsidR="00086C77">
        <w:fldChar w:fldCharType="separate"/>
      </w:r>
      <w:r w:rsidR="003361A8">
        <w:t xml:space="preserve">Table </w:t>
      </w:r>
      <w:r w:rsidR="003361A8">
        <w:rPr>
          <w:noProof/>
        </w:rPr>
        <w:t>55</w:t>
      </w:r>
      <w:r w:rsidR="00086C77">
        <w:fldChar w:fldCharType="end"/>
      </w:r>
      <w:r w:rsidR="00CB7CAE">
        <w:t xml:space="preserve">. </w:t>
      </w:r>
    </w:p>
    <w:p w:rsidR="00FA2420" w:rsidRDefault="00FC4D8A" w:rsidP="00C902AF">
      <w:r>
        <w:t>There was a</w:t>
      </w:r>
      <w:r w:rsidRPr="00945E95">
        <w:t xml:space="preserve"> s</w:t>
      </w:r>
      <w:r>
        <w:t>ignificant increase</w:t>
      </w:r>
      <w:r w:rsidRPr="00945E95">
        <w:t xml:space="preserve"> in sensitivity</w:t>
      </w:r>
      <w:r>
        <w:t xml:space="preserve"> for CIN</w:t>
      </w:r>
      <w:r w:rsidR="00C64B49">
        <w:t xml:space="preserve"> </w:t>
      </w:r>
      <w:r>
        <w:t>2+</w:t>
      </w:r>
      <w:r w:rsidRPr="00945E95">
        <w:t xml:space="preserve"> for </w:t>
      </w:r>
      <w:r>
        <w:t xml:space="preserve">cell filtration LBC </w:t>
      </w:r>
      <w:r w:rsidRPr="00945E95">
        <w:t xml:space="preserve">compared with </w:t>
      </w:r>
      <w:r w:rsidR="00C64B49">
        <w:t>CC</w:t>
      </w:r>
      <w:r>
        <w:t xml:space="preserve"> </w:t>
      </w:r>
      <w:r w:rsidR="00CB7CAE">
        <w:t xml:space="preserve">read manually </w:t>
      </w:r>
      <w:r w:rsidR="00C64B49">
        <w:t>(relative s</w:t>
      </w:r>
      <w:r>
        <w:t xml:space="preserve">ensitivity 2.74, </w:t>
      </w:r>
      <w:r w:rsidR="00C64B49">
        <w:t xml:space="preserve">95% CI </w:t>
      </w:r>
      <w:r w:rsidR="00C902AF">
        <w:t>1.66</w:t>
      </w:r>
      <w:r w:rsidR="00CB7CAE">
        <w:t xml:space="preserve"> to</w:t>
      </w:r>
      <w:r w:rsidR="00C64B49">
        <w:t xml:space="preserve"> </w:t>
      </w:r>
      <w:r w:rsidR="00C902AF">
        <w:t xml:space="preserve">4.53). </w:t>
      </w:r>
    </w:p>
    <w:p w:rsidR="00C902AF" w:rsidRDefault="00C902AF" w:rsidP="00C902AF">
      <w:r>
        <w:t xml:space="preserve">All </w:t>
      </w:r>
      <w:r w:rsidR="00CB7CAE">
        <w:t xml:space="preserve">cell filtration </w:t>
      </w:r>
      <w:r>
        <w:t xml:space="preserve">LBC slides were </w:t>
      </w:r>
      <w:r w:rsidR="00CB7CAE">
        <w:t xml:space="preserve">also </w:t>
      </w:r>
      <w:r w:rsidR="00C64B49">
        <w:t>investigated with the computer-</w:t>
      </w:r>
      <w:r>
        <w:t>assisted ThinPrep Imaging System (TIP). The relative sensitivity reported for histologically confirmed CIN</w:t>
      </w:r>
      <w:r w:rsidR="00C64B49">
        <w:t xml:space="preserve"> </w:t>
      </w:r>
      <w:r>
        <w:t xml:space="preserve">2+ for </w:t>
      </w:r>
      <w:r w:rsidR="00CB7CAE">
        <w:t xml:space="preserve">cell filtration </w:t>
      </w:r>
      <w:r>
        <w:t xml:space="preserve">LBC analysed using the </w:t>
      </w:r>
      <w:r w:rsidR="003F791C">
        <w:t xml:space="preserve">ThinPrep Imaging </w:t>
      </w:r>
      <w:r w:rsidR="003F791C" w:rsidRPr="003F791C">
        <w:t>System (</w:t>
      </w:r>
      <w:r w:rsidRPr="003F791C">
        <w:t>TIS</w:t>
      </w:r>
      <w:r w:rsidR="003F791C" w:rsidRPr="003F791C">
        <w:t>)</w:t>
      </w:r>
      <w:r w:rsidRPr="003F791C">
        <w:t xml:space="preserve"> compared</w:t>
      </w:r>
      <w:r>
        <w:t xml:space="preserve"> to CC was </w:t>
      </w:r>
      <w:r w:rsidR="00CB7CAE">
        <w:t>significantly higher (</w:t>
      </w:r>
      <w:r>
        <w:t>3.17</w:t>
      </w:r>
      <w:r w:rsidR="00CB7CAE">
        <w:t>,</w:t>
      </w:r>
      <w:r w:rsidR="00C64B49">
        <w:t xml:space="preserve"> </w:t>
      </w:r>
      <w:r w:rsidR="00CB7CAE">
        <w:t>95%</w:t>
      </w:r>
      <w:r w:rsidR="00C64B49">
        <w:t xml:space="preserve"> CI </w:t>
      </w:r>
      <w:r w:rsidR="00CB7CAE">
        <w:t>1.9 to</w:t>
      </w:r>
      <w:r w:rsidR="00C64B49">
        <w:t xml:space="preserve"> </w:t>
      </w:r>
      <w:r>
        <w:t xml:space="preserve">5.19). </w:t>
      </w:r>
    </w:p>
    <w:p w:rsidR="00C902AF" w:rsidRDefault="00C902AF" w:rsidP="00FA2420">
      <w:pPr>
        <w:spacing w:after="120" w:line="240" w:lineRule="auto"/>
      </w:pPr>
    </w:p>
    <w:p w:rsidR="002561B1" w:rsidRDefault="002561B1" w:rsidP="002561B1">
      <w:pPr>
        <w:pStyle w:val="Caption"/>
      </w:pPr>
      <w:bookmarkStart w:id="413" w:name="_Ref332828384"/>
      <w:bookmarkStart w:id="414" w:name="_Toc331766488"/>
      <w:bookmarkStart w:id="415" w:name="_Toc335666021"/>
      <w:bookmarkStart w:id="416" w:name="_Toc337546992"/>
      <w:r>
        <w:lastRenderedPageBreak/>
        <w:t xml:space="preserve">Table </w:t>
      </w:r>
      <w:fldSimple w:instr=" SEQ Table \* ARABIC ">
        <w:r w:rsidR="003361A8">
          <w:rPr>
            <w:noProof/>
          </w:rPr>
          <w:t>55</w:t>
        </w:r>
      </w:fldSimple>
      <w:bookmarkEnd w:id="413"/>
      <w:r>
        <w:t xml:space="preserve"> </w:t>
      </w:r>
      <w:r>
        <w:tab/>
      </w:r>
      <w:r w:rsidRPr="00FA2420">
        <w:t>Relative sensitivity</w:t>
      </w:r>
      <w:r>
        <w:t xml:space="preserve"> for histologically confirmed CIN</w:t>
      </w:r>
      <w:r w:rsidR="00C64B49">
        <w:t xml:space="preserve"> </w:t>
      </w:r>
      <w:r>
        <w:t xml:space="preserve">2+ of </w:t>
      </w:r>
      <w:r w:rsidR="00C64B49">
        <w:t>CC</w:t>
      </w:r>
      <w:r>
        <w:t xml:space="preserve"> versus </w:t>
      </w:r>
      <w:r w:rsidR="00CB7CAE">
        <w:t>cell filtration LBC (</w:t>
      </w:r>
      <w:r>
        <w:t>manual and automated</w:t>
      </w:r>
      <w:r w:rsidR="00CB7CAE">
        <w:t xml:space="preserve"> analysis</w:t>
      </w:r>
      <w:r w:rsidR="00C64B49">
        <w:t>): RHINE-SAAR Study 2010–</w:t>
      </w:r>
      <w:r>
        <w:t>2011</w:t>
      </w:r>
      <w:bookmarkEnd w:id="414"/>
      <w:bookmarkEnd w:id="415"/>
      <w:bookmarkEnd w:id="41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5"/>
        <w:gridCol w:w="3123"/>
        <w:gridCol w:w="3423"/>
      </w:tblGrid>
      <w:tr w:rsidR="002561B1" w:rsidRPr="00C64B49" w:rsidTr="00C64B49">
        <w:tc>
          <w:tcPr>
            <w:tcW w:w="1319" w:type="pct"/>
            <w:tcBorders>
              <w:right w:val="single" w:sz="4" w:space="0" w:color="auto"/>
            </w:tcBorders>
          </w:tcPr>
          <w:p w:rsidR="002561B1" w:rsidRPr="00C64B49" w:rsidRDefault="002561B1" w:rsidP="002561B1">
            <w:pPr>
              <w:pStyle w:val="Tabletext"/>
              <w:rPr>
                <w:b/>
              </w:rPr>
            </w:pPr>
          </w:p>
        </w:tc>
        <w:tc>
          <w:tcPr>
            <w:tcW w:w="1756" w:type="pct"/>
            <w:tcBorders>
              <w:left w:val="single" w:sz="4" w:space="0" w:color="auto"/>
            </w:tcBorders>
          </w:tcPr>
          <w:p w:rsidR="002561B1" w:rsidRPr="00C64B49" w:rsidRDefault="002561B1" w:rsidP="002561B1">
            <w:pPr>
              <w:pStyle w:val="Tabletext"/>
              <w:rPr>
                <w:b/>
              </w:rPr>
            </w:pPr>
            <w:r w:rsidRPr="00C64B49">
              <w:rPr>
                <w:b/>
              </w:rPr>
              <w:t xml:space="preserve">CC </w:t>
            </w:r>
            <w:r w:rsidR="00DB47A3" w:rsidRPr="00C64B49">
              <w:rPr>
                <w:b/>
              </w:rPr>
              <w:t xml:space="preserve">(n=9296) </w:t>
            </w:r>
            <w:r w:rsidRPr="00C64B49">
              <w:rPr>
                <w:b/>
              </w:rPr>
              <w:t>vs.</w:t>
            </w:r>
            <w:r w:rsidR="00CB7CAE" w:rsidRPr="00C64B49">
              <w:rPr>
                <w:b/>
              </w:rPr>
              <w:t xml:space="preserve"> LBC</w:t>
            </w:r>
            <w:r w:rsidRPr="00C64B49">
              <w:rPr>
                <w:b/>
              </w:rPr>
              <w:t xml:space="preserve"> </w:t>
            </w:r>
            <w:r w:rsidR="00DB47A3" w:rsidRPr="00C64B49">
              <w:rPr>
                <w:b/>
              </w:rPr>
              <w:t>(n=11331)</w:t>
            </w:r>
          </w:p>
        </w:tc>
        <w:tc>
          <w:tcPr>
            <w:tcW w:w="1925" w:type="pct"/>
          </w:tcPr>
          <w:p w:rsidR="002561B1" w:rsidRPr="00C64B49" w:rsidRDefault="002561B1" w:rsidP="002561B1">
            <w:pPr>
              <w:pStyle w:val="Tabletext"/>
              <w:rPr>
                <w:b/>
              </w:rPr>
            </w:pPr>
            <w:r w:rsidRPr="00C64B49">
              <w:rPr>
                <w:b/>
              </w:rPr>
              <w:t>CC</w:t>
            </w:r>
            <w:r w:rsidR="00C64B49">
              <w:rPr>
                <w:b/>
              </w:rPr>
              <w:t xml:space="preserve"> </w:t>
            </w:r>
            <w:r w:rsidR="00DB47A3" w:rsidRPr="00C64B49">
              <w:rPr>
                <w:b/>
              </w:rPr>
              <w:t xml:space="preserve">(n=9296) </w:t>
            </w:r>
            <w:r w:rsidR="00C64B49">
              <w:rPr>
                <w:b/>
              </w:rPr>
              <w:t>vs. Computer-assisted ThinP</w:t>
            </w:r>
            <w:r w:rsidRPr="00C64B49">
              <w:rPr>
                <w:b/>
              </w:rPr>
              <w:t>rep Imaging System</w:t>
            </w:r>
            <w:r w:rsidR="00C64B49">
              <w:rPr>
                <w:b/>
              </w:rPr>
              <w:t xml:space="preserve"> </w:t>
            </w:r>
            <w:r w:rsidR="00DB47A3" w:rsidRPr="00C64B49">
              <w:rPr>
                <w:b/>
              </w:rPr>
              <w:t>(n=11331)</w:t>
            </w:r>
          </w:p>
        </w:tc>
      </w:tr>
      <w:tr w:rsidR="002561B1" w:rsidRPr="00767F7A" w:rsidTr="00C64B49">
        <w:tc>
          <w:tcPr>
            <w:tcW w:w="1319" w:type="pct"/>
            <w:tcBorders>
              <w:right w:val="single" w:sz="4" w:space="0" w:color="auto"/>
            </w:tcBorders>
          </w:tcPr>
          <w:p w:rsidR="002561B1" w:rsidRDefault="002561B1" w:rsidP="002561B1">
            <w:pPr>
              <w:pStyle w:val="Tabletext"/>
            </w:pPr>
            <w:r>
              <w:t>Relative sensitivity (95%</w:t>
            </w:r>
            <w:r w:rsidR="00C64B49">
              <w:t xml:space="preserve"> </w:t>
            </w:r>
            <w:r>
              <w:t>CI)</w:t>
            </w:r>
          </w:p>
        </w:tc>
        <w:tc>
          <w:tcPr>
            <w:tcW w:w="1756" w:type="pct"/>
            <w:tcBorders>
              <w:left w:val="single" w:sz="4" w:space="0" w:color="auto"/>
            </w:tcBorders>
          </w:tcPr>
          <w:p w:rsidR="002561B1" w:rsidRDefault="002561B1" w:rsidP="00CB7CAE">
            <w:pPr>
              <w:pStyle w:val="Tabletext"/>
            </w:pPr>
            <w:r>
              <w:t xml:space="preserve">2.74 (1.66 </w:t>
            </w:r>
            <w:r w:rsidR="00CB7CAE">
              <w:t>to</w:t>
            </w:r>
            <w:r>
              <w:t xml:space="preserve"> 4.53)</w:t>
            </w:r>
          </w:p>
        </w:tc>
        <w:tc>
          <w:tcPr>
            <w:tcW w:w="1925" w:type="pct"/>
          </w:tcPr>
          <w:p w:rsidR="002561B1" w:rsidRDefault="00CB7CAE" w:rsidP="00FA2420">
            <w:pPr>
              <w:pStyle w:val="Tabletext"/>
            </w:pPr>
            <w:r>
              <w:t>3.17 (1.9 to</w:t>
            </w:r>
            <w:r w:rsidR="002561B1">
              <w:t xml:space="preserve"> 5.19)</w:t>
            </w:r>
          </w:p>
        </w:tc>
      </w:tr>
      <w:tr w:rsidR="00FA2420" w:rsidRPr="00767F7A" w:rsidTr="00C64B49">
        <w:tc>
          <w:tcPr>
            <w:tcW w:w="5000" w:type="pct"/>
            <w:gridSpan w:val="3"/>
          </w:tcPr>
          <w:p w:rsidR="00FA2420" w:rsidRDefault="00FA2420" w:rsidP="002561B1">
            <w:pPr>
              <w:pStyle w:val="Tabletext"/>
            </w:pPr>
            <w:r>
              <w:t>Source: Iken</w:t>
            </w:r>
            <w:r w:rsidR="00C64B49">
              <w:t xml:space="preserve">berg </w:t>
            </w:r>
            <w:r>
              <w:t xml:space="preserve">2011a,b and Ikenberg </w:t>
            </w:r>
            <w:r w:rsidR="005E0D57">
              <w:t xml:space="preserve"> </w:t>
            </w:r>
            <w:r>
              <w:t xml:space="preserve"> 2010b,c</w:t>
            </w:r>
          </w:p>
        </w:tc>
      </w:tr>
    </w:tbl>
    <w:p w:rsidR="0025365D" w:rsidRDefault="00B83BAD" w:rsidP="00C64B49">
      <w:pPr>
        <w:pStyle w:val="Tabletext"/>
      </w:pPr>
      <w:r>
        <w:t>Abbreviations: CC, conventional cytology; CI, confidence interval; LBC, liquid-based cytology</w:t>
      </w:r>
      <w:r>
        <w:br/>
      </w:r>
      <w:r w:rsidR="00CB7CAE" w:rsidRPr="00CB7CAE">
        <w:t>Women who participated in the RHINE-SAAR tri</w:t>
      </w:r>
      <w:r w:rsidR="00C64B49">
        <w:t>al reported by Ikenberg 2010</w:t>
      </w:r>
      <w:r w:rsidR="00CB7CAE" w:rsidRPr="00CB7CAE">
        <w:t xml:space="preserve"> with cytological abnormalities ASCUS+ were invited for expert colposcopy,</w:t>
      </w:r>
      <w:r w:rsidR="00C64B49">
        <w:t xml:space="preserve"> including biopsy if indicated</w:t>
      </w:r>
    </w:p>
    <w:p w:rsidR="00197183" w:rsidRDefault="00197183" w:rsidP="00197183">
      <w:pPr>
        <w:pStyle w:val="Heading50"/>
      </w:pPr>
      <w:r>
        <w:t xml:space="preserve">Summary of results </w:t>
      </w:r>
    </w:p>
    <w:p w:rsidR="00197183" w:rsidRDefault="00197183" w:rsidP="00197183">
      <w:r>
        <w:t xml:space="preserve">The two trials that reported sensitivity and specificity for CIN 1+ outcome based on an ASCUS+ index test resulted in consistent conclusions. Both showed that LBC (cell enrichment or cell filtration) was associated with significantly increased sensitivity for CIN 1+ and significantly reduced specificity. Of the two trials that reported relative sensitivity, the RHINE SAAR trial resulted in the same conclusion of increased sensitivity but for CIN 2+ (associated with an ASCUS+ index test). The results from the entire NTCC trial were variable showing no significant difference in relative sensitivity for CIN 1+ (based on an index test of ASCUS or LSIL) for cell filtration LBC compared with CC. There was however increased relative sensitivity for CIN 2+ (based on an index test of ASCUS or LSIL) for cell filtration LBC compared with CC. There was decreased relative sensitivity for CIN 3+ (based on an index test of ASCUS or LSIL) for cell filtration LBC compared with CC. </w:t>
      </w:r>
    </w:p>
    <w:p w:rsidR="002E2A50" w:rsidRDefault="00197183" w:rsidP="00197183">
      <w:r>
        <w:t xml:space="preserve">As stated by Davey 2006 the accuracy of tests is a trade-off between sensitivity and specificity. </w:t>
      </w:r>
      <w:r w:rsidR="00FB34E1">
        <w:t xml:space="preserve">The absolute increase in </w:t>
      </w:r>
      <w:r w:rsidR="00FB34E1" w:rsidRPr="00A90FC1">
        <w:t>sensitivity for CIN</w:t>
      </w:r>
      <w:r w:rsidR="00FB34E1">
        <w:t xml:space="preserve"> </w:t>
      </w:r>
      <w:r w:rsidR="00FB34E1" w:rsidRPr="00A90FC1">
        <w:t>1+</w:t>
      </w:r>
      <w:r w:rsidR="00FB34E1">
        <w:t xml:space="preserve"> was 4% for both cell enrichment and cell filtration LBC. The absolute reduction in </w:t>
      </w:r>
      <w:r w:rsidR="00FB34E1" w:rsidRPr="00A90FC1">
        <w:t>specificity</w:t>
      </w:r>
      <w:r w:rsidR="00FB34E1">
        <w:t xml:space="preserve"> was less than 1% with cell enrichment LBC and 3.5% with cell filtration LBC</w:t>
      </w:r>
      <w:r w:rsidR="00FB34E1" w:rsidRPr="00A90FC1">
        <w:t>.</w:t>
      </w:r>
    </w:p>
    <w:p w:rsidR="00A075C2" w:rsidRDefault="00A075C2" w:rsidP="00A075C2">
      <w:pPr>
        <w:pStyle w:val="ListParagraph"/>
      </w:pPr>
      <w:r w:rsidRPr="00DC6EEA">
        <w:t>CIN 1</w:t>
      </w:r>
      <w:r>
        <w:t xml:space="preserve"> </w:t>
      </w:r>
      <w:r w:rsidRPr="00DC6EEA">
        <w:t>is the histopathologic manifestation of a carcinogenic or non-carcinogenic HPV infection that rarely progresses to cancer</w:t>
      </w:r>
      <w:r>
        <w:t xml:space="preserve"> (Arbyn 2009).</w:t>
      </w:r>
      <w:r w:rsidRPr="00DC6EEA">
        <w:t xml:space="preserve"> </w:t>
      </w:r>
      <w:r>
        <w:t xml:space="preserve">The Australian cervical screening guidelines </w:t>
      </w:r>
      <w:r w:rsidRPr="009E148E">
        <w:t>take the conservative approach whereby the clinical investigation for a pL</w:t>
      </w:r>
      <w:r>
        <w:t xml:space="preserve">SIL outcome is follow up CC </w:t>
      </w:r>
      <w:r w:rsidRPr="009E148E">
        <w:t>in 12 months</w:t>
      </w:r>
      <w:r>
        <w:t xml:space="preserve"> (NHMRC 2005). Given the transient nature of much CIN1, Arbyn recommends that</w:t>
      </w:r>
      <w:r w:rsidRPr="00CD45C5">
        <w:t xml:space="preserve"> surrogate outcomes such as reduction of incidence of CIN 3</w:t>
      </w:r>
      <w:r>
        <w:t>+</w:t>
      </w:r>
      <w:r w:rsidRPr="00CD45C5">
        <w:t>, increased detection rate of CIN 3+ or CIN 2+, or increased, similar or hardly reduced positi</w:t>
      </w:r>
      <w:r>
        <w:t>ve predictive provide more robust comparative assessment of the screening technology</w:t>
      </w:r>
      <w:r w:rsidRPr="00CD45C5">
        <w:t xml:space="preserve">. CIN 3 </w:t>
      </w:r>
      <w:r>
        <w:t xml:space="preserve">in particular is </w:t>
      </w:r>
      <w:r w:rsidRPr="00CD45C5">
        <w:t xml:space="preserve">the direct precursor of invasive cancer, and therefore a </w:t>
      </w:r>
      <w:r>
        <w:t xml:space="preserve">good </w:t>
      </w:r>
      <w:r w:rsidRPr="00CD45C5">
        <w:t xml:space="preserve">proxy outcome of trials evaluating new </w:t>
      </w:r>
      <w:r>
        <w:t>technologies.</w:t>
      </w:r>
    </w:p>
    <w:p w:rsidR="00A075C2" w:rsidRDefault="00A075C2" w:rsidP="00A075C2">
      <w:r>
        <w:t>Although false positives are undesirable in a screening program, the follow up investigation in this circumstance does not expose patients to a high risk of adverse outcome.</w:t>
      </w:r>
    </w:p>
    <w:p w:rsidR="00BE04E3" w:rsidRPr="002561B1" w:rsidRDefault="00BE04E3" w:rsidP="00675197">
      <w:pPr>
        <w:pStyle w:val="Heading50"/>
      </w:pPr>
      <w:r>
        <w:lastRenderedPageBreak/>
        <w:t>Indirect comparison</w:t>
      </w:r>
    </w:p>
    <w:p w:rsidR="00522911" w:rsidRDefault="00BE04E3" w:rsidP="00675197">
      <w:r>
        <w:t>O</w:t>
      </w:r>
      <w:r w:rsidR="00C64B49">
        <w:t>nly two trials—Beerman 2009 and Strander 2007—</w:t>
      </w:r>
      <w:r>
        <w:t>reported the sensitivity and specificity</w:t>
      </w:r>
      <w:r w:rsidR="00522911">
        <w:t xml:space="preserve"> for cell enrichment LBC versus </w:t>
      </w:r>
      <w:r w:rsidR="00C64B49">
        <w:t>CC</w:t>
      </w:r>
      <w:r w:rsidR="00522911">
        <w:t xml:space="preserve"> and cell filtration LBC versus </w:t>
      </w:r>
      <w:r w:rsidR="00C64B49">
        <w:t>CC</w:t>
      </w:r>
      <w:r w:rsidR="00522911">
        <w:t xml:space="preserve">, respectively. Therefore the only indirect comparison possible between cell enrichment LBC and cell filtration LBC via </w:t>
      </w:r>
      <w:r w:rsidR="00C64B49">
        <w:t>CC</w:t>
      </w:r>
      <w:r w:rsidR="00522911">
        <w:t xml:space="preserve"> as a common comparator is using these two trials. Both trials correlated an index test (ASCUS+) and histological outcome (CIN</w:t>
      </w:r>
      <w:r w:rsidR="00C64B49">
        <w:t xml:space="preserve"> </w:t>
      </w:r>
      <w:r w:rsidR="00522911">
        <w:t>1+) a</w:t>
      </w:r>
      <w:r w:rsidR="00C64B49">
        <w:t>nd both trials featured similar study</w:t>
      </w:r>
      <w:r w:rsidR="00522911">
        <w:t xml:space="preserve"> design</w:t>
      </w:r>
      <w:r w:rsidR="00C64B49">
        <w:t>s</w:t>
      </w:r>
      <w:r w:rsidR="00522911">
        <w:t xml:space="preserve">. </w:t>
      </w:r>
    </w:p>
    <w:p w:rsidR="00522911" w:rsidRDefault="00086C77" w:rsidP="00675197">
      <w:r>
        <w:fldChar w:fldCharType="begin"/>
      </w:r>
      <w:r w:rsidR="00522911">
        <w:instrText xml:space="preserve"> REF _Ref334277875 \h </w:instrText>
      </w:r>
      <w:r>
        <w:fldChar w:fldCharType="separate"/>
      </w:r>
      <w:r w:rsidR="003361A8">
        <w:t xml:space="preserve">Table </w:t>
      </w:r>
      <w:r w:rsidR="003361A8">
        <w:rPr>
          <w:noProof/>
        </w:rPr>
        <w:t>56</w:t>
      </w:r>
      <w:r>
        <w:fldChar w:fldCharType="end"/>
      </w:r>
      <w:r w:rsidR="00522911">
        <w:t xml:space="preserve"> and </w:t>
      </w:r>
      <w:r>
        <w:fldChar w:fldCharType="begin"/>
      </w:r>
      <w:r w:rsidR="00522911">
        <w:instrText xml:space="preserve"> REF _Ref334277884 \h </w:instrText>
      </w:r>
      <w:r>
        <w:fldChar w:fldCharType="separate"/>
      </w:r>
      <w:r w:rsidR="003361A8">
        <w:t xml:space="preserve">Table </w:t>
      </w:r>
      <w:r w:rsidR="003361A8">
        <w:rPr>
          <w:noProof/>
        </w:rPr>
        <w:t>57</w:t>
      </w:r>
      <w:r>
        <w:fldChar w:fldCharType="end"/>
      </w:r>
      <w:r w:rsidR="00C64B49">
        <w:t xml:space="preserve"> provid</w:t>
      </w:r>
      <w:r w:rsidR="00D43B53">
        <w:t>e</w:t>
      </w:r>
      <w:r w:rsidR="00522911">
        <w:t xml:space="preserve"> the results of the indirect comparison of sensitivity and specificity, respectively, for CIN</w:t>
      </w:r>
      <w:r w:rsidR="00C64B49">
        <w:t xml:space="preserve"> </w:t>
      </w:r>
      <w:r w:rsidR="00522911">
        <w:t>1+ between cell enrichment LBC and cell filtration LBC. The results showed that there was no statistically significant difference between cell enrichment LBC and cell filtration LBC in sensitivity or specificity (</w:t>
      </w:r>
      <w:r w:rsidR="00C64B49">
        <w:t>P</w:t>
      </w:r>
      <w:r w:rsidR="00522911" w:rsidRPr="0092045B">
        <w:t>=0.</w:t>
      </w:r>
      <w:r w:rsidR="00522911">
        <w:t>4</w:t>
      </w:r>
      <w:r w:rsidR="00D760E5">
        <w:t>712</w:t>
      </w:r>
      <w:r w:rsidR="00522911">
        <w:t xml:space="preserve"> and 0.1033, respectively).</w:t>
      </w:r>
    </w:p>
    <w:p w:rsidR="00BE04E3" w:rsidRDefault="00BE04E3" w:rsidP="00BE04E3">
      <w:pPr>
        <w:pStyle w:val="Caption"/>
      </w:pPr>
      <w:bookmarkStart w:id="417" w:name="_Ref334277875"/>
      <w:bookmarkStart w:id="418" w:name="_Toc335666022"/>
      <w:bookmarkStart w:id="419" w:name="_Toc337546993"/>
      <w:r>
        <w:t xml:space="preserve">Table </w:t>
      </w:r>
      <w:fldSimple w:instr=" SEQ Table \* ARABIC ">
        <w:r w:rsidR="003361A8">
          <w:rPr>
            <w:noProof/>
          </w:rPr>
          <w:t>56</w:t>
        </w:r>
      </w:fldSimple>
      <w:bookmarkEnd w:id="417"/>
      <w:r>
        <w:tab/>
      </w:r>
      <w:r w:rsidRPr="001A0BB9">
        <w:t>Summary of results</w:t>
      </w:r>
      <w:r>
        <w:t xml:space="preserve"> of the indirect comparison of </w:t>
      </w:r>
      <w:r w:rsidRPr="001A0BB9">
        <w:t xml:space="preserve">cell enrichment LBC and cell filtration LBC </w:t>
      </w:r>
      <w:r w:rsidR="00C64B49">
        <w:t>s</w:t>
      </w:r>
      <w:r>
        <w:t>ensitivity for CIN</w:t>
      </w:r>
      <w:r w:rsidR="00C64B49">
        <w:t xml:space="preserve"> </w:t>
      </w:r>
      <w:r>
        <w:t>1+</w:t>
      </w:r>
      <w:bookmarkEnd w:id="418"/>
      <w:bookmarkEnd w:id="41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
        <w:gridCol w:w="1104"/>
        <w:gridCol w:w="1132"/>
        <w:gridCol w:w="1324"/>
        <w:gridCol w:w="1255"/>
        <w:gridCol w:w="1177"/>
        <w:gridCol w:w="1054"/>
        <w:gridCol w:w="934"/>
      </w:tblGrid>
      <w:tr w:rsidR="00BE04E3" w:rsidRPr="00C64B49" w:rsidTr="00D44FAE">
        <w:tc>
          <w:tcPr>
            <w:tcW w:w="921" w:type="dxa"/>
          </w:tcPr>
          <w:p w:rsidR="00BE04E3" w:rsidRPr="00C64B49" w:rsidRDefault="00BE04E3" w:rsidP="00FA5AED">
            <w:pPr>
              <w:pStyle w:val="Tabletext"/>
              <w:rPr>
                <w:b/>
              </w:rPr>
            </w:pPr>
          </w:p>
        </w:tc>
        <w:tc>
          <w:tcPr>
            <w:tcW w:w="3622" w:type="dxa"/>
            <w:gridSpan w:val="3"/>
          </w:tcPr>
          <w:p w:rsidR="00BE04E3" w:rsidRPr="00C64B49" w:rsidRDefault="00BE04E3" w:rsidP="00FA5AED">
            <w:pPr>
              <w:pStyle w:val="Tabletext"/>
              <w:rPr>
                <w:b/>
              </w:rPr>
            </w:pPr>
            <w:r w:rsidRPr="00C64B49">
              <w:rPr>
                <w:b/>
              </w:rPr>
              <w:t>Trial of cell enrichment LBC</w:t>
            </w:r>
          </w:p>
        </w:tc>
        <w:tc>
          <w:tcPr>
            <w:tcW w:w="3518" w:type="dxa"/>
            <w:gridSpan w:val="3"/>
          </w:tcPr>
          <w:p w:rsidR="00BE04E3" w:rsidRPr="00C64B49" w:rsidRDefault="00BE04E3" w:rsidP="00FA5AED">
            <w:pPr>
              <w:pStyle w:val="Tabletext"/>
              <w:rPr>
                <w:b/>
              </w:rPr>
            </w:pPr>
            <w:r w:rsidRPr="00C64B49">
              <w:rPr>
                <w:b/>
              </w:rPr>
              <w:t>Trial of cell filtration LBC</w:t>
            </w:r>
          </w:p>
        </w:tc>
        <w:tc>
          <w:tcPr>
            <w:tcW w:w="943" w:type="dxa"/>
            <w:vMerge w:val="restart"/>
          </w:tcPr>
          <w:p w:rsidR="00BE04E3" w:rsidRPr="00C64B49" w:rsidRDefault="00BE04E3" w:rsidP="00FA5AED">
            <w:pPr>
              <w:pStyle w:val="Tabletext"/>
              <w:rPr>
                <w:b/>
              </w:rPr>
            </w:pPr>
            <w:r w:rsidRPr="00C64B49">
              <w:rPr>
                <w:b/>
              </w:rPr>
              <w:t>Indirect estimate of effect OR [95%</w:t>
            </w:r>
            <w:r w:rsidR="00C64B49">
              <w:rPr>
                <w:b/>
              </w:rPr>
              <w:t xml:space="preserve"> </w:t>
            </w:r>
            <w:r w:rsidRPr="00C64B49">
              <w:rPr>
                <w:b/>
              </w:rPr>
              <w:t>CI]</w:t>
            </w:r>
          </w:p>
        </w:tc>
      </w:tr>
      <w:tr w:rsidR="00BE04E3" w:rsidRPr="00C64B49" w:rsidTr="00D44FAE">
        <w:tc>
          <w:tcPr>
            <w:tcW w:w="921" w:type="dxa"/>
          </w:tcPr>
          <w:p w:rsidR="00BE04E3" w:rsidRPr="00C64B49" w:rsidRDefault="00BE04E3" w:rsidP="00FA5AED">
            <w:pPr>
              <w:pStyle w:val="Tabletext"/>
              <w:rPr>
                <w:b/>
              </w:rPr>
            </w:pPr>
          </w:p>
        </w:tc>
        <w:tc>
          <w:tcPr>
            <w:tcW w:w="1134" w:type="dxa"/>
          </w:tcPr>
          <w:p w:rsidR="00BE04E3" w:rsidRPr="00C64B49" w:rsidRDefault="00BE04E3" w:rsidP="00FA5AED">
            <w:pPr>
              <w:pStyle w:val="Tabletext"/>
              <w:rPr>
                <w:b/>
              </w:rPr>
            </w:pPr>
            <w:r w:rsidRPr="00C64B49">
              <w:rPr>
                <w:b/>
              </w:rPr>
              <w:t>Treatment effect OR (95%</w:t>
            </w:r>
            <w:r w:rsidR="00C64B49">
              <w:rPr>
                <w:b/>
              </w:rPr>
              <w:t xml:space="preserve"> </w:t>
            </w:r>
            <w:r w:rsidRPr="00C64B49">
              <w:rPr>
                <w:b/>
              </w:rPr>
              <w:t>CI)</w:t>
            </w:r>
          </w:p>
        </w:tc>
        <w:tc>
          <w:tcPr>
            <w:tcW w:w="1142" w:type="dxa"/>
          </w:tcPr>
          <w:p w:rsidR="00BE04E3" w:rsidRPr="00C64B49" w:rsidRDefault="00BE04E3" w:rsidP="00FA5AED">
            <w:pPr>
              <w:pStyle w:val="Tabletext"/>
              <w:rPr>
                <w:b/>
              </w:rPr>
            </w:pPr>
            <w:r w:rsidRPr="00C64B49">
              <w:rPr>
                <w:b/>
              </w:rPr>
              <w:t>Cell enrichment LBC, %(n/N)</w:t>
            </w:r>
          </w:p>
        </w:tc>
        <w:tc>
          <w:tcPr>
            <w:tcW w:w="1346" w:type="dxa"/>
          </w:tcPr>
          <w:p w:rsidR="00BE04E3" w:rsidRPr="00C64B49" w:rsidRDefault="00BE04E3" w:rsidP="00FA5AED">
            <w:pPr>
              <w:pStyle w:val="Tabletext"/>
              <w:rPr>
                <w:b/>
              </w:rPr>
            </w:pPr>
            <w:r w:rsidRPr="00C64B49">
              <w:rPr>
                <w:b/>
              </w:rPr>
              <w:t>Conventional cytology, %(n/N)</w:t>
            </w:r>
          </w:p>
        </w:tc>
        <w:tc>
          <w:tcPr>
            <w:tcW w:w="1175" w:type="dxa"/>
          </w:tcPr>
          <w:p w:rsidR="00BE04E3" w:rsidRPr="00C64B49" w:rsidRDefault="00BE04E3" w:rsidP="00FA5AED">
            <w:pPr>
              <w:pStyle w:val="Tabletext"/>
              <w:rPr>
                <w:b/>
              </w:rPr>
            </w:pPr>
            <w:r w:rsidRPr="00C64B49">
              <w:rPr>
                <w:b/>
              </w:rPr>
              <w:t>Conventional cytology, %(n/N)</w:t>
            </w:r>
          </w:p>
        </w:tc>
        <w:tc>
          <w:tcPr>
            <w:tcW w:w="1274" w:type="dxa"/>
          </w:tcPr>
          <w:p w:rsidR="00BE04E3" w:rsidRPr="00C64B49" w:rsidRDefault="00BE04E3" w:rsidP="00FA5AED">
            <w:pPr>
              <w:pStyle w:val="Tabletext"/>
              <w:rPr>
                <w:b/>
              </w:rPr>
            </w:pPr>
            <w:r w:rsidRPr="00C64B49">
              <w:rPr>
                <w:b/>
              </w:rPr>
              <w:t>Cell filtration LBC, %(n/N)</w:t>
            </w:r>
          </w:p>
        </w:tc>
        <w:tc>
          <w:tcPr>
            <w:tcW w:w="1069" w:type="dxa"/>
          </w:tcPr>
          <w:p w:rsidR="00BE04E3" w:rsidRPr="00C64B49" w:rsidRDefault="00BE04E3" w:rsidP="00FA5AED">
            <w:pPr>
              <w:pStyle w:val="Tabletext"/>
              <w:rPr>
                <w:b/>
              </w:rPr>
            </w:pPr>
            <w:r w:rsidRPr="00C64B49">
              <w:rPr>
                <w:b/>
              </w:rPr>
              <w:t>Treatment effect OR (95%</w:t>
            </w:r>
            <w:r w:rsidR="00C64B49">
              <w:rPr>
                <w:b/>
              </w:rPr>
              <w:t xml:space="preserve"> </w:t>
            </w:r>
            <w:r w:rsidRPr="00C64B49">
              <w:rPr>
                <w:b/>
              </w:rPr>
              <w:t>CI)</w:t>
            </w:r>
          </w:p>
        </w:tc>
        <w:tc>
          <w:tcPr>
            <w:tcW w:w="943" w:type="dxa"/>
            <w:vMerge/>
          </w:tcPr>
          <w:p w:rsidR="00BE04E3" w:rsidRPr="00C64B49" w:rsidRDefault="00BE04E3" w:rsidP="00FA5AED">
            <w:pPr>
              <w:pStyle w:val="Tabletext"/>
              <w:rPr>
                <w:b/>
              </w:rPr>
            </w:pPr>
          </w:p>
        </w:tc>
      </w:tr>
      <w:tr w:rsidR="00BE04E3" w:rsidRPr="00FA5AED" w:rsidTr="00D44FAE">
        <w:tc>
          <w:tcPr>
            <w:tcW w:w="921" w:type="dxa"/>
          </w:tcPr>
          <w:p w:rsidR="00BE04E3" w:rsidRPr="00FA5AED" w:rsidRDefault="00BE04E3" w:rsidP="00FA5AED">
            <w:pPr>
              <w:pStyle w:val="Tabletext"/>
            </w:pPr>
            <w:r w:rsidRPr="00FA5AED">
              <w:t>Beerman</w:t>
            </w:r>
          </w:p>
        </w:tc>
        <w:tc>
          <w:tcPr>
            <w:tcW w:w="1134" w:type="dxa"/>
          </w:tcPr>
          <w:p w:rsidR="00BE04E3" w:rsidRPr="00FA5AED" w:rsidRDefault="00272BA6" w:rsidP="00FA5AED">
            <w:pPr>
              <w:pStyle w:val="Tabletext"/>
            </w:pPr>
            <w:r w:rsidRPr="00FA5AED">
              <w:t>2.23</w:t>
            </w:r>
            <w:r w:rsidR="00BE04E3" w:rsidRPr="00FA5AED">
              <w:t xml:space="preserve"> </w:t>
            </w:r>
            <w:r w:rsidR="00BE04E3" w:rsidRPr="00FA5AED">
              <w:br/>
              <w:t>(1.1</w:t>
            </w:r>
            <w:r w:rsidRPr="00FA5AED">
              <w:t>2</w:t>
            </w:r>
            <w:r w:rsidR="00BE04E3" w:rsidRPr="00FA5AED">
              <w:t>, 4.4</w:t>
            </w:r>
            <w:r w:rsidRPr="00FA5AED">
              <w:t>2</w:t>
            </w:r>
            <w:r w:rsidR="00BE04E3" w:rsidRPr="00FA5AED">
              <w:t>)</w:t>
            </w:r>
          </w:p>
        </w:tc>
        <w:tc>
          <w:tcPr>
            <w:tcW w:w="1142" w:type="dxa"/>
          </w:tcPr>
          <w:p w:rsidR="00BE04E3" w:rsidRPr="00FA5AED" w:rsidRDefault="00272BA6" w:rsidP="00FA5AED">
            <w:pPr>
              <w:pStyle w:val="Tabletext"/>
            </w:pPr>
            <w:r w:rsidRPr="00FA5AED">
              <w:t>96.3</w:t>
            </w:r>
            <w:r w:rsidR="00BE04E3" w:rsidRPr="00FA5AED">
              <w:t>% (30</w:t>
            </w:r>
            <w:r w:rsidRPr="00FA5AED">
              <w:t>9</w:t>
            </w:r>
            <w:r w:rsidR="00BE04E3" w:rsidRPr="00FA5AED">
              <w:t>/3</w:t>
            </w:r>
            <w:r w:rsidRPr="00FA5AED">
              <w:t>2</w:t>
            </w:r>
            <w:r w:rsidR="00BE04E3" w:rsidRPr="00FA5AED">
              <w:t>1)</w:t>
            </w:r>
          </w:p>
        </w:tc>
        <w:tc>
          <w:tcPr>
            <w:tcW w:w="1346" w:type="dxa"/>
          </w:tcPr>
          <w:p w:rsidR="00BE04E3" w:rsidRPr="00FA5AED" w:rsidRDefault="00BE04E3" w:rsidP="00FA5AED">
            <w:pPr>
              <w:pStyle w:val="Tabletext"/>
            </w:pPr>
            <w:r w:rsidRPr="00FA5AED">
              <w:t>92% (347/377)</w:t>
            </w:r>
          </w:p>
        </w:tc>
        <w:tc>
          <w:tcPr>
            <w:tcW w:w="1175" w:type="dxa"/>
          </w:tcPr>
          <w:p w:rsidR="00BE04E3" w:rsidRPr="00FA5AED" w:rsidRDefault="00BE04E3" w:rsidP="00FA5AED">
            <w:pPr>
              <w:pStyle w:val="Tabletext"/>
            </w:pPr>
          </w:p>
        </w:tc>
        <w:tc>
          <w:tcPr>
            <w:tcW w:w="1274" w:type="dxa"/>
          </w:tcPr>
          <w:p w:rsidR="00BE04E3" w:rsidRPr="00FA5AED" w:rsidRDefault="00BE04E3" w:rsidP="00FA5AED">
            <w:pPr>
              <w:pStyle w:val="Tabletext"/>
            </w:pPr>
          </w:p>
        </w:tc>
        <w:tc>
          <w:tcPr>
            <w:tcW w:w="1069" w:type="dxa"/>
          </w:tcPr>
          <w:p w:rsidR="00BE04E3" w:rsidRPr="00FA5AED" w:rsidRDefault="00BE04E3" w:rsidP="00FA5AED">
            <w:pPr>
              <w:pStyle w:val="Tabletext"/>
            </w:pPr>
          </w:p>
        </w:tc>
        <w:tc>
          <w:tcPr>
            <w:tcW w:w="943" w:type="dxa"/>
            <w:vMerge w:val="restart"/>
          </w:tcPr>
          <w:p w:rsidR="00BE04E3" w:rsidRPr="00FA5AED" w:rsidRDefault="00BE04E3" w:rsidP="00FA5AED">
            <w:pPr>
              <w:pStyle w:val="Tabletext"/>
            </w:pPr>
            <w:r w:rsidRPr="00FA5AED">
              <w:t>0.3</w:t>
            </w:r>
            <w:r w:rsidR="00D760E5" w:rsidRPr="00FA5AED">
              <w:t>319</w:t>
            </w:r>
            <w:r w:rsidRPr="00FA5AED">
              <w:t xml:space="preserve"> (0.016</w:t>
            </w:r>
            <w:r w:rsidR="00D760E5" w:rsidRPr="00FA5AED">
              <w:t>5</w:t>
            </w:r>
            <w:r w:rsidRPr="00FA5AED">
              <w:t>, 6.6</w:t>
            </w:r>
            <w:r w:rsidR="00D760E5" w:rsidRPr="00FA5AED">
              <w:t>684</w:t>
            </w:r>
            <w:r w:rsidRPr="00FA5AED">
              <w:t>), p=0.4</w:t>
            </w:r>
            <w:r w:rsidR="00D760E5" w:rsidRPr="00FA5AED">
              <w:t>712</w:t>
            </w:r>
          </w:p>
        </w:tc>
      </w:tr>
      <w:tr w:rsidR="00BE04E3" w:rsidRPr="00FA5AED" w:rsidTr="00D44FAE">
        <w:tc>
          <w:tcPr>
            <w:tcW w:w="921" w:type="dxa"/>
          </w:tcPr>
          <w:p w:rsidR="00BE04E3" w:rsidRPr="00FA5AED" w:rsidRDefault="00BE04E3" w:rsidP="00FA5AED">
            <w:pPr>
              <w:pStyle w:val="Tabletext"/>
            </w:pPr>
            <w:r w:rsidRPr="00FA5AED">
              <w:t>Strander</w:t>
            </w:r>
          </w:p>
        </w:tc>
        <w:tc>
          <w:tcPr>
            <w:tcW w:w="1134" w:type="dxa"/>
          </w:tcPr>
          <w:p w:rsidR="00BE04E3" w:rsidRPr="00FA5AED" w:rsidRDefault="00BE04E3" w:rsidP="00FA5AED">
            <w:pPr>
              <w:pStyle w:val="Tabletext"/>
            </w:pPr>
          </w:p>
        </w:tc>
        <w:tc>
          <w:tcPr>
            <w:tcW w:w="1142" w:type="dxa"/>
          </w:tcPr>
          <w:p w:rsidR="00BE04E3" w:rsidRPr="00FA5AED" w:rsidRDefault="00BE04E3" w:rsidP="00FA5AED">
            <w:pPr>
              <w:pStyle w:val="Tabletext"/>
            </w:pPr>
          </w:p>
        </w:tc>
        <w:tc>
          <w:tcPr>
            <w:tcW w:w="1346" w:type="dxa"/>
          </w:tcPr>
          <w:p w:rsidR="00BE04E3" w:rsidRPr="00FA5AED" w:rsidRDefault="00BE04E3" w:rsidP="00FA5AED">
            <w:pPr>
              <w:pStyle w:val="Tabletext"/>
            </w:pPr>
          </w:p>
        </w:tc>
        <w:tc>
          <w:tcPr>
            <w:tcW w:w="1175" w:type="dxa"/>
          </w:tcPr>
          <w:p w:rsidR="00BE04E3" w:rsidRPr="00FA5AED" w:rsidRDefault="00BE04E3" w:rsidP="00FA5AED">
            <w:pPr>
              <w:pStyle w:val="Tabletext"/>
            </w:pPr>
            <w:r w:rsidRPr="00FA5AED">
              <w:t>96% (120/125)</w:t>
            </w:r>
          </w:p>
        </w:tc>
        <w:tc>
          <w:tcPr>
            <w:tcW w:w="1274" w:type="dxa"/>
          </w:tcPr>
          <w:p w:rsidR="00BE04E3" w:rsidRPr="00FA5AED" w:rsidRDefault="00BE04E3" w:rsidP="00DE7779">
            <w:pPr>
              <w:pStyle w:val="Tabletext"/>
            </w:pPr>
            <w:r w:rsidRPr="00FA5AED">
              <w:t>99.4% (</w:t>
            </w:r>
            <w:r w:rsidR="00DE7779">
              <w:t>81</w:t>
            </w:r>
            <w:r w:rsidRPr="00FA5AED">
              <w:t>/81)</w:t>
            </w:r>
            <w:r w:rsidR="00DE7779" w:rsidRPr="00DE7779">
              <w:rPr>
                <w:vertAlign w:val="superscript"/>
              </w:rPr>
              <w:t>a</w:t>
            </w:r>
          </w:p>
        </w:tc>
        <w:tc>
          <w:tcPr>
            <w:tcW w:w="1069" w:type="dxa"/>
          </w:tcPr>
          <w:p w:rsidR="00BE04E3" w:rsidRPr="00FA5AED" w:rsidRDefault="00BE04E3" w:rsidP="00FA5AED">
            <w:pPr>
              <w:pStyle w:val="Tabletext"/>
            </w:pPr>
            <w:r w:rsidRPr="00FA5AED">
              <w:t xml:space="preserve">6.71 </w:t>
            </w:r>
            <w:r w:rsidRPr="00FA5AED">
              <w:br/>
              <w:t>(0.36, 124.48)</w:t>
            </w:r>
          </w:p>
        </w:tc>
        <w:tc>
          <w:tcPr>
            <w:tcW w:w="943" w:type="dxa"/>
            <w:vMerge/>
          </w:tcPr>
          <w:p w:rsidR="00BE04E3" w:rsidRPr="00FA5AED" w:rsidRDefault="00BE04E3" w:rsidP="00FA5AED">
            <w:pPr>
              <w:pStyle w:val="Tabletext"/>
            </w:pPr>
          </w:p>
        </w:tc>
      </w:tr>
      <w:tr w:rsidR="00BE04E3" w:rsidRPr="00FA5AED" w:rsidTr="00D44FAE">
        <w:tc>
          <w:tcPr>
            <w:tcW w:w="921" w:type="dxa"/>
          </w:tcPr>
          <w:p w:rsidR="00BE04E3" w:rsidRPr="00FA5AED" w:rsidRDefault="00BE04E3" w:rsidP="00FA5AED">
            <w:pPr>
              <w:pStyle w:val="Tabletext"/>
            </w:pPr>
            <w:r w:rsidRPr="00FA5AED">
              <w:t>Source</w:t>
            </w:r>
          </w:p>
        </w:tc>
        <w:tc>
          <w:tcPr>
            <w:tcW w:w="3622" w:type="dxa"/>
            <w:gridSpan w:val="3"/>
          </w:tcPr>
          <w:p w:rsidR="00BE04E3" w:rsidRPr="005F6015" w:rsidRDefault="00C64B49" w:rsidP="0061117D">
            <w:pPr>
              <w:pStyle w:val="Tabletext"/>
            </w:pPr>
            <w:r w:rsidRPr="005F6015">
              <w:t xml:space="preserve">Beerman </w:t>
            </w:r>
            <w:r w:rsidR="00BE04E3" w:rsidRPr="005F6015">
              <w:t>2009</w:t>
            </w:r>
            <w:r w:rsidRPr="005F6015">
              <w:t xml:space="preserve"> </w:t>
            </w:r>
            <w:r w:rsidR="00BE04E3" w:rsidRPr="005F6015">
              <w:t xml:space="preserve">p. 574, </w:t>
            </w:r>
            <w:r w:rsidR="00A826EF" w:rsidRPr="005F6015">
              <w:t xml:space="preserve">attachment </w:t>
            </w:r>
            <w:r w:rsidR="005F6015" w:rsidRPr="005F6015">
              <w:t>4</w:t>
            </w:r>
            <w:r w:rsidR="00A826EF" w:rsidRPr="005F6015">
              <w:t xml:space="preserve"> </w:t>
            </w:r>
          </w:p>
        </w:tc>
        <w:tc>
          <w:tcPr>
            <w:tcW w:w="4461" w:type="dxa"/>
            <w:gridSpan w:val="4"/>
          </w:tcPr>
          <w:p w:rsidR="00BE04E3" w:rsidRPr="005F6015" w:rsidRDefault="00C64B49" w:rsidP="0061117D">
            <w:pPr>
              <w:pStyle w:val="Tabletext"/>
            </w:pPr>
            <w:r w:rsidRPr="005F6015">
              <w:t xml:space="preserve">Strander </w:t>
            </w:r>
            <w:r w:rsidR="00BE04E3" w:rsidRPr="005F6015">
              <w:t xml:space="preserve">2007 Table 2, p.287, </w:t>
            </w:r>
            <w:r w:rsidR="00A826EF" w:rsidRPr="005F6015">
              <w:t xml:space="preserve">attachment </w:t>
            </w:r>
            <w:r w:rsidR="005F6015" w:rsidRPr="005F6015">
              <w:t>4</w:t>
            </w:r>
            <w:r w:rsidR="00A826EF" w:rsidRPr="005F6015">
              <w:t xml:space="preserve"> </w:t>
            </w:r>
          </w:p>
        </w:tc>
      </w:tr>
    </w:tbl>
    <w:p w:rsidR="00BE04E3" w:rsidRPr="00C64B49" w:rsidRDefault="00B83BAD" w:rsidP="00C64B49">
      <w:pPr>
        <w:pStyle w:val="Tabletext"/>
      </w:pPr>
      <w:r>
        <w:t>Abbreviations: LBC, liquid-based cytology; OR, odds ratio; CI, confidence interval</w:t>
      </w:r>
      <w:r>
        <w:br/>
      </w:r>
      <w:r w:rsidR="002E2A50">
        <w:t xml:space="preserve">Indirect </w:t>
      </w:r>
      <w:r w:rsidR="002E2A50" w:rsidRPr="00F904D4">
        <w:t>OR &lt;</w:t>
      </w:r>
      <w:r w:rsidR="002E2A50">
        <w:t xml:space="preserve"> </w:t>
      </w:r>
      <w:r w:rsidR="002E2A50" w:rsidRPr="00F904D4">
        <w:t xml:space="preserve">1 indicates performance of </w:t>
      </w:r>
      <w:r w:rsidR="002E2A50">
        <w:t xml:space="preserve">cell filtration LBC is </w:t>
      </w:r>
      <w:r w:rsidR="002E2A50" w:rsidRPr="00F904D4">
        <w:t xml:space="preserve">better than </w:t>
      </w:r>
      <w:r w:rsidR="002E2A50">
        <w:t>cell enrichment LBC</w:t>
      </w:r>
      <w:r w:rsidR="002E2A50" w:rsidRPr="00C64B49" w:rsidDel="002E2A50">
        <w:t xml:space="preserve"> </w:t>
      </w:r>
      <w:r w:rsidR="00DE7779" w:rsidRPr="00C64B49">
        <w:br/>
        <w:t xml:space="preserve">a. Zero cells cause problems with computation of standard errors so rather than using 81/81=1 in the </w:t>
      </w:r>
      <w:r w:rsidR="007E7C62">
        <w:t xml:space="preserve">OR calculation </w:t>
      </w:r>
      <w:r w:rsidR="00DE7779" w:rsidRPr="00C64B49">
        <w:t>(p/1-p) which would result in 1/0, 80.5 was substituted in the numerator according to standard practice</w:t>
      </w:r>
      <w:r w:rsidR="007E7C62">
        <w:t xml:space="preserve"> (Egger, Smith and Altman 2003)</w:t>
      </w:r>
    </w:p>
    <w:p w:rsidR="00BE04E3" w:rsidRDefault="00BE04E3" w:rsidP="00BE04E3">
      <w:pPr>
        <w:pStyle w:val="Tabletext"/>
        <w:keepNext w:val="0"/>
      </w:pPr>
    </w:p>
    <w:p w:rsidR="00BE04E3" w:rsidRDefault="00BE04E3" w:rsidP="00BE04E3">
      <w:pPr>
        <w:pStyle w:val="Caption"/>
      </w:pPr>
      <w:bookmarkStart w:id="420" w:name="_Ref334277884"/>
      <w:bookmarkStart w:id="421" w:name="_Toc335666023"/>
      <w:bookmarkStart w:id="422" w:name="_Toc337546994"/>
      <w:r>
        <w:lastRenderedPageBreak/>
        <w:t xml:space="preserve">Table </w:t>
      </w:r>
      <w:fldSimple w:instr=" SEQ Table \* ARABIC ">
        <w:r w:rsidR="003361A8">
          <w:rPr>
            <w:noProof/>
          </w:rPr>
          <w:t>57</w:t>
        </w:r>
      </w:fldSimple>
      <w:bookmarkEnd w:id="420"/>
      <w:r>
        <w:tab/>
      </w:r>
      <w:r w:rsidRPr="001A0BB9">
        <w:t>Summary of results</w:t>
      </w:r>
      <w:r>
        <w:t xml:space="preserve"> of the indirect comparison of </w:t>
      </w:r>
      <w:r w:rsidRPr="001A0BB9">
        <w:t xml:space="preserve">cell enrichment LBC and cell filtration LBC </w:t>
      </w:r>
      <w:r w:rsidR="00C64B49">
        <w:t>s</w:t>
      </w:r>
      <w:r>
        <w:t>pecificity for CIN</w:t>
      </w:r>
      <w:r w:rsidR="00C64B49">
        <w:t xml:space="preserve"> </w:t>
      </w:r>
      <w:r>
        <w:t>1+</w:t>
      </w:r>
      <w:bookmarkEnd w:id="421"/>
      <w:bookmarkEnd w:id="4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
        <w:gridCol w:w="1054"/>
        <w:gridCol w:w="1283"/>
        <w:gridCol w:w="1311"/>
        <w:gridCol w:w="1255"/>
        <w:gridCol w:w="1133"/>
        <w:gridCol w:w="1029"/>
        <w:gridCol w:w="929"/>
      </w:tblGrid>
      <w:tr w:rsidR="00BE04E3" w:rsidRPr="00C64B49" w:rsidTr="00D44FAE">
        <w:tc>
          <w:tcPr>
            <w:tcW w:w="916" w:type="dxa"/>
          </w:tcPr>
          <w:p w:rsidR="00BE04E3" w:rsidRPr="00C64B49" w:rsidRDefault="00BE04E3" w:rsidP="00FA5AED">
            <w:pPr>
              <w:pStyle w:val="Tabletext"/>
              <w:rPr>
                <w:b/>
              </w:rPr>
            </w:pPr>
          </w:p>
        </w:tc>
        <w:tc>
          <w:tcPr>
            <w:tcW w:w="3744" w:type="dxa"/>
            <w:gridSpan w:val="3"/>
          </w:tcPr>
          <w:p w:rsidR="00BE04E3" w:rsidRPr="00C64B49" w:rsidRDefault="00BE04E3" w:rsidP="00FA5AED">
            <w:pPr>
              <w:pStyle w:val="Tabletext"/>
              <w:rPr>
                <w:b/>
              </w:rPr>
            </w:pPr>
            <w:r w:rsidRPr="00C64B49">
              <w:rPr>
                <w:b/>
              </w:rPr>
              <w:t>Trial of cell enrichment LBC</w:t>
            </w:r>
          </w:p>
        </w:tc>
        <w:tc>
          <w:tcPr>
            <w:tcW w:w="3406" w:type="dxa"/>
            <w:gridSpan w:val="3"/>
          </w:tcPr>
          <w:p w:rsidR="00BE04E3" w:rsidRPr="00C64B49" w:rsidRDefault="00BE04E3" w:rsidP="00FA5AED">
            <w:pPr>
              <w:pStyle w:val="Tabletext"/>
              <w:rPr>
                <w:b/>
              </w:rPr>
            </w:pPr>
            <w:r w:rsidRPr="00C64B49">
              <w:rPr>
                <w:b/>
              </w:rPr>
              <w:t>Trial of cell filtration LBC</w:t>
            </w:r>
          </w:p>
        </w:tc>
        <w:tc>
          <w:tcPr>
            <w:tcW w:w="938" w:type="dxa"/>
            <w:vMerge w:val="restart"/>
          </w:tcPr>
          <w:p w:rsidR="00BE04E3" w:rsidRPr="00C64B49" w:rsidRDefault="00BE04E3" w:rsidP="00FA5AED">
            <w:pPr>
              <w:pStyle w:val="Tabletext"/>
              <w:rPr>
                <w:b/>
              </w:rPr>
            </w:pPr>
            <w:r w:rsidRPr="00C64B49">
              <w:rPr>
                <w:b/>
              </w:rPr>
              <w:t>Indirect estimate of effect OR [95%</w:t>
            </w:r>
            <w:r w:rsidR="00C64B49">
              <w:rPr>
                <w:b/>
              </w:rPr>
              <w:t xml:space="preserve"> </w:t>
            </w:r>
            <w:r w:rsidRPr="00C64B49">
              <w:rPr>
                <w:b/>
              </w:rPr>
              <w:t>CI]</w:t>
            </w:r>
          </w:p>
        </w:tc>
      </w:tr>
      <w:tr w:rsidR="00BE04E3" w:rsidRPr="00C64B49" w:rsidTr="00D44FAE">
        <w:tc>
          <w:tcPr>
            <w:tcW w:w="916" w:type="dxa"/>
          </w:tcPr>
          <w:p w:rsidR="00BE04E3" w:rsidRPr="00C64B49" w:rsidRDefault="00BE04E3" w:rsidP="00FA5AED">
            <w:pPr>
              <w:pStyle w:val="Tabletext"/>
              <w:rPr>
                <w:b/>
              </w:rPr>
            </w:pPr>
          </w:p>
        </w:tc>
        <w:tc>
          <w:tcPr>
            <w:tcW w:w="1113" w:type="dxa"/>
          </w:tcPr>
          <w:p w:rsidR="00BE04E3" w:rsidRPr="00C64B49" w:rsidRDefault="00BE04E3" w:rsidP="00FA5AED">
            <w:pPr>
              <w:pStyle w:val="Tabletext"/>
              <w:rPr>
                <w:b/>
              </w:rPr>
            </w:pPr>
            <w:r w:rsidRPr="00C64B49">
              <w:rPr>
                <w:b/>
              </w:rPr>
              <w:t>Treatment effect OR (95%</w:t>
            </w:r>
            <w:r w:rsidR="00C64B49">
              <w:rPr>
                <w:b/>
              </w:rPr>
              <w:t xml:space="preserve"> </w:t>
            </w:r>
            <w:r w:rsidRPr="00C64B49">
              <w:rPr>
                <w:b/>
              </w:rPr>
              <w:t>CI)</w:t>
            </w:r>
          </w:p>
        </w:tc>
        <w:tc>
          <w:tcPr>
            <w:tcW w:w="1283" w:type="dxa"/>
          </w:tcPr>
          <w:p w:rsidR="00BE04E3" w:rsidRPr="00C64B49" w:rsidRDefault="00BE04E3" w:rsidP="00FA5AED">
            <w:pPr>
              <w:pStyle w:val="Tabletext"/>
              <w:rPr>
                <w:b/>
              </w:rPr>
            </w:pPr>
            <w:r w:rsidRPr="00C64B49">
              <w:rPr>
                <w:b/>
              </w:rPr>
              <w:t>Cell enrichment LBC, %(n/N)</w:t>
            </w:r>
          </w:p>
        </w:tc>
        <w:tc>
          <w:tcPr>
            <w:tcW w:w="1348" w:type="dxa"/>
          </w:tcPr>
          <w:p w:rsidR="00BE04E3" w:rsidRPr="00C64B49" w:rsidRDefault="00BE04E3" w:rsidP="00FA5AED">
            <w:pPr>
              <w:pStyle w:val="Tabletext"/>
              <w:rPr>
                <w:b/>
              </w:rPr>
            </w:pPr>
            <w:r w:rsidRPr="00C64B49">
              <w:rPr>
                <w:b/>
              </w:rPr>
              <w:t>Conventional cytology, %(n/N)</w:t>
            </w:r>
          </w:p>
        </w:tc>
        <w:tc>
          <w:tcPr>
            <w:tcW w:w="1175" w:type="dxa"/>
          </w:tcPr>
          <w:p w:rsidR="00BE04E3" w:rsidRPr="00C64B49" w:rsidRDefault="00BE04E3" w:rsidP="00FA5AED">
            <w:pPr>
              <w:pStyle w:val="Tabletext"/>
              <w:rPr>
                <w:b/>
              </w:rPr>
            </w:pPr>
            <w:r w:rsidRPr="00C64B49">
              <w:rPr>
                <w:b/>
              </w:rPr>
              <w:t>Conventional cytology, %(n/N)</w:t>
            </w:r>
          </w:p>
        </w:tc>
        <w:tc>
          <w:tcPr>
            <w:tcW w:w="1176" w:type="dxa"/>
          </w:tcPr>
          <w:p w:rsidR="00BE04E3" w:rsidRPr="00C64B49" w:rsidRDefault="00BE04E3" w:rsidP="00FA5AED">
            <w:pPr>
              <w:pStyle w:val="Tabletext"/>
              <w:rPr>
                <w:b/>
              </w:rPr>
            </w:pPr>
            <w:r w:rsidRPr="00C64B49">
              <w:rPr>
                <w:b/>
              </w:rPr>
              <w:t>Cell filtration LBC, %(n/N)</w:t>
            </w:r>
          </w:p>
        </w:tc>
        <w:tc>
          <w:tcPr>
            <w:tcW w:w="1055" w:type="dxa"/>
          </w:tcPr>
          <w:p w:rsidR="00BE04E3" w:rsidRPr="00C64B49" w:rsidRDefault="00BE04E3" w:rsidP="00FA5AED">
            <w:pPr>
              <w:pStyle w:val="Tabletext"/>
              <w:rPr>
                <w:b/>
              </w:rPr>
            </w:pPr>
            <w:r w:rsidRPr="00C64B49">
              <w:rPr>
                <w:b/>
              </w:rPr>
              <w:t>Treatment effect OR (95%</w:t>
            </w:r>
            <w:r w:rsidR="00C64B49">
              <w:rPr>
                <w:b/>
              </w:rPr>
              <w:t xml:space="preserve"> </w:t>
            </w:r>
            <w:r w:rsidRPr="00C64B49">
              <w:rPr>
                <w:b/>
              </w:rPr>
              <w:t>CI)</w:t>
            </w:r>
          </w:p>
        </w:tc>
        <w:tc>
          <w:tcPr>
            <w:tcW w:w="938" w:type="dxa"/>
            <w:vMerge/>
          </w:tcPr>
          <w:p w:rsidR="00BE04E3" w:rsidRPr="00C64B49" w:rsidRDefault="00BE04E3" w:rsidP="00FA5AED">
            <w:pPr>
              <w:pStyle w:val="Tabletext"/>
              <w:rPr>
                <w:b/>
              </w:rPr>
            </w:pPr>
          </w:p>
        </w:tc>
      </w:tr>
      <w:tr w:rsidR="00BE04E3" w:rsidRPr="00FA5AED" w:rsidTr="00D44FAE">
        <w:tc>
          <w:tcPr>
            <w:tcW w:w="916" w:type="dxa"/>
          </w:tcPr>
          <w:p w:rsidR="00BE04E3" w:rsidRPr="00FA5AED" w:rsidRDefault="00BE04E3" w:rsidP="00FA5AED">
            <w:pPr>
              <w:pStyle w:val="Tabletext"/>
            </w:pPr>
            <w:r w:rsidRPr="00FA5AED">
              <w:t>Beerman</w:t>
            </w:r>
          </w:p>
        </w:tc>
        <w:tc>
          <w:tcPr>
            <w:tcW w:w="1113" w:type="dxa"/>
          </w:tcPr>
          <w:p w:rsidR="00BE04E3" w:rsidRPr="00FA5AED" w:rsidRDefault="00BE04E3" w:rsidP="00FA5AED">
            <w:pPr>
              <w:pStyle w:val="Tabletext"/>
            </w:pPr>
            <w:r w:rsidRPr="00FA5AED">
              <w:t xml:space="preserve">0.81 </w:t>
            </w:r>
            <w:r w:rsidRPr="00FA5AED">
              <w:br/>
              <w:t>(0.73, 0.89)</w:t>
            </w:r>
          </w:p>
        </w:tc>
        <w:tc>
          <w:tcPr>
            <w:tcW w:w="1283" w:type="dxa"/>
          </w:tcPr>
          <w:p w:rsidR="00BE04E3" w:rsidRPr="00FA5AED" w:rsidRDefault="00BE04E3" w:rsidP="00FA5AED">
            <w:pPr>
              <w:pStyle w:val="Tabletext"/>
            </w:pPr>
            <w:r w:rsidRPr="00FA5AED">
              <w:t>97.7% (34207/34996)</w:t>
            </w:r>
          </w:p>
        </w:tc>
        <w:tc>
          <w:tcPr>
            <w:tcW w:w="1348" w:type="dxa"/>
          </w:tcPr>
          <w:p w:rsidR="00BE04E3" w:rsidRPr="00FA5AED" w:rsidRDefault="00BE04E3" w:rsidP="00FA5AED">
            <w:pPr>
              <w:pStyle w:val="Tabletext"/>
            </w:pPr>
            <w:r w:rsidRPr="00FA5AED">
              <w:t>98.2% (49826/50755)</w:t>
            </w:r>
          </w:p>
        </w:tc>
        <w:tc>
          <w:tcPr>
            <w:tcW w:w="1175" w:type="dxa"/>
          </w:tcPr>
          <w:p w:rsidR="00BE04E3" w:rsidRPr="00FA5AED" w:rsidRDefault="00BE04E3" w:rsidP="00FA5AED">
            <w:pPr>
              <w:pStyle w:val="Tabletext"/>
            </w:pPr>
          </w:p>
        </w:tc>
        <w:tc>
          <w:tcPr>
            <w:tcW w:w="1176" w:type="dxa"/>
          </w:tcPr>
          <w:p w:rsidR="00BE04E3" w:rsidRPr="00FA5AED" w:rsidRDefault="00BE04E3" w:rsidP="00FA5AED">
            <w:pPr>
              <w:pStyle w:val="Tabletext"/>
            </w:pPr>
          </w:p>
        </w:tc>
        <w:tc>
          <w:tcPr>
            <w:tcW w:w="1055" w:type="dxa"/>
          </w:tcPr>
          <w:p w:rsidR="00BE04E3" w:rsidRPr="00FA5AED" w:rsidRDefault="00BE04E3" w:rsidP="00FA5AED">
            <w:pPr>
              <w:pStyle w:val="Tabletext"/>
            </w:pPr>
          </w:p>
        </w:tc>
        <w:tc>
          <w:tcPr>
            <w:tcW w:w="938" w:type="dxa"/>
            <w:vMerge w:val="restart"/>
          </w:tcPr>
          <w:p w:rsidR="00BE04E3" w:rsidRPr="00FA5AED" w:rsidRDefault="00F904D4" w:rsidP="00FA5AED">
            <w:pPr>
              <w:pStyle w:val="Tabletext"/>
            </w:pPr>
            <w:r>
              <w:t>1.2596 (0.9542, 1.6627), P</w:t>
            </w:r>
            <w:r w:rsidR="00BE04E3" w:rsidRPr="00FA5AED">
              <w:t>=0.1033</w:t>
            </w:r>
          </w:p>
        </w:tc>
      </w:tr>
      <w:tr w:rsidR="00BE04E3" w:rsidRPr="00FA5AED" w:rsidTr="00D44FAE">
        <w:tc>
          <w:tcPr>
            <w:tcW w:w="916" w:type="dxa"/>
          </w:tcPr>
          <w:p w:rsidR="00BE04E3" w:rsidRPr="00FA5AED" w:rsidRDefault="00BE04E3" w:rsidP="00FA5AED">
            <w:pPr>
              <w:pStyle w:val="Tabletext"/>
            </w:pPr>
            <w:r w:rsidRPr="00FA5AED">
              <w:t>Strander</w:t>
            </w:r>
          </w:p>
        </w:tc>
        <w:tc>
          <w:tcPr>
            <w:tcW w:w="1113" w:type="dxa"/>
          </w:tcPr>
          <w:p w:rsidR="00BE04E3" w:rsidRPr="00FA5AED" w:rsidRDefault="00BE04E3" w:rsidP="00FA5AED">
            <w:pPr>
              <w:pStyle w:val="Tabletext"/>
            </w:pPr>
          </w:p>
        </w:tc>
        <w:tc>
          <w:tcPr>
            <w:tcW w:w="1283" w:type="dxa"/>
          </w:tcPr>
          <w:p w:rsidR="00BE04E3" w:rsidRPr="00FA5AED" w:rsidRDefault="00BE04E3" w:rsidP="00FA5AED">
            <w:pPr>
              <w:pStyle w:val="Tabletext"/>
            </w:pPr>
          </w:p>
        </w:tc>
        <w:tc>
          <w:tcPr>
            <w:tcW w:w="1348" w:type="dxa"/>
          </w:tcPr>
          <w:p w:rsidR="00BE04E3" w:rsidRPr="00FA5AED" w:rsidRDefault="00BE04E3" w:rsidP="00FA5AED">
            <w:pPr>
              <w:pStyle w:val="Tabletext"/>
            </w:pPr>
          </w:p>
        </w:tc>
        <w:tc>
          <w:tcPr>
            <w:tcW w:w="1175" w:type="dxa"/>
          </w:tcPr>
          <w:p w:rsidR="00BE04E3" w:rsidRPr="00FA5AED" w:rsidRDefault="00BE04E3" w:rsidP="00FA5AED">
            <w:pPr>
              <w:pStyle w:val="Tabletext"/>
            </w:pPr>
            <w:r w:rsidRPr="00FA5AED">
              <w:t>98.5% (8491/8619)</w:t>
            </w:r>
          </w:p>
        </w:tc>
        <w:tc>
          <w:tcPr>
            <w:tcW w:w="1176" w:type="dxa"/>
          </w:tcPr>
          <w:p w:rsidR="00BE04E3" w:rsidRPr="00FA5AED" w:rsidRDefault="00BE04E3" w:rsidP="00FA5AED">
            <w:pPr>
              <w:pStyle w:val="Tabletext"/>
            </w:pPr>
            <w:r w:rsidRPr="00FA5AED">
              <w:t>97.7% (4470/4575)</w:t>
            </w:r>
          </w:p>
        </w:tc>
        <w:tc>
          <w:tcPr>
            <w:tcW w:w="1055" w:type="dxa"/>
          </w:tcPr>
          <w:p w:rsidR="00BE04E3" w:rsidRPr="00FA5AED" w:rsidRDefault="00BE04E3" w:rsidP="00FA5AED">
            <w:pPr>
              <w:pStyle w:val="Tabletext"/>
            </w:pPr>
            <w:r w:rsidRPr="00FA5AED">
              <w:t xml:space="preserve">0.64 </w:t>
            </w:r>
            <w:r w:rsidRPr="00FA5AED">
              <w:br/>
              <w:t>(0.50, 0.83)</w:t>
            </w:r>
          </w:p>
        </w:tc>
        <w:tc>
          <w:tcPr>
            <w:tcW w:w="938" w:type="dxa"/>
            <w:vMerge/>
          </w:tcPr>
          <w:p w:rsidR="00BE04E3" w:rsidRPr="00FA5AED" w:rsidRDefault="00BE04E3" w:rsidP="00FA5AED">
            <w:pPr>
              <w:pStyle w:val="Tabletext"/>
            </w:pPr>
          </w:p>
        </w:tc>
      </w:tr>
      <w:tr w:rsidR="00BE04E3" w:rsidRPr="00FA5AED" w:rsidTr="00D44FAE">
        <w:tc>
          <w:tcPr>
            <w:tcW w:w="916" w:type="dxa"/>
          </w:tcPr>
          <w:p w:rsidR="00BE04E3" w:rsidRPr="00FA5AED" w:rsidRDefault="00BE04E3" w:rsidP="00FA5AED">
            <w:pPr>
              <w:pStyle w:val="Tabletext"/>
            </w:pPr>
            <w:r w:rsidRPr="00FA5AED">
              <w:t>Source</w:t>
            </w:r>
          </w:p>
        </w:tc>
        <w:tc>
          <w:tcPr>
            <w:tcW w:w="3744" w:type="dxa"/>
            <w:gridSpan w:val="3"/>
          </w:tcPr>
          <w:p w:rsidR="00BE04E3" w:rsidRPr="005F6015" w:rsidRDefault="00F904D4" w:rsidP="0061117D">
            <w:pPr>
              <w:pStyle w:val="Tabletext"/>
            </w:pPr>
            <w:r w:rsidRPr="005F6015">
              <w:t xml:space="preserve">Beerman </w:t>
            </w:r>
            <w:r w:rsidR="00BE04E3" w:rsidRPr="005F6015">
              <w:t xml:space="preserve">2009p. 574, </w:t>
            </w:r>
            <w:r w:rsidR="00A826EF" w:rsidRPr="005F6015">
              <w:t xml:space="preserve">attachment </w:t>
            </w:r>
            <w:r w:rsidR="005F6015" w:rsidRPr="005F6015">
              <w:t>4</w:t>
            </w:r>
            <w:r w:rsidR="00A826EF" w:rsidRPr="005F6015">
              <w:t xml:space="preserve"> </w:t>
            </w:r>
          </w:p>
        </w:tc>
        <w:tc>
          <w:tcPr>
            <w:tcW w:w="4344" w:type="dxa"/>
            <w:gridSpan w:val="4"/>
          </w:tcPr>
          <w:p w:rsidR="00BE04E3" w:rsidRPr="005F6015" w:rsidRDefault="00F904D4" w:rsidP="0061117D">
            <w:pPr>
              <w:pStyle w:val="Tabletext"/>
            </w:pPr>
            <w:r w:rsidRPr="005F6015">
              <w:t xml:space="preserve">Strander </w:t>
            </w:r>
            <w:r w:rsidR="00BE04E3" w:rsidRPr="005F6015">
              <w:t xml:space="preserve">2007 Table 2, p.287, </w:t>
            </w:r>
            <w:r w:rsidR="005F6015" w:rsidRPr="005F6015">
              <w:t>attachment 4</w:t>
            </w:r>
            <w:r w:rsidR="00A826EF" w:rsidRPr="005F6015">
              <w:t xml:space="preserve"> </w:t>
            </w:r>
          </w:p>
        </w:tc>
      </w:tr>
    </w:tbl>
    <w:p w:rsidR="00BE04E3" w:rsidRPr="00F904D4" w:rsidRDefault="00160107" w:rsidP="00F904D4">
      <w:pPr>
        <w:pStyle w:val="Tabletext"/>
      </w:pPr>
      <w:r>
        <w:t>Abbreviations: LBC, liquid-based cytology; OR, odds ratio; CI, confidence interval</w:t>
      </w:r>
      <w:r>
        <w:br/>
      </w:r>
      <w:r w:rsidR="002E2A50">
        <w:t xml:space="preserve">Indirect </w:t>
      </w:r>
      <w:r w:rsidR="00D44FAE" w:rsidRPr="00F904D4">
        <w:t>OR &lt;</w:t>
      </w:r>
      <w:r w:rsidR="007E7C62">
        <w:t xml:space="preserve"> </w:t>
      </w:r>
      <w:r w:rsidR="00D44FAE" w:rsidRPr="00F904D4">
        <w:t xml:space="preserve">1 indicates performance of </w:t>
      </w:r>
      <w:r w:rsidR="002E2A50">
        <w:t xml:space="preserve">cell filtration LBC is </w:t>
      </w:r>
      <w:r w:rsidR="00D44FAE" w:rsidRPr="00F904D4">
        <w:t xml:space="preserve">better than </w:t>
      </w:r>
      <w:r w:rsidR="002E2A50">
        <w:t>cell enrichment LBC</w:t>
      </w:r>
    </w:p>
    <w:p w:rsidR="002561B1" w:rsidRDefault="002561B1" w:rsidP="002561B1">
      <w:pPr>
        <w:pStyle w:val="Heading40"/>
      </w:pPr>
      <w:r>
        <w:t>Positive and negative predictive value</w:t>
      </w:r>
    </w:p>
    <w:p w:rsidR="00DD0F6A" w:rsidRDefault="004C112A" w:rsidP="00DD0F6A">
      <w:r>
        <w:t>Increased, similar or hardly reduced positive predictive value are a preferred method for evaluating cervical screening technology compared to a standard</w:t>
      </w:r>
      <w:r w:rsidR="002744FD">
        <w:t xml:space="preserve"> (section B.5)</w:t>
      </w:r>
      <w:r>
        <w:t>.</w:t>
      </w:r>
      <w:r w:rsidR="007D4279">
        <w:t>PPV is reported or calculated, for the purposes of the submission, for</w:t>
      </w:r>
      <w:r w:rsidR="00AA47FB">
        <w:t xml:space="preserve"> all but the RODEO cell enrichment LBC </w:t>
      </w:r>
      <w:r w:rsidR="007D4279">
        <w:t>trial</w:t>
      </w:r>
      <w:r w:rsidR="00AA47FB">
        <w:t xml:space="preserve"> and the Obwegeser </w:t>
      </w:r>
      <w:r w:rsidR="00160107">
        <w:t xml:space="preserve">2001 </w:t>
      </w:r>
      <w:r w:rsidR="00AA47FB">
        <w:t>cell filtration trial</w:t>
      </w:r>
      <w:r w:rsidR="007D4279">
        <w:t xml:space="preserve">. </w:t>
      </w:r>
      <w:r w:rsidR="00AA47FB">
        <w:t xml:space="preserve">NPV is only reported for the two trials that </w:t>
      </w:r>
      <w:r w:rsidR="00F904D4">
        <w:t>checked for histological follow-up of all patients—Beerman 2009 and Strander</w:t>
      </w:r>
      <w:r w:rsidR="00AA47FB">
        <w:t xml:space="preserve"> 2007.</w:t>
      </w:r>
    </w:p>
    <w:p w:rsidR="001D5635" w:rsidRDefault="00F904D4" w:rsidP="001D5635">
      <w:r>
        <w:t xml:space="preserve">A comparison of the </w:t>
      </w:r>
      <w:r w:rsidR="001D5635">
        <w:t xml:space="preserve">PPV </w:t>
      </w:r>
      <w:r>
        <w:t xml:space="preserve">percentage </w:t>
      </w:r>
      <w:r w:rsidR="001D5635">
        <w:t>between trials and review of the within trial comparative outcomes betw</w:t>
      </w:r>
      <w:r w:rsidR="009B4EEC">
        <w:t>een the trials is provided</w:t>
      </w:r>
      <w:r w:rsidR="001D5635">
        <w:t xml:space="preserve">. </w:t>
      </w:r>
    </w:p>
    <w:p w:rsidR="00E315F4" w:rsidRDefault="00E315F4" w:rsidP="00E315F4">
      <w:pPr>
        <w:pStyle w:val="Heading50"/>
      </w:pPr>
      <w:r>
        <w:t xml:space="preserve">Cell enrichment LBC </w:t>
      </w:r>
      <w:r w:rsidR="003B6229">
        <w:t>vs.</w:t>
      </w:r>
      <w:r>
        <w:t xml:space="preserve"> </w:t>
      </w:r>
      <w:r w:rsidR="00F904D4">
        <w:t>CC</w:t>
      </w:r>
    </w:p>
    <w:p w:rsidR="00CB14F6" w:rsidRDefault="00CB14F6" w:rsidP="00F904D4">
      <w:r w:rsidRPr="00F904D4">
        <w:t xml:space="preserve">The PPV and NPV </w:t>
      </w:r>
      <w:r w:rsidR="00C36CFF" w:rsidRPr="00F904D4">
        <w:t>(based on ASCUS+ index test and CIN</w:t>
      </w:r>
      <w:r w:rsidR="00F904D4" w:rsidRPr="00F904D4">
        <w:t xml:space="preserve"> </w:t>
      </w:r>
      <w:r w:rsidR="00C36CFF" w:rsidRPr="00F904D4">
        <w:t xml:space="preserve">1+ reference standard) </w:t>
      </w:r>
      <w:r w:rsidRPr="00F904D4">
        <w:t>were calculated using data rep</w:t>
      </w:r>
      <w:r w:rsidR="00F904D4" w:rsidRPr="00F904D4">
        <w:t>orted by Beerman 2009</w:t>
      </w:r>
      <w:r w:rsidR="00E61026">
        <w:t xml:space="preserve"> </w:t>
      </w:r>
      <w:r w:rsidR="00283237" w:rsidRPr="00F904D4">
        <w:t>(</w:t>
      </w:r>
      <w:r w:rsidR="00086C77">
        <w:fldChar w:fldCharType="begin"/>
      </w:r>
      <w:r w:rsidR="00086C77">
        <w:instrText xml:space="preserve"> REF _Ref332799367 \h  \* MERGEFORMAT </w:instrText>
      </w:r>
      <w:r w:rsidR="00086C77">
        <w:fldChar w:fldCharType="separate"/>
      </w:r>
      <w:r w:rsidR="003361A8">
        <w:t>Table 48</w:t>
      </w:r>
      <w:r w:rsidR="00086C77">
        <w:fldChar w:fldCharType="end"/>
      </w:r>
      <w:r w:rsidR="00283237" w:rsidRPr="00F904D4">
        <w:t xml:space="preserve">, </w:t>
      </w:r>
      <w:r w:rsidR="00086C77">
        <w:fldChar w:fldCharType="begin"/>
      </w:r>
      <w:r w:rsidR="00086C77">
        <w:instrText xml:space="preserve"> REF _Ref332799378 \h  \* MERGEFORMAT </w:instrText>
      </w:r>
      <w:r w:rsidR="00086C77">
        <w:fldChar w:fldCharType="separate"/>
      </w:r>
      <w:r w:rsidR="003361A8">
        <w:t>Table 49</w:t>
      </w:r>
      <w:r w:rsidR="00086C77">
        <w:fldChar w:fldCharType="end"/>
      </w:r>
      <w:r w:rsidR="00283237" w:rsidRPr="00F904D4">
        <w:t>)</w:t>
      </w:r>
      <w:r w:rsidRPr="00F904D4">
        <w:t xml:space="preserve"> and are presented in </w:t>
      </w:r>
      <w:r w:rsidR="00086C77">
        <w:fldChar w:fldCharType="begin"/>
      </w:r>
      <w:r w:rsidR="00086C77">
        <w:instrText xml:space="preserve"> REF _Ref332830466 \h  \* MERGEFORMAT </w:instrText>
      </w:r>
      <w:r w:rsidR="00086C77">
        <w:fldChar w:fldCharType="separate"/>
      </w:r>
      <w:r w:rsidR="003361A8">
        <w:t>Table 58</w:t>
      </w:r>
      <w:r w:rsidR="00086C77">
        <w:fldChar w:fldCharType="end"/>
      </w:r>
      <w:r w:rsidRPr="00F904D4">
        <w:t>. The</w:t>
      </w:r>
      <w:r w:rsidR="00B44D34" w:rsidRPr="00F904D4">
        <w:t>re was no</w:t>
      </w:r>
      <w:r w:rsidR="00B44D34">
        <w:t xml:space="preserve"> significant difference in </w:t>
      </w:r>
      <w:r>
        <w:t xml:space="preserve">PPV and </w:t>
      </w:r>
      <w:r w:rsidR="00B25405">
        <w:t xml:space="preserve">NPV </w:t>
      </w:r>
      <w:r w:rsidR="00B44D34">
        <w:t xml:space="preserve">between </w:t>
      </w:r>
      <w:r w:rsidR="00B25405">
        <w:t>cell enrichment</w:t>
      </w:r>
      <w:r>
        <w:t xml:space="preserve"> LBC </w:t>
      </w:r>
      <w:r w:rsidR="00B44D34">
        <w:t>and</w:t>
      </w:r>
      <w:r w:rsidR="00D43B53">
        <w:t xml:space="preserve"> </w:t>
      </w:r>
      <w:r w:rsidR="00F904D4">
        <w:t>CC</w:t>
      </w:r>
      <w:r w:rsidR="00EE1C18">
        <w:t xml:space="preserve"> </w:t>
      </w:r>
      <w:r w:rsidR="00DC7B2C">
        <w:t>(</w:t>
      </w:r>
      <w:r w:rsidR="00F904D4">
        <w:t>P</w:t>
      </w:r>
      <w:r w:rsidR="00B44D34">
        <w:t>=0.6067</w:t>
      </w:r>
      <w:r>
        <w:t xml:space="preserve"> and </w:t>
      </w:r>
      <w:r w:rsidR="00F904D4">
        <w:t>P</w:t>
      </w:r>
      <w:r w:rsidR="00B44D34">
        <w:t>=0.1138</w:t>
      </w:r>
      <w:r w:rsidR="00EE1C18">
        <w:t>, respectively)</w:t>
      </w:r>
    </w:p>
    <w:p w:rsidR="002561B1" w:rsidRDefault="002561B1" w:rsidP="002561B1">
      <w:pPr>
        <w:pStyle w:val="Caption"/>
      </w:pPr>
      <w:bookmarkStart w:id="423" w:name="_Ref332830466"/>
      <w:bookmarkStart w:id="424" w:name="_Toc331766489"/>
      <w:bookmarkStart w:id="425" w:name="_Toc335666024"/>
      <w:bookmarkStart w:id="426" w:name="_Toc337546995"/>
      <w:r>
        <w:t xml:space="preserve">Table </w:t>
      </w:r>
      <w:fldSimple w:instr=" SEQ Table \* ARABIC ">
        <w:r w:rsidR="003361A8">
          <w:rPr>
            <w:noProof/>
          </w:rPr>
          <w:t>58</w:t>
        </w:r>
      </w:fldSimple>
      <w:bookmarkEnd w:id="423"/>
      <w:r>
        <w:tab/>
        <w:t>Positive predictive value and negative predictive value</w:t>
      </w:r>
      <w:r w:rsidR="00B25405">
        <w:t xml:space="preserve"> for CIN</w:t>
      </w:r>
      <w:r w:rsidR="00F904D4">
        <w:t xml:space="preserve"> </w:t>
      </w:r>
      <w:r w:rsidR="00B25405">
        <w:t>1+</w:t>
      </w:r>
      <w:r w:rsidR="009B4EEC">
        <w:t>—</w:t>
      </w:r>
      <w:r w:rsidR="00F904D4">
        <w:t>CC</w:t>
      </w:r>
      <w:r>
        <w:t xml:space="preserve"> versus </w:t>
      </w:r>
      <w:r w:rsidR="00B736EB">
        <w:t xml:space="preserve">cell enrichment </w:t>
      </w:r>
      <w:r>
        <w:t>LBC</w:t>
      </w:r>
      <w:r w:rsidR="00F904D4">
        <w:t xml:space="preserve">: Beerman </w:t>
      </w:r>
      <w:r>
        <w:t>2009</w:t>
      </w:r>
      <w:bookmarkEnd w:id="424"/>
      <w:bookmarkEnd w:id="425"/>
      <w:bookmarkEnd w:id="42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3048"/>
        <w:gridCol w:w="2795"/>
      </w:tblGrid>
      <w:tr w:rsidR="002561B1" w:rsidRPr="00F904D4" w:rsidTr="00F904D4">
        <w:tc>
          <w:tcPr>
            <w:tcW w:w="1714" w:type="pct"/>
          </w:tcPr>
          <w:p w:rsidR="002561B1" w:rsidRPr="00F904D4" w:rsidRDefault="00F904D4" w:rsidP="002561B1">
            <w:pPr>
              <w:pStyle w:val="Tabletext"/>
              <w:rPr>
                <w:b/>
              </w:rPr>
            </w:pPr>
            <w:r>
              <w:rPr>
                <w:b/>
              </w:rPr>
              <w:t>Test t</w:t>
            </w:r>
            <w:r w:rsidR="00B25405" w:rsidRPr="00F904D4">
              <w:rPr>
                <w:b/>
              </w:rPr>
              <w:t>hreshold ASCUS+</w:t>
            </w:r>
          </w:p>
        </w:tc>
        <w:tc>
          <w:tcPr>
            <w:tcW w:w="1714" w:type="pct"/>
          </w:tcPr>
          <w:p w:rsidR="002561B1" w:rsidRPr="00F904D4" w:rsidRDefault="002561B1" w:rsidP="002561B1">
            <w:pPr>
              <w:pStyle w:val="Tabletext"/>
              <w:rPr>
                <w:b/>
              </w:rPr>
            </w:pPr>
            <w:r w:rsidRPr="00F904D4">
              <w:rPr>
                <w:b/>
              </w:rPr>
              <w:t xml:space="preserve">Positive </w:t>
            </w:r>
            <w:r w:rsidR="00F904D4" w:rsidRPr="00F904D4">
              <w:rPr>
                <w:b/>
              </w:rPr>
              <w:t xml:space="preserve">predictive value </w:t>
            </w:r>
          </w:p>
        </w:tc>
        <w:tc>
          <w:tcPr>
            <w:tcW w:w="1572" w:type="pct"/>
          </w:tcPr>
          <w:p w:rsidR="002561B1" w:rsidRPr="00F904D4" w:rsidRDefault="002561B1" w:rsidP="002561B1">
            <w:pPr>
              <w:pStyle w:val="Tabletext"/>
              <w:rPr>
                <w:b/>
              </w:rPr>
            </w:pPr>
            <w:r w:rsidRPr="00F904D4">
              <w:rPr>
                <w:b/>
              </w:rPr>
              <w:t xml:space="preserve">Negative </w:t>
            </w:r>
            <w:r w:rsidR="00F904D4" w:rsidRPr="00F904D4">
              <w:rPr>
                <w:b/>
              </w:rPr>
              <w:t>predictive value</w:t>
            </w:r>
          </w:p>
        </w:tc>
      </w:tr>
      <w:tr w:rsidR="00B25405" w:rsidTr="00F904D4">
        <w:tc>
          <w:tcPr>
            <w:tcW w:w="1714" w:type="pct"/>
          </w:tcPr>
          <w:p w:rsidR="00B25405" w:rsidRDefault="00B25405" w:rsidP="006E7118">
            <w:pPr>
              <w:pStyle w:val="Tabletext"/>
            </w:pPr>
            <w:r>
              <w:t>LBC (</w:t>
            </w:r>
            <w:r w:rsidR="00F904D4">
              <w:t>cell enrichment</w:t>
            </w:r>
            <w:r>
              <w:t>)</w:t>
            </w:r>
          </w:p>
        </w:tc>
        <w:tc>
          <w:tcPr>
            <w:tcW w:w="1714" w:type="pct"/>
          </w:tcPr>
          <w:p w:rsidR="00B25405" w:rsidRDefault="00272BA6" w:rsidP="009E2A74">
            <w:pPr>
              <w:pStyle w:val="Tabletext"/>
            </w:pPr>
            <w:r>
              <w:t>28.</w:t>
            </w:r>
            <w:r w:rsidR="00B25405">
              <w:t>1</w:t>
            </w:r>
            <w:r>
              <w:t>4</w:t>
            </w:r>
            <w:r w:rsidR="00B25405">
              <w:t>%</w:t>
            </w:r>
          </w:p>
        </w:tc>
        <w:tc>
          <w:tcPr>
            <w:tcW w:w="1572" w:type="pct"/>
          </w:tcPr>
          <w:p w:rsidR="00B25405" w:rsidRDefault="00B25405" w:rsidP="002561B1">
            <w:pPr>
              <w:pStyle w:val="Tabletext"/>
            </w:pPr>
            <w:r>
              <w:t>99.96%</w:t>
            </w:r>
          </w:p>
        </w:tc>
      </w:tr>
      <w:tr w:rsidR="00B25405" w:rsidTr="00F904D4">
        <w:tc>
          <w:tcPr>
            <w:tcW w:w="1714" w:type="pct"/>
          </w:tcPr>
          <w:p w:rsidR="00B25405" w:rsidRDefault="00B25405" w:rsidP="006E7118">
            <w:pPr>
              <w:pStyle w:val="Tabletext"/>
            </w:pPr>
            <w:r>
              <w:t>Conventional cytology</w:t>
            </w:r>
          </w:p>
        </w:tc>
        <w:tc>
          <w:tcPr>
            <w:tcW w:w="1714" w:type="pct"/>
          </w:tcPr>
          <w:p w:rsidR="00B25405" w:rsidRDefault="00B25405" w:rsidP="009E2A74">
            <w:pPr>
              <w:pStyle w:val="Tabletext"/>
            </w:pPr>
            <w:r>
              <w:t>27.19%</w:t>
            </w:r>
          </w:p>
        </w:tc>
        <w:tc>
          <w:tcPr>
            <w:tcW w:w="1572" w:type="pct"/>
          </w:tcPr>
          <w:p w:rsidR="00B25405" w:rsidRDefault="00B25405" w:rsidP="002561B1">
            <w:pPr>
              <w:pStyle w:val="Tabletext"/>
            </w:pPr>
            <w:r>
              <w:t>99.94%</w:t>
            </w:r>
          </w:p>
        </w:tc>
      </w:tr>
      <w:tr w:rsidR="00B25405" w:rsidTr="00F904D4">
        <w:tc>
          <w:tcPr>
            <w:tcW w:w="1714" w:type="pct"/>
          </w:tcPr>
          <w:p w:rsidR="00B25405" w:rsidRDefault="00B25405" w:rsidP="00F904D4">
            <w:pPr>
              <w:pStyle w:val="Tabletext"/>
            </w:pPr>
            <w:r>
              <w:t>OR (95%</w:t>
            </w:r>
            <w:r w:rsidR="00F904D4">
              <w:t xml:space="preserve"> </w:t>
            </w:r>
            <w:r>
              <w:t xml:space="preserve">CI), </w:t>
            </w:r>
            <w:r w:rsidR="00F904D4">
              <w:t>P</w:t>
            </w:r>
            <w:r>
              <w:t xml:space="preserve"> value</w:t>
            </w:r>
          </w:p>
        </w:tc>
        <w:tc>
          <w:tcPr>
            <w:tcW w:w="1714" w:type="pct"/>
          </w:tcPr>
          <w:p w:rsidR="00B25405" w:rsidRDefault="00535600" w:rsidP="00F904D4">
            <w:pPr>
              <w:pStyle w:val="Tabletext"/>
            </w:pPr>
            <w:r>
              <w:t>1.0</w:t>
            </w:r>
            <w:r w:rsidR="00D760E5">
              <w:t>5</w:t>
            </w:r>
            <w:r w:rsidR="00F904D4">
              <w:t xml:space="preserve"> </w:t>
            </w:r>
            <w:r>
              <w:t>(0.8</w:t>
            </w:r>
            <w:r w:rsidR="00D760E5">
              <w:t>8</w:t>
            </w:r>
            <w:r>
              <w:t xml:space="preserve"> to 1.2</w:t>
            </w:r>
            <w:r w:rsidR="00D760E5">
              <w:t>6</w:t>
            </w:r>
            <w:r>
              <w:t>),</w:t>
            </w:r>
            <w:r w:rsidR="00F904D4">
              <w:t xml:space="preserve"> P</w:t>
            </w:r>
            <w:r>
              <w:t>=0.6</w:t>
            </w:r>
            <w:r w:rsidR="00D760E5">
              <w:t>067</w:t>
            </w:r>
          </w:p>
        </w:tc>
        <w:tc>
          <w:tcPr>
            <w:tcW w:w="1572" w:type="pct"/>
          </w:tcPr>
          <w:p w:rsidR="00B25405" w:rsidRDefault="00535600" w:rsidP="00F904D4">
            <w:pPr>
              <w:pStyle w:val="Tabletext"/>
            </w:pPr>
            <w:r>
              <w:t>1.72</w:t>
            </w:r>
            <w:r w:rsidR="00F904D4">
              <w:t xml:space="preserve"> </w:t>
            </w:r>
            <w:r>
              <w:t xml:space="preserve">(0.88 to 3.35), </w:t>
            </w:r>
            <w:r w:rsidR="00F904D4">
              <w:t>P</w:t>
            </w:r>
            <w:r>
              <w:t>=0.1138</w:t>
            </w:r>
          </w:p>
        </w:tc>
      </w:tr>
      <w:tr w:rsidR="00A826EF" w:rsidRPr="005F6015" w:rsidTr="00F904D4">
        <w:tc>
          <w:tcPr>
            <w:tcW w:w="1714" w:type="pct"/>
          </w:tcPr>
          <w:p w:rsidR="00A826EF" w:rsidRPr="005F6015" w:rsidRDefault="00A826EF" w:rsidP="006E7118">
            <w:pPr>
              <w:pStyle w:val="Tabletext"/>
            </w:pPr>
            <w:r w:rsidRPr="005F6015">
              <w:t>Source</w:t>
            </w:r>
          </w:p>
        </w:tc>
        <w:tc>
          <w:tcPr>
            <w:tcW w:w="3286" w:type="pct"/>
            <w:gridSpan w:val="2"/>
          </w:tcPr>
          <w:p w:rsidR="00A826EF" w:rsidRPr="005F6015" w:rsidRDefault="00086C77" w:rsidP="005F6015">
            <w:pPr>
              <w:pStyle w:val="Tabletext"/>
            </w:pPr>
            <w:r>
              <w:fldChar w:fldCharType="begin"/>
            </w:r>
            <w:r>
              <w:instrText xml:space="preserve"> REF _Ref332799367 \h  \* MERGEFORMAT </w:instrText>
            </w:r>
            <w:r>
              <w:fldChar w:fldCharType="separate"/>
            </w:r>
            <w:r w:rsidR="003361A8">
              <w:t xml:space="preserve">Table </w:t>
            </w:r>
            <w:r w:rsidR="003361A8">
              <w:rPr>
                <w:noProof/>
              </w:rPr>
              <w:t>48</w:t>
            </w:r>
            <w:r>
              <w:fldChar w:fldCharType="end"/>
            </w:r>
            <w:r w:rsidR="00A826EF" w:rsidRPr="005F6015">
              <w:t xml:space="preserve">, </w:t>
            </w:r>
            <w:r>
              <w:fldChar w:fldCharType="begin"/>
            </w:r>
            <w:r>
              <w:instrText xml:space="preserve"> REF _Ref332799378 \h  \* MERGEFORMAT </w:instrText>
            </w:r>
            <w:r>
              <w:fldChar w:fldCharType="separate"/>
            </w:r>
            <w:r w:rsidR="003361A8">
              <w:t xml:space="preserve">Table </w:t>
            </w:r>
            <w:r w:rsidR="003361A8">
              <w:rPr>
                <w:noProof/>
              </w:rPr>
              <w:t>49</w:t>
            </w:r>
            <w:r>
              <w:fldChar w:fldCharType="end"/>
            </w:r>
            <w:r w:rsidR="00A826EF" w:rsidRPr="005F6015">
              <w:t xml:space="preserve">, attachment </w:t>
            </w:r>
            <w:r w:rsidR="005F6015" w:rsidRPr="005F6015">
              <w:t>4</w:t>
            </w:r>
            <w:r w:rsidR="00A826EF" w:rsidRPr="005F6015">
              <w:t>)</w:t>
            </w:r>
          </w:p>
        </w:tc>
      </w:tr>
    </w:tbl>
    <w:p w:rsidR="00F904D4" w:rsidRDefault="002561B1" w:rsidP="00D43B53">
      <w:pPr>
        <w:pStyle w:val="Tabletext"/>
        <w:rPr>
          <w:bCs/>
        </w:rPr>
      </w:pPr>
      <w:r w:rsidRPr="005F6015">
        <w:t xml:space="preserve">Manually calculated for the purposes of the </w:t>
      </w:r>
      <w:r w:rsidR="00CD3A77">
        <w:t xml:space="preserve">submission </w:t>
      </w:r>
      <w:r w:rsidR="00140CA4">
        <w:t>(</w:t>
      </w:r>
      <w:r w:rsidR="0061117D">
        <w:t>Attachment 4</w:t>
      </w:r>
      <w:proofErr w:type="gramStart"/>
      <w:r w:rsidR="0061117D">
        <w:t>)</w:t>
      </w:r>
      <w:proofErr w:type="gramEnd"/>
      <w:r w:rsidR="00D44FAE">
        <w:br/>
      </w:r>
      <w:r w:rsidR="004278A7">
        <w:rPr>
          <w:bCs/>
        </w:rPr>
        <w:t>OR &gt;</w:t>
      </w:r>
      <w:r w:rsidR="009B4EEC">
        <w:rPr>
          <w:bCs/>
        </w:rPr>
        <w:t xml:space="preserve"> </w:t>
      </w:r>
      <w:r w:rsidR="00D44FAE" w:rsidRPr="00D44FAE">
        <w:rPr>
          <w:bCs/>
        </w:rPr>
        <w:t>1 indicates</w:t>
      </w:r>
      <w:r w:rsidR="00D44FAE">
        <w:rPr>
          <w:bCs/>
        </w:rPr>
        <w:t xml:space="preserve"> performance of LBC is better than CC</w:t>
      </w:r>
    </w:p>
    <w:p w:rsidR="00D43B53" w:rsidRDefault="00D43B53" w:rsidP="00160107"/>
    <w:p w:rsidR="00B97D04" w:rsidRDefault="00D02467" w:rsidP="00B97D04">
      <w:r w:rsidRPr="00CB14F6">
        <w:lastRenderedPageBreak/>
        <w:t xml:space="preserve">The </w:t>
      </w:r>
      <w:r>
        <w:t xml:space="preserve">PPV and relative PPV was calculated for each test threshold using </w:t>
      </w:r>
      <w:r w:rsidRPr="00CB14F6">
        <w:t>data rep</w:t>
      </w:r>
      <w:r w:rsidR="004A73F7">
        <w:t xml:space="preserve">orted by Beerman 2009 </w:t>
      </w:r>
      <w:r>
        <w:t>(</w:t>
      </w:r>
      <w:r w:rsidR="00086C77">
        <w:fldChar w:fldCharType="begin"/>
      </w:r>
      <w:r>
        <w:instrText xml:space="preserve"> REF _Ref333394151 \h </w:instrText>
      </w:r>
      <w:r w:rsidR="00086C77">
        <w:fldChar w:fldCharType="separate"/>
      </w:r>
      <w:r w:rsidR="003361A8">
        <w:t xml:space="preserve">Table </w:t>
      </w:r>
      <w:r w:rsidR="003361A8">
        <w:rPr>
          <w:noProof/>
        </w:rPr>
        <w:t>40</w:t>
      </w:r>
      <w:r w:rsidR="00086C77">
        <w:fldChar w:fldCharType="end"/>
      </w:r>
      <w:r>
        <w:t xml:space="preserve">) </w:t>
      </w:r>
      <w:r w:rsidRPr="00CB14F6">
        <w:t>and are presented in</w:t>
      </w:r>
      <w:r>
        <w:t xml:space="preserve"> </w:t>
      </w:r>
      <w:r w:rsidR="00086C77">
        <w:fldChar w:fldCharType="begin"/>
      </w:r>
      <w:r>
        <w:instrText xml:space="preserve"> REF _Ref333433310 \h </w:instrText>
      </w:r>
      <w:r w:rsidR="00086C77">
        <w:fldChar w:fldCharType="separate"/>
      </w:r>
      <w:r w:rsidR="003361A8">
        <w:t xml:space="preserve">Table </w:t>
      </w:r>
      <w:r w:rsidR="003361A8">
        <w:rPr>
          <w:noProof/>
        </w:rPr>
        <w:t>59</w:t>
      </w:r>
      <w:r w:rsidR="00086C77">
        <w:fldChar w:fldCharType="end"/>
      </w:r>
      <w:r>
        <w:t xml:space="preserve">. </w:t>
      </w:r>
      <w:r w:rsidR="00B97D04">
        <w:t xml:space="preserve">The PPVs of cell enrichment LBC </w:t>
      </w:r>
      <w:r w:rsidR="004A73F7">
        <w:t>CC</w:t>
      </w:r>
      <w:r w:rsidR="00B97D04">
        <w:t xml:space="preserve"> were comparable since the 95%</w:t>
      </w:r>
      <w:r w:rsidR="004A73F7">
        <w:t xml:space="preserve"> </w:t>
      </w:r>
      <w:r w:rsidR="00B97D04">
        <w:t>confi</w:t>
      </w:r>
      <w:r w:rsidR="009F42D8">
        <w:t>d</w:t>
      </w:r>
      <w:r w:rsidR="00B97D04">
        <w:t>ence intervals around the PPV ratios never differed significantly from unity, irrespective of the cytological or verified outcome cut-off value.</w:t>
      </w:r>
    </w:p>
    <w:p w:rsidR="003F72B3" w:rsidRDefault="004A73F7" w:rsidP="002561B1">
      <w:pPr>
        <w:rPr>
          <w:rFonts w:ascii="Arial Narrow" w:hAnsi="Arial Narrow"/>
          <w:sz w:val="16"/>
          <w:szCs w:val="22"/>
        </w:rPr>
      </w:pPr>
      <w:r>
        <w:t>The CIN 1+ PPV</w:t>
      </w:r>
      <w:r w:rsidR="008F2D7F">
        <w:t xml:space="preserve">s for the </w:t>
      </w:r>
      <w:r w:rsidR="0076623F">
        <w:t xml:space="preserve">ASCUS+, </w:t>
      </w:r>
      <w:r w:rsidR="00D02467">
        <w:t xml:space="preserve">LSIL+, </w:t>
      </w:r>
      <w:r w:rsidR="003F72B3">
        <w:t xml:space="preserve">HSIL+ </w:t>
      </w:r>
      <w:r w:rsidR="00D02467">
        <w:t>or SCC</w:t>
      </w:r>
      <w:r w:rsidR="008F2D7F">
        <w:t xml:space="preserve"> test thresholds </w:t>
      </w:r>
      <w:r w:rsidR="00F27244">
        <w:t xml:space="preserve">within the trial </w:t>
      </w:r>
      <w:r w:rsidR="008F2D7F">
        <w:t xml:space="preserve">were </w:t>
      </w:r>
      <w:r w:rsidR="00D02467">
        <w:t xml:space="preserve">approximately </w:t>
      </w:r>
      <w:r w:rsidR="0076623F">
        <w:t xml:space="preserve">28%, </w:t>
      </w:r>
      <w:r>
        <w:t xml:space="preserve">74%, 84% and 75 to </w:t>
      </w:r>
      <w:r w:rsidR="00D02467">
        <w:t>100%, respectively.</w:t>
      </w:r>
    </w:p>
    <w:p w:rsidR="00E66B39" w:rsidRDefault="00E66B39" w:rsidP="00E66B39">
      <w:pPr>
        <w:pStyle w:val="Caption"/>
      </w:pPr>
      <w:bookmarkStart w:id="427" w:name="_Ref333433310"/>
      <w:bookmarkStart w:id="428" w:name="_Toc335666025"/>
      <w:bookmarkStart w:id="429" w:name="_Toc337546996"/>
      <w:r>
        <w:t xml:space="preserve">Table </w:t>
      </w:r>
      <w:fldSimple w:instr=" SEQ Table \* ARABIC ">
        <w:r w:rsidR="003361A8">
          <w:rPr>
            <w:noProof/>
          </w:rPr>
          <w:t>59</w:t>
        </w:r>
      </w:fldSimple>
      <w:bookmarkEnd w:id="427"/>
      <w:r w:rsidR="009B4EEC">
        <w:tab/>
        <w:t>Positive predictive value—</w:t>
      </w:r>
      <w:r w:rsidR="004A73F7">
        <w:t>CC</w:t>
      </w:r>
      <w:r>
        <w:t xml:space="preserve"> versus </w:t>
      </w:r>
      <w:r w:rsidR="00B736EB">
        <w:t xml:space="preserve">cell enrichment </w:t>
      </w:r>
      <w:r w:rsidR="004A73F7">
        <w:t xml:space="preserve">LBC: Beerman </w:t>
      </w:r>
      <w:r>
        <w:t>2009</w:t>
      </w:r>
      <w:bookmarkEnd w:id="428"/>
      <w:bookmarkEnd w:id="4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0"/>
        <w:gridCol w:w="1956"/>
        <w:gridCol w:w="2072"/>
        <w:gridCol w:w="2193"/>
        <w:gridCol w:w="1190"/>
      </w:tblGrid>
      <w:tr w:rsidR="00210A04" w:rsidRPr="004A73F7" w:rsidTr="00104F4C">
        <w:tc>
          <w:tcPr>
            <w:tcW w:w="833" w:type="pct"/>
            <w:shd w:val="clear" w:color="auto" w:fill="auto"/>
          </w:tcPr>
          <w:p w:rsidR="00210A04" w:rsidRPr="004A73F7" w:rsidRDefault="00210A04" w:rsidP="00210A04">
            <w:pPr>
              <w:pStyle w:val="Tabletext"/>
              <w:rPr>
                <w:b/>
              </w:rPr>
            </w:pPr>
          </w:p>
        </w:tc>
        <w:tc>
          <w:tcPr>
            <w:tcW w:w="1100" w:type="pct"/>
          </w:tcPr>
          <w:p w:rsidR="00210A04" w:rsidRPr="004A73F7" w:rsidRDefault="00210A04" w:rsidP="00210A04">
            <w:pPr>
              <w:pStyle w:val="Tabletext"/>
              <w:rPr>
                <w:b/>
              </w:rPr>
            </w:pPr>
            <w:r w:rsidRPr="004A73F7">
              <w:rPr>
                <w:b/>
              </w:rPr>
              <w:t xml:space="preserve">Conventional </w:t>
            </w:r>
            <w:r w:rsidRPr="004A73F7">
              <w:rPr>
                <w:b/>
              </w:rPr>
              <w:br/>
              <w:t>n/</w:t>
            </w:r>
            <w:proofErr w:type="gramStart"/>
            <w:r w:rsidRPr="004A73F7">
              <w:rPr>
                <w:b/>
              </w:rPr>
              <w:t>N(</w:t>
            </w:r>
            <w:proofErr w:type="gramEnd"/>
            <w:r w:rsidRPr="004A73F7">
              <w:rPr>
                <w:b/>
              </w:rPr>
              <w:t>%)</w:t>
            </w:r>
          </w:p>
        </w:tc>
        <w:tc>
          <w:tcPr>
            <w:tcW w:w="1165" w:type="pct"/>
            <w:shd w:val="clear" w:color="auto" w:fill="auto"/>
          </w:tcPr>
          <w:p w:rsidR="00210A04" w:rsidRPr="004A73F7" w:rsidRDefault="00210A04" w:rsidP="00210A04">
            <w:pPr>
              <w:pStyle w:val="Tabletext"/>
              <w:rPr>
                <w:b/>
              </w:rPr>
            </w:pPr>
            <w:r w:rsidRPr="004A73F7">
              <w:rPr>
                <w:b/>
              </w:rPr>
              <w:t>LBC</w:t>
            </w:r>
            <w:r w:rsidRPr="004A73F7">
              <w:rPr>
                <w:b/>
              </w:rPr>
              <w:br/>
              <w:t>n/</w:t>
            </w:r>
            <w:proofErr w:type="gramStart"/>
            <w:r w:rsidRPr="004A73F7">
              <w:rPr>
                <w:b/>
              </w:rPr>
              <w:t>N(</w:t>
            </w:r>
            <w:proofErr w:type="gramEnd"/>
            <w:r w:rsidRPr="004A73F7">
              <w:rPr>
                <w:b/>
              </w:rPr>
              <w:t>%)</w:t>
            </w:r>
          </w:p>
        </w:tc>
        <w:tc>
          <w:tcPr>
            <w:tcW w:w="1233" w:type="pct"/>
          </w:tcPr>
          <w:p w:rsidR="00210A04" w:rsidRPr="004A73F7" w:rsidRDefault="004A73F7" w:rsidP="00210A04">
            <w:pPr>
              <w:pStyle w:val="Tabletext"/>
              <w:rPr>
                <w:b/>
              </w:rPr>
            </w:pPr>
            <w:r w:rsidRPr="004A73F7">
              <w:rPr>
                <w:b/>
              </w:rPr>
              <w:t>Relative r</w:t>
            </w:r>
            <w:r w:rsidR="00210A04" w:rsidRPr="004A73F7">
              <w:rPr>
                <w:b/>
              </w:rPr>
              <w:t>isk [95%</w:t>
            </w:r>
            <w:r w:rsidRPr="004A73F7">
              <w:rPr>
                <w:b/>
              </w:rPr>
              <w:t xml:space="preserve"> </w:t>
            </w:r>
            <w:r w:rsidR="00210A04" w:rsidRPr="004A73F7">
              <w:rPr>
                <w:b/>
              </w:rPr>
              <w:t>CI]</w:t>
            </w:r>
          </w:p>
        </w:tc>
        <w:tc>
          <w:tcPr>
            <w:tcW w:w="668" w:type="pct"/>
            <w:shd w:val="clear" w:color="auto" w:fill="auto"/>
          </w:tcPr>
          <w:p w:rsidR="00210A04" w:rsidRPr="004A73F7" w:rsidRDefault="004A73F7" w:rsidP="00210A04">
            <w:pPr>
              <w:pStyle w:val="Tabletext"/>
              <w:rPr>
                <w:b/>
              </w:rPr>
            </w:pPr>
            <w:r w:rsidRPr="004A73F7">
              <w:rPr>
                <w:b/>
              </w:rPr>
              <w:t>P v</w:t>
            </w:r>
            <w:r w:rsidR="00210A04" w:rsidRPr="004A73F7">
              <w:rPr>
                <w:b/>
              </w:rPr>
              <w:t>alue</w:t>
            </w:r>
          </w:p>
        </w:tc>
      </w:tr>
      <w:tr w:rsidR="00104F4C" w:rsidRPr="004A73F7" w:rsidTr="00104F4C">
        <w:tc>
          <w:tcPr>
            <w:tcW w:w="833" w:type="pct"/>
            <w:shd w:val="clear" w:color="auto" w:fill="auto"/>
          </w:tcPr>
          <w:p w:rsidR="00104F4C" w:rsidRPr="004A73F7" w:rsidRDefault="00104F4C" w:rsidP="00210A04">
            <w:pPr>
              <w:pStyle w:val="Tabletext"/>
              <w:rPr>
                <w:b/>
              </w:rPr>
            </w:pPr>
            <w:r w:rsidRPr="004A73F7">
              <w:rPr>
                <w:b/>
              </w:rPr>
              <w:t>Test threshold</w:t>
            </w:r>
          </w:p>
        </w:tc>
        <w:tc>
          <w:tcPr>
            <w:tcW w:w="4167" w:type="pct"/>
            <w:gridSpan w:val="4"/>
          </w:tcPr>
          <w:p w:rsidR="00104F4C" w:rsidRPr="004A73F7" w:rsidRDefault="00104F4C" w:rsidP="00210A04">
            <w:pPr>
              <w:pStyle w:val="Tabletext"/>
              <w:rPr>
                <w:b/>
              </w:rPr>
            </w:pPr>
            <w:r w:rsidRPr="004A73F7">
              <w:rPr>
                <w:b/>
              </w:rPr>
              <w:t>Endpoint of CIN</w:t>
            </w:r>
            <w:r>
              <w:rPr>
                <w:b/>
              </w:rPr>
              <w:t xml:space="preserve"> </w:t>
            </w:r>
            <w:r w:rsidRPr="004A73F7">
              <w:rPr>
                <w:b/>
              </w:rPr>
              <w:t>1+ detection</w:t>
            </w:r>
          </w:p>
        </w:tc>
      </w:tr>
      <w:tr w:rsidR="006F5D57" w:rsidRPr="007C20F3" w:rsidTr="00104F4C">
        <w:tc>
          <w:tcPr>
            <w:tcW w:w="833" w:type="pct"/>
            <w:shd w:val="clear" w:color="auto" w:fill="auto"/>
          </w:tcPr>
          <w:p w:rsidR="006F5D57" w:rsidRPr="004B5945" w:rsidRDefault="006F5D57" w:rsidP="004B5945">
            <w:pPr>
              <w:pStyle w:val="Tabletext"/>
            </w:pPr>
            <w:r w:rsidRPr="004B5945">
              <w:t>ASCUS+</w:t>
            </w:r>
          </w:p>
        </w:tc>
        <w:tc>
          <w:tcPr>
            <w:tcW w:w="1100" w:type="pct"/>
            <w:vAlign w:val="bottom"/>
          </w:tcPr>
          <w:p w:rsidR="008F3088" w:rsidRPr="004B5945" w:rsidRDefault="000955BF" w:rsidP="0076623F">
            <w:pPr>
              <w:pStyle w:val="Tabletext"/>
            </w:pPr>
            <w:r>
              <w:t>347/1277</w:t>
            </w:r>
            <w:r w:rsidR="0076623F">
              <w:t xml:space="preserve"> (27.34</w:t>
            </w:r>
            <w:r w:rsidR="008F3088">
              <w:t>)</w:t>
            </w:r>
          </w:p>
        </w:tc>
        <w:tc>
          <w:tcPr>
            <w:tcW w:w="1165" w:type="pct"/>
            <w:shd w:val="clear" w:color="auto" w:fill="auto"/>
            <w:vAlign w:val="bottom"/>
          </w:tcPr>
          <w:p w:rsidR="008F3088" w:rsidRPr="004B5945" w:rsidRDefault="008F3088" w:rsidP="004B5945">
            <w:pPr>
              <w:pStyle w:val="Tabletext"/>
            </w:pPr>
            <w:r>
              <w:t>309/1098</w:t>
            </w:r>
            <w:r w:rsidR="00160107">
              <w:t xml:space="preserve"> </w:t>
            </w:r>
            <w:r>
              <w:t>(28.14)</w:t>
            </w:r>
          </w:p>
        </w:tc>
        <w:tc>
          <w:tcPr>
            <w:tcW w:w="1233" w:type="pct"/>
            <w:vAlign w:val="bottom"/>
          </w:tcPr>
          <w:p w:rsidR="006F5D57" w:rsidRPr="0076623F" w:rsidRDefault="0076623F" w:rsidP="0076623F">
            <w:pPr>
              <w:pStyle w:val="Tabletext"/>
            </w:pPr>
            <w:r w:rsidRPr="0076623F">
              <w:t>1.04</w:t>
            </w:r>
            <w:r w:rsidR="00160107">
              <w:t xml:space="preserve"> </w:t>
            </w:r>
            <w:r w:rsidRPr="0076623F">
              <w:t>[0.91,1.18]</w:t>
            </w:r>
          </w:p>
        </w:tc>
        <w:tc>
          <w:tcPr>
            <w:tcW w:w="668" w:type="pct"/>
            <w:shd w:val="clear" w:color="auto" w:fill="auto"/>
            <w:vAlign w:val="bottom"/>
          </w:tcPr>
          <w:p w:rsidR="006F5D57" w:rsidRPr="0076623F" w:rsidRDefault="006F5D57" w:rsidP="0076623F">
            <w:pPr>
              <w:pStyle w:val="Tabletext"/>
            </w:pPr>
            <w:r w:rsidRPr="0076623F">
              <w:t>0.</w:t>
            </w:r>
            <w:r w:rsidR="0076623F" w:rsidRPr="0076623F">
              <w:t>574</w:t>
            </w:r>
          </w:p>
        </w:tc>
      </w:tr>
      <w:tr w:rsidR="006F5D57" w:rsidRPr="007C20F3" w:rsidTr="00104F4C">
        <w:tc>
          <w:tcPr>
            <w:tcW w:w="833" w:type="pct"/>
            <w:shd w:val="clear" w:color="auto" w:fill="auto"/>
          </w:tcPr>
          <w:p w:rsidR="006F5D57" w:rsidRPr="004B5945" w:rsidRDefault="006F5D57" w:rsidP="004B5945">
            <w:pPr>
              <w:pStyle w:val="Tabletext"/>
            </w:pPr>
            <w:r w:rsidRPr="004B5945">
              <w:t>LSIL+</w:t>
            </w:r>
          </w:p>
        </w:tc>
        <w:tc>
          <w:tcPr>
            <w:tcW w:w="1100" w:type="pct"/>
            <w:vAlign w:val="bottom"/>
          </w:tcPr>
          <w:p w:rsidR="006F5D57" w:rsidRPr="004B5945" w:rsidRDefault="006F5D57" w:rsidP="004B5945">
            <w:pPr>
              <w:pStyle w:val="Tabletext"/>
            </w:pPr>
            <w:r w:rsidRPr="004B5945">
              <w:t>300/402</w:t>
            </w:r>
            <w:r w:rsidR="00160107">
              <w:t xml:space="preserve"> </w:t>
            </w:r>
            <w:r w:rsidRPr="004B5945">
              <w:t>(74.63)</w:t>
            </w:r>
          </w:p>
        </w:tc>
        <w:tc>
          <w:tcPr>
            <w:tcW w:w="1165" w:type="pct"/>
            <w:shd w:val="clear" w:color="auto" w:fill="auto"/>
            <w:vAlign w:val="bottom"/>
          </w:tcPr>
          <w:p w:rsidR="006F5D57" w:rsidRPr="004B5945" w:rsidRDefault="006F5D57" w:rsidP="004B5945">
            <w:pPr>
              <w:pStyle w:val="Tabletext"/>
            </w:pPr>
            <w:r w:rsidRPr="004B5945">
              <w:t>236/322</w:t>
            </w:r>
            <w:r w:rsidR="00160107">
              <w:t xml:space="preserve"> </w:t>
            </w:r>
            <w:r w:rsidRPr="004B5945">
              <w:t>(73.29)</w:t>
            </w:r>
          </w:p>
        </w:tc>
        <w:tc>
          <w:tcPr>
            <w:tcW w:w="1233" w:type="pct"/>
            <w:vAlign w:val="bottom"/>
          </w:tcPr>
          <w:p w:rsidR="006F5D57" w:rsidRPr="006F5D57" w:rsidRDefault="006F5D57" w:rsidP="006F5D57">
            <w:pPr>
              <w:pStyle w:val="Tabletext"/>
            </w:pPr>
            <w:r w:rsidRPr="006F5D57">
              <w:t>0.98</w:t>
            </w:r>
            <w:r w:rsidR="00160107">
              <w:t xml:space="preserve"> </w:t>
            </w:r>
            <w:r w:rsidRPr="006F5D57">
              <w:t>[0.9,1.07]</w:t>
            </w:r>
          </w:p>
        </w:tc>
        <w:tc>
          <w:tcPr>
            <w:tcW w:w="668" w:type="pct"/>
            <w:shd w:val="clear" w:color="auto" w:fill="auto"/>
            <w:vAlign w:val="bottom"/>
          </w:tcPr>
          <w:p w:rsidR="006F5D57" w:rsidRPr="007C0819" w:rsidRDefault="006F5D57" w:rsidP="007C0819">
            <w:pPr>
              <w:pStyle w:val="Tabletext"/>
            </w:pPr>
            <w:r w:rsidRPr="007C0819">
              <w:t>0.684</w:t>
            </w:r>
          </w:p>
        </w:tc>
      </w:tr>
      <w:tr w:rsidR="006F5D57" w:rsidRPr="007C20F3" w:rsidTr="00104F4C">
        <w:tc>
          <w:tcPr>
            <w:tcW w:w="833" w:type="pct"/>
            <w:shd w:val="clear" w:color="auto" w:fill="auto"/>
          </w:tcPr>
          <w:p w:rsidR="006F5D57" w:rsidRPr="004B5945" w:rsidRDefault="006F5D57" w:rsidP="004B5945">
            <w:pPr>
              <w:pStyle w:val="Tabletext"/>
            </w:pPr>
            <w:r w:rsidRPr="004B5945">
              <w:t>HSIL+</w:t>
            </w:r>
          </w:p>
        </w:tc>
        <w:tc>
          <w:tcPr>
            <w:tcW w:w="1100" w:type="pct"/>
            <w:vAlign w:val="bottom"/>
          </w:tcPr>
          <w:p w:rsidR="006F5D57" w:rsidRPr="004B5945" w:rsidRDefault="006F5D57" w:rsidP="004B5945">
            <w:pPr>
              <w:pStyle w:val="Tabletext"/>
            </w:pPr>
            <w:r w:rsidRPr="004B5945">
              <w:t>247/292</w:t>
            </w:r>
            <w:r w:rsidR="00160107">
              <w:t xml:space="preserve"> </w:t>
            </w:r>
            <w:r w:rsidRPr="004B5945">
              <w:t>(84.59)</w:t>
            </w:r>
          </w:p>
        </w:tc>
        <w:tc>
          <w:tcPr>
            <w:tcW w:w="1165" w:type="pct"/>
            <w:shd w:val="clear" w:color="auto" w:fill="auto"/>
            <w:vAlign w:val="bottom"/>
          </w:tcPr>
          <w:p w:rsidR="006F5D57" w:rsidRPr="004B5945" w:rsidRDefault="006F5D57" w:rsidP="004B5945">
            <w:pPr>
              <w:pStyle w:val="Tabletext"/>
            </w:pPr>
            <w:r w:rsidRPr="004B5945">
              <w:t>192/228</w:t>
            </w:r>
            <w:r w:rsidR="00160107">
              <w:t xml:space="preserve"> </w:t>
            </w:r>
            <w:r w:rsidRPr="004B5945">
              <w:t>(84.21)</w:t>
            </w:r>
          </w:p>
        </w:tc>
        <w:tc>
          <w:tcPr>
            <w:tcW w:w="1233" w:type="pct"/>
            <w:vAlign w:val="bottom"/>
          </w:tcPr>
          <w:p w:rsidR="006F5D57" w:rsidRPr="006F5D57" w:rsidRDefault="006F5D57" w:rsidP="006F5D57">
            <w:pPr>
              <w:pStyle w:val="Tabletext"/>
            </w:pPr>
            <w:r w:rsidRPr="006F5D57">
              <w:t>1</w:t>
            </w:r>
            <w:r w:rsidR="00160107">
              <w:t xml:space="preserve"> </w:t>
            </w:r>
            <w:r w:rsidRPr="006F5D57">
              <w:t>[0.92,1.07]</w:t>
            </w:r>
          </w:p>
        </w:tc>
        <w:tc>
          <w:tcPr>
            <w:tcW w:w="668" w:type="pct"/>
            <w:shd w:val="clear" w:color="auto" w:fill="auto"/>
            <w:vAlign w:val="bottom"/>
          </w:tcPr>
          <w:p w:rsidR="006F5D57" w:rsidRPr="007C0819" w:rsidRDefault="006F5D57" w:rsidP="007C0819">
            <w:pPr>
              <w:pStyle w:val="Tabletext"/>
            </w:pPr>
            <w:r w:rsidRPr="007C0819">
              <w:t>0.906</w:t>
            </w:r>
          </w:p>
        </w:tc>
      </w:tr>
      <w:tr w:rsidR="006F5D57" w:rsidRPr="007C20F3" w:rsidTr="00104F4C">
        <w:tc>
          <w:tcPr>
            <w:tcW w:w="833" w:type="pct"/>
            <w:shd w:val="clear" w:color="auto" w:fill="auto"/>
          </w:tcPr>
          <w:p w:rsidR="006F5D57" w:rsidRPr="004B5945" w:rsidRDefault="006F5D57" w:rsidP="004B5945">
            <w:pPr>
              <w:pStyle w:val="Tabletext"/>
            </w:pPr>
            <w:r w:rsidRPr="004B5945">
              <w:t>SCC</w:t>
            </w:r>
          </w:p>
        </w:tc>
        <w:tc>
          <w:tcPr>
            <w:tcW w:w="1100" w:type="pct"/>
            <w:vAlign w:val="bottom"/>
          </w:tcPr>
          <w:p w:rsidR="006F5D57" w:rsidRPr="004B5945" w:rsidRDefault="00160107" w:rsidP="004B5945">
            <w:pPr>
              <w:pStyle w:val="Tabletext"/>
            </w:pPr>
            <w:r>
              <w:t xml:space="preserve">3/4 </w:t>
            </w:r>
            <w:r w:rsidR="006F5D57" w:rsidRPr="004B5945">
              <w:t>(75)</w:t>
            </w:r>
          </w:p>
        </w:tc>
        <w:tc>
          <w:tcPr>
            <w:tcW w:w="1165" w:type="pct"/>
            <w:shd w:val="clear" w:color="auto" w:fill="auto"/>
            <w:vAlign w:val="bottom"/>
          </w:tcPr>
          <w:p w:rsidR="006F5D57" w:rsidRPr="004B5945" w:rsidRDefault="0076623F" w:rsidP="0076623F">
            <w:pPr>
              <w:pStyle w:val="Tabletext"/>
            </w:pPr>
            <w:r>
              <w:t>0</w:t>
            </w:r>
            <w:r w:rsidR="006F5D57" w:rsidRPr="004B5945">
              <w:t>/2</w:t>
            </w:r>
            <w:r w:rsidR="00160107">
              <w:t xml:space="preserve"> </w:t>
            </w:r>
            <w:r w:rsidR="006F5D57" w:rsidRPr="004B5945">
              <w:t>(0)</w:t>
            </w:r>
          </w:p>
        </w:tc>
        <w:tc>
          <w:tcPr>
            <w:tcW w:w="1233" w:type="pct"/>
            <w:vAlign w:val="bottom"/>
          </w:tcPr>
          <w:p w:rsidR="006F5D57" w:rsidRPr="006F5D57" w:rsidRDefault="006F5D57" w:rsidP="006F5D57">
            <w:pPr>
              <w:pStyle w:val="Tabletext"/>
            </w:pPr>
            <w:r w:rsidRPr="006F5D57">
              <w:t>1.33</w:t>
            </w:r>
            <w:r w:rsidR="00160107">
              <w:t xml:space="preserve"> </w:t>
            </w:r>
            <w:r w:rsidRPr="006F5D57">
              <w:t>[0.76,2.35]</w:t>
            </w:r>
          </w:p>
        </w:tc>
        <w:tc>
          <w:tcPr>
            <w:tcW w:w="668" w:type="pct"/>
            <w:shd w:val="clear" w:color="auto" w:fill="auto"/>
            <w:vAlign w:val="bottom"/>
          </w:tcPr>
          <w:p w:rsidR="006F5D57" w:rsidRPr="007C0819" w:rsidRDefault="006F5D57" w:rsidP="007C0819">
            <w:pPr>
              <w:pStyle w:val="Tabletext"/>
            </w:pPr>
            <w:r w:rsidRPr="007C0819">
              <w:t>0.439</w:t>
            </w:r>
          </w:p>
        </w:tc>
      </w:tr>
      <w:tr w:rsidR="00A826EF" w:rsidRPr="007C20F3" w:rsidTr="00104F4C">
        <w:tc>
          <w:tcPr>
            <w:tcW w:w="833" w:type="pct"/>
            <w:shd w:val="clear" w:color="auto" w:fill="auto"/>
          </w:tcPr>
          <w:p w:rsidR="00A826EF" w:rsidRPr="004B5945" w:rsidRDefault="00A826EF" w:rsidP="004B5945">
            <w:pPr>
              <w:pStyle w:val="Tabletext"/>
            </w:pPr>
            <w:r>
              <w:t>Source</w:t>
            </w:r>
          </w:p>
        </w:tc>
        <w:tc>
          <w:tcPr>
            <w:tcW w:w="4167" w:type="pct"/>
            <w:gridSpan w:val="4"/>
            <w:vAlign w:val="bottom"/>
          </w:tcPr>
          <w:p w:rsidR="00A826EF" w:rsidRPr="007C0819" w:rsidRDefault="009B4EEC" w:rsidP="005F6015">
            <w:pPr>
              <w:pStyle w:val="Tabletext"/>
            </w:pPr>
            <w:r w:rsidRPr="005F6015">
              <w:t>A</w:t>
            </w:r>
            <w:r w:rsidR="00A826EF" w:rsidRPr="005F6015">
              <w:t xml:space="preserve">ttachment </w:t>
            </w:r>
            <w:r w:rsidR="005F6015" w:rsidRPr="005F6015">
              <w:t>4</w:t>
            </w:r>
            <w:r w:rsidR="00A826EF" w:rsidRPr="00A826EF">
              <w:t xml:space="preserve"> </w:t>
            </w:r>
          </w:p>
        </w:tc>
      </w:tr>
    </w:tbl>
    <w:p w:rsidR="009B4EEC" w:rsidRDefault="00160107" w:rsidP="004A73F7">
      <w:pPr>
        <w:pStyle w:val="Tabletext"/>
      </w:pPr>
      <w:r>
        <w:t xml:space="preserve">Abbreviations: Abbreviations: </w:t>
      </w:r>
      <w:r w:rsidRPr="009B4EEC">
        <w:t xml:space="preserve">ASCUS+, </w:t>
      </w:r>
      <w:r w:rsidR="009B4EEC" w:rsidRPr="009B4EEC">
        <w:t xml:space="preserve">atypical squamous cells of undetermined significance of higher; </w:t>
      </w:r>
      <w:r w:rsidRPr="009B4EEC">
        <w:t xml:space="preserve">LSIL, </w:t>
      </w:r>
      <w:r w:rsidR="009B4EEC" w:rsidRPr="009B4EEC">
        <w:t xml:space="preserve">low grade squamous intraepithelial lesion; </w:t>
      </w:r>
      <w:r w:rsidRPr="009B4EEC">
        <w:t>HSIL,</w:t>
      </w:r>
      <w:r>
        <w:t xml:space="preserve"> </w:t>
      </w:r>
      <w:r w:rsidR="009B4EEC">
        <w:t xml:space="preserve">high grade squamous intraepithelial lesion; </w:t>
      </w:r>
      <w:r>
        <w:t>SCC, squamous cell carcinoma; LBC, liquid-based cytology; CI, confidence interval; TP, true positive; FP false positive</w:t>
      </w:r>
    </w:p>
    <w:p w:rsidR="00210A04" w:rsidRPr="0076623F" w:rsidRDefault="00D44FAE" w:rsidP="004A73F7">
      <w:pPr>
        <w:pStyle w:val="Tabletext"/>
      </w:pPr>
      <w:r>
        <w:t>RR</w:t>
      </w:r>
      <w:r w:rsidRPr="00D44FAE">
        <w:t xml:space="preserve"> &lt;</w:t>
      </w:r>
      <w:r w:rsidR="00160107">
        <w:t xml:space="preserve"> </w:t>
      </w:r>
      <w:r w:rsidRPr="00D44FAE">
        <w:t>1 indicates</w:t>
      </w:r>
      <w:r>
        <w:t xml:space="preserve"> </w:t>
      </w:r>
      <w:r w:rsidRPr="0076623F">
        <w:t>performance of CC is better than LBC</w:t>
      </w:r>
    </w:p>
    <w:p w:rsidR="009834AD" w:rsidRPr="002561B1" w:rsidRDefault="009834AD" w:rsidP="009834AD">
      <w:pPr>
        <w:pStyle w:val="Heading50"/>
      </w:pPr>
      <w:r>
        <w:t>Cell filtration LBC vs</w:t>
      </w:r>
      <w:r w:rsidR="00D43B53">
        <w:t>.</w:t>
      </w:r>
      <w:r>
        <w:t xml:space="preserve"> </w:t>
      </w:r>
      <w:r w:rsidR="004A73F7">
        <w:t>CC</w:t>
      </w:r>
    </w:p>
    <w:p w:rsidR="002A4898" w:rsidRDefault="004A73F7" w:rsidP="004A73F7">
      <w:r>
        <w:t>Ronco 2007</w:t>
      </w:r>
      <w:r w:rsidR="002A4898" w:rsidRPr="0090540A">
        <w:t xml:space="preserve"> report</w:t>
      </w:r>
      <w:r>
        <w:t>ed</w:t>
      </w:r>
      <w:r w:rsidR="002A4898">
        <w:t xml:space="preserve"> the PPV and relative PPV for </w:t>
      </w:r>
      <w:r w:rsidR="002A4898" w:rsidRPr="0090540A">
        <w:t xml:space="preserve">both </w:t>
      </w:r>
      <w:r>
        <w:t xml:space="preserve">age </w:t>
      </w:r>
      <w:r w:rsidR="002A4898" w:rsidRPr="0090540A">
        <w:t>cohorts</w:t>
      </w:r>
      <w:r w:rsidR="002A4898">
        <w:t xml:space="preserve"> (</w:t>
      </w:r>
      <w:r>
        <w:t xml:space="preserve">25 to </w:t>
      </w:r>
      <w:r w:rsidR="002A4898" w:rsidRPr="0090540A">
        <w:t>34</w:t>
      </w:r>
      <w:r>
        <w:t xml:space="preserve"> years and 35 to 60 years</w:t>
      </w:r>
      <w:r w:rsidR="002A4898">
        <w:t>)</w:t>
      </w:r>
      <w:r w:rsidR="002A4898" w:rsidRPr="0090540A">
        <w:t xml:space="preserve"> combined</w:t>
      </w:r>
      <w:r w:rsidR="009F42D8">
        <w:t>. It is</w:t>
      </w:r>
      <w:r w:rsidR="009F42D8" w:rsidRPr="009F42D8">
        <w:t xml:space="preserve"> </w:t>
      </w:r>
      <w:r w:rsidR="009F42D8">
        <w:t>limited to ACSUS+ and LSIL+ test thresholds based on CIN</w:t>
      </w:r>
      <w:r>
        <w:t xml:space="preserve"> </w:t>
      </w:r>
      <w:r w:rsidR="009F42D8">
        <w:t>1+, CIN</w:t>
      </w:r>
      <w:r>
        <w:t xml:space="preserve"> </w:t>
      </w:r>
      <w:r w:rsidR="009F42D8">
        <w:t>2+ and CIN</w:t>
      </w:r>
      <w:r>
        <w:t xml:space="preserve"> </w:t>
      </w:r>
      <w:r w:rsidR="009F42D8">
        <w:t>3+ histological outcomes</w:t>
      </w:r>
      <w:r w:rsidR="00F51A41">
        <w:t xml:space="preserve"> (</w:t>
      </w:r>
      <w:r w:rsidR="00086C77">
        <w:fldChar w:fldCharType="begin"/>
      </w:r>
      <w:r w:rsidR="00086C77">
        <w:instrText xml:space="preserve"> REF _Ref334706546 \h  \* MERGEFORMAT </w:instrText>
      </w:r>
      <w:r w:rsidR="00086C77">
        <w:fldChar w:fldCharType="separate"/>
      </w:r>
      <w:r w:rsidR="003361A8">
        <w:t xml:space="preserve">Table </w:t>
      </w:r>
      <w:r w:rsidR="003361A8">
        <w:rPr>
          <w:noProof/>
        </w:rPr>
        <w:t>60</w:t>
      </w:r>
      <w:r w:rsidR="00086C77">
        <w:fldChar w:fldCharType="end"/>
      </w:r>
      <w:r w:rsidR="00F51A41">
        <w:t>)</w:t>
      </w:r>
      <w:r w:rsidR="009F42D8">
        <w:t>.</w:t>
      </w:r>
      <w:r w:rsidR="008E0E1A">
        <w:t xml:space="preserve"> Generally</w:t>
      </w:r>
      <w:r>
        <w:t>,</w:t>
      </w:r>
      <w:r w:rsidR="008E0E1A">
        <w:t xml:space="preserve"> based on an ASCUS+ test threshold,</w:t>
      </w:r>
      <w:r w:rsidR="00B97D04">
        <w:t xml:space="preserve"> cell filtration</w:t>
      </w:r>
      <w:r w:rsidR="008E0E1A">
        <w:t xml:space="preserve"> LBC was associated with a significantly lower PPV compared with </w:t>
      </w:r>
      <w:r>
        <w:t>CC</w:t>
      </w:r>
      <w:r w:rsidR="008E0E1A">
        <w:t xml:space="preserve"> </w:t>
      </w:r>
      <w:r w:rsidR="009F42D8">
        <w:t>for CIN</w:t>
      </w:r>
      <w:r>
        <w:t xml:space="preserve"> </w:t>
      </w:r>
      <w:r w:rsidR="009F42D8">
        <w:t>1+, CIN</w:t>
      </w:r>
      <w:r>
        <w:t xml:space="preserve"> </w:t>
      </w:r>
      <w:r w:rsidR="009F42D8">
        <w:t>2+ and CIN</w:t>
      </w:r>
      <w:r>
        <w:t xml:space="preserve"> </w:t>
      </w:r>
      <w:r w:rsidR="009F42D8">
        <w:t>3+ histological outcomes</w:t>
      </w:r>
      <w:r w:rsidR="008E0E1A">
        <w:t>. Based on an LSIL+ test threshold the PPV for CIN</w:t>
      </w:r>
      <w:r>
        <w:t xml:space="preserve"> </w:t>
      </w:r>
      <w:r w:rsidR="008E0E1A">
        <w:t xml:space="preserve">1+ was the same for </w:t>
      </w:r>
      <w:r w:rsidR="00B97D04">
        <w:t xml:space="preserve">cell filtration </w:t>
      </w:r>
      <w:r w:rsidR="008E0E1A">
        <w:t>LBC and conventional tests but significantl</w:t>
      </w:r>
      <w:r w:rsidR="00282645">
        <w:t xml:space="preserve">y lower for </w:t>
      </w:r>
      <w:r w:rsidR="00B97D04">
        <w:t xml:space="preserve">cell filtration </w:t>
      </w:r>
      <w:r w:rsidR="00282645">
        <w:t xml:space="preserve">LBC with regard to </w:t>
      </w:r>
      <w:r w:rsidR="008E0E1A">
        <w:t>CIN</w:t>
      </w:r>
      <w:r>
        <w:t xml:space="preserve"> </w:t>
      </w:r>
      <w:r w:rsidR="008E0E1A">
        <w:t>2+ and CIN</w:t>
      </w:r>
      <w:r>
        <w:t xml:space="preserve"> </w:t>
      </w:r>
      <w:r w:rsidR="008E0E1A">
        <w:t>3+</w:t>
      </w:r>
      <w:r w:rsidR="009F42D8">
        <w:t xml:space="preserve"> s</w:t>
      </w:r>
      <w:r w:rsidR="009F42D8" w:rsidRPr="009F42D8">
        <w:t>ince the 95%</w:t>
      </w:r>
      <w:r>
        <w:t xml:space="preserve"> </w:t>
      </w:r>
      <w:r w:rsidR="009F42D8" w:rsidRPr="009F42D8">
        <w:t>confidence intervals around the PPV ratios never differed significantly from unity</w:t>
      </w:r>
      <w:r w:rsidR="008E0E1A">
        <w:t>.</w:t>
      </w:r>
      <w:r w:rsidR="00160107">
        <w:t xml:space="preserve"> </w:t>
      </w:r>
      <w:r w:rsidR="001A312F" w:rsidRPr="001A312F">
        <w:t>However</w:t>
      </w:r>
      <w:r>
        <w:t xml:space="preserve">, only </w:t>
      </w:r>
      <w:r w:rsidR="001A312F" w:rsidRPr="001A312F">
        <w:t>CIN detected by cytology</w:t>
      </w:r>
      <w:r>
        <w:t xml:space="preserve"> was</w:t>
      </w:r>
      <w:r w:rsidR="001A312F">
        <w:t xml:space="preserve"> considered in the LBC arm.</w:t>
      </w:r>
    </w:p>
    <w:p w:rsidR="00922DC3" w:rsidRDefault="00922DC3" w:rsidP="004A73F7">
      <w:pPr>
        <w:rPr>
          <w:rFonts w:ascii="Arial Narrow" w:hAnsi="Arial Narrow"/>
          <w:sz w:val="16"/>
          <w:szCs w:val="22"/>
        </w:rPr>
      </w:pPr>
      <w:r>
        <w:t>The CIN</w:t>
      </w:r>
      <w:r w:rsidR="004A73F7">
        <w:t xml:space="preserve"> 1+ PPV</w:t>
      </w:r>
      <w:r>
        <w:t xml:space="preserve">s for the </w:t>
      </w:r>
      <w:r w:rsidR="00854219">
        <w:t xml:space="preserve">ASCUS + and </w:t>
      </w:r>
      <w:r>
        <w:t xml:space="preserve">LSIL+ test thresholds within the trial </w:t>
      </w:r>
      <w:r w:rsidR="00854219">
        <w:t>we</w:t>
      </w:r>
      <w:r>
        <w:t xml:space="preserve">re approximately </w:t>
      </w:r>
      <w:r w:rsidR="00854219">
        <w:t>25%</w:t>
      </w:r>
      <w:r>
        <w:t xml:space="preserve"> and </w:t>
      </w:r>
      <w:r w:rsidR="00854219">
        <w:t>37</w:t>
      </w:r>
      <w:r>
        <w:t>%, respectively.</w:t>
      </w:r>
      <w:r w:rsidR="00854219">
        <w:t xml:space="preserve"> The CIN</w:t>
      </w:r>
      <w:r w:rsidR="004A73F7">
        <w:t xml:space="preserve"> </w:t>
      </w:r>
      <w:r w:rsidR="00854219">
        <w:t>2+ and CIN</w:t>
      </w:r>
      <w:r w:rsidR="004A73F7">
        <w:t xml:space="preserve"> </w:t>
      </w:r>
      <w:r w:rsidR="00854219">
        <w:t xml:space="preserve">3+ PPVs for the ASCUS + and LSIL+ test thresholds </w:t>
      </w:r>
      <w:r w:rsidR="004A73F7">
        <w:t xml:space="preserve">were </w:t>
      </w:r>
      <w:r w:rsidR="00160107">
        <w:t xml:space="preserve">7.4 to 12.7% and 12.7% to 22.1%, and 3.37% to 8.02% and 5.57% to </w:t>
      </w:r>
      <w:r w:rsidR="00854219">
        <w:t>13.88%, re</w:t>
      </w:r>
      <w:r w:rsidR="004A73F7">
        <w:t>s</w:t>
      </w:r>
      <w:r w:rsidR="00854219">
        <w:t xml:space="preserve">pectively. </w:t>
      </w:r>
    </w:p>
    <w:p w:rsidR="002A4898" w:rsidRDefault="002A4898" w:rsidP="002A4898">
      <w:pPr>
        <w:pStyle w:val="Caption"/>
      </w:pPr>
      <w:bookmarkStart w:id="430" w:name="_Ref334706546"/>
      <w:bookmarkStart w:id="431" w:name="_Toc335666026"/>
      <w:bookmarkStart w:id="432" w:name="_Toc337546997"/>
      <w:r>
        <w:lastRenderedPageBreak/>
        <w:t xml:space="preserve">Table </w:t>
      </w:r>
      <w:fldSimple w:instr=" SEQ Table \* ARABIC ">
        <w:r w:rsidR="003361A8">
          <w:rPr>
            <w:noProof/>
          </w:rPr>
          <w:t>60</w:t>
        </w:r>
      </w:fldSimple>
      <w:bookmarkEnd w:id="430"/>
      <w:r>
        <w:tab/>
        <w:t>Relative positive predictive valu</w:t>
      </w:r>
      <w:r w:rsidR="009B4EEC">
        <w:t>e—</w:t>
      </w:r>
      <w:r w:rsidR="004A73F7">
        <w:t>CC</w:t>
      </w:r>
      <w:r>
        <w:t xml:space="preserve"> versus </w:t>
      </w:r>
      <w:r w:rsidR="00B736EB">
        <w:t>cell filtration LBC</w:t>
      </w:r>
      <w:r w:rsidR="009B4EEC">
        <w:t>;</w:t>
      </w:r>
      <w:r w:rsidR="00B736EB">
        <w:t xml:space="preserve"> </w:t>
      </w:r>
      <w:r>
        <w:t>NTC</w:t>
      </w:r>
      <w:r w:rsidR="009B4EEC">
        <w:t>C trial, a</w:t>
      </w:r>
      <w:r w:rsidR="004A73F7">
        <w:t>ge 24 to 60 years: Ronco 2007</w:t>
      </w:r>
      <w:bookmarkEnd w:id="431"/>
      <w:bookmarkEnd w:id="43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9"/>
        <w:gridCol w:w="1609"/>
        <w:gridCol w:w="1755"/>
        <w:gridCol w:w="2048"/>
      </w:tblGrid>
      <w:tr w:rsidR="002A4898" w:rsidRPr="004A73F7" w:rsidTr="004A73F7">
        <w:tc>
          <w:tcPr>
            <w:tcW w:w="1956" w:type="pct"/>
            <w:tcBorders>
              <w:right w:val="single" w:sz="4" w:space="0" w:color="auto"/>
            </w:tcBorders>
          </w:tcPr>
          <w:p w:rsidR="002A4898" w:rsidRPr="004A73F7" w:rsidRDefault="002A4898" w:rsidP="002A4898">
            <w:pPr>
              <w:pStyle w:val="Tabletext"/>
              <w:rPr>
                <w:b/>
              </w:rPr>
            </w:pPr>
          </w:p>
        </w:tc>
        <w:tc>
          <w:tcPr>
            <w:tcW w:w="3044" w:type="pct"/>
            <w:gridSpan w:val="3"/>
            <w:tcBorders>
              <w:top w:val="single" w:sz="4" w:space="0" w:color="auto"/>
              <w:right w:val="single" w:sz="4" w:space="0" w:color="auto"/>
            </w:tcBorders>
          </w:tcPr>
          <w:p w:rsidR="002A4898" w:rsidRPr="004A73F7" w:rsidRDefault="002A4898" w:rsidP="00160107">
            <w:pPr>
              <w:pStyle w:val="Tabletext"/>
              <w:jc w:val="center"/>
              <w:rPr>
                <w:b/>
              </w:rPr>
            </w:pPr>
            <w:r w:rsidRPr="004A73F7">
              <w:rPr>
                <w:b/>
              </w:rPr>
              <w:t xml:space="preserve">Histological </w:t>
            </w:r>
            <w:r w:rsidR="001B4D68" w:rsidRPr="004A73F7">
              <w:rPr>
                <w:b/>
              </w:rPr>
              <w:t>CIN</w:t>
            </w:r>
            <w:r w:rsidRPr="004A73F7">
              <w:rPr>
                <w:b/>
              </w:rPr>
              <w:t xml:space="preserve"> endpoint</w:t>
            </w:r>
          </w:p>
        </w:tc>
      </w:tr>
      <w:tr w:rsidR="002A4898" w:rsidRPr="004A73F7" w:rsidTr="004A73F7">
        <w:tc>
          <w:tcPr>
            <w:tcW w:w="1956" w:type="pct"/>
            <w:tcBorders>
              <w:right w:val="single" w:sz="4" w:space="0" w:color="auto"/>
            </w:tcBorders>
          </w:tcPr>
          <w:p w:rsidR="002A4898" w:rsidRPr="004A73F7" w:rsidRDefault="002A4898" w:rsidP="002A4898">
            <w:pPr>
              <w:pStyle w:val="Tabletext"/>
              <w:rPr>
                <w:b/>
              </w:rPr>
            </w:pPr>
          </w:p>
        </w:tc>
        <w:tc>
          <w:tcPr>
            <w:tcW w:w="905" w:type="pct"/>
          </w:tcPr>
          <w:p w:rsidR="002A4898" w:rsidRPr="004A73F7" w:rsidRDefault="004A73F7" w:rsidP="002A4898">
            <w:pPr>
              <w:pStyle w:val="Tabletext"/>
              <w:rPr>
                <w:b/>
              </w:rPr>
            </w:pPr>
            <w:r>
              <w:rPr>
                <w:b/>
              </w:rPr>
              <w:t>CIN</w:t>
            </w:r>
            <w:r w:rsidR="002A4898" w:rsidRPr="004A73F7">
              <w:rPr>
                <w:b/>
              </w:rPr>
              <w:t xml:space="preserve"> 1 or more, %(n)</w:t>
            </w:r>
          </w:p>
        </w:tc>
        <w:tc>
          <w:tcPr>
            <w:tcW w:w="987" w:type="pct"/>
          </w:tcPr>
          <w:p w:rsidR="002A4898" w:rsidRPr="004A73F7" w:rsidRDefault="004A73F7" w:rsidP="002A4898">
            <w:pPr>
              <w:pStyle w:val="Tabletext"/>
              <w:rPr>
                <w:b/>
              </w:rPr>
            </w:pPr>
            <w:r>
              <w:rPr>
                <w:b/>
              </w:rPr>
              <w:t>CIN</w:t>
            </w:r>
            <w:r w:rsidR="002A4898" w:rsidRPr="004A73F7">
              <w:rPr>
                <w:b/>
              </w:rPr>
              <w:t xml:space="preserve"> 2 or more, %(n)</w:t>
            </w:r>
          </w:p>
        </w:tc>
        <w:tc>
          <w:tcPr>
            <w:tcW w:w="1152" w:type="pct"/>
            <w:tcBorders>
              <w:right w:val="single" w:sz="4" w:space="0" w:color="auto"/>
            </w:tcBorders>
          </w:tcPr>
          <w:p w:rsidR="002A4898" w:rsidRPr="004A73F7" w:rsidRDefault="004A73F7" w:rsidP="002A4898">
            <w:pPr>
              <w:pStyle w:val="Tabletext"/>
              <w:rPr>
                <w:b/>
              </w:rPr>
            </w:pPr>
            <w:r>
              <w:rPr>
                <w:b/>
              </w:rPr>
              <w:t>CIN</w:t>
            </w:r>
            <w:r w:rsidR="002A4898" w:rsidRPr="004A73F7">
              <w:rPr>
                <w:b/>
              </w:rPr>
              <w:t xml:space="preserve"> 3 or more, %(n)</w:t>
            </w:r>
          </w:p>
        </w:tc>
      </w:tr>
      <w:tr w:rsidR="00A826EF" w:rsidRPr="00767F7A" w:rsidTr="004A73F7">
        <w:tc>
          <w:tcPr>
            <w:tcW w:w="5000" w:type="pct"/>
            <w:gridSpan w:val="4"/>
            <w:tcBorders>
              <w:right w:val="single" w:sz="4" w:space="0" w:color="auto"/>
            </w:tcBorders>
          </w:tcPr>
          <w:p w:rsidR="00A826EF" w:rsidRDefault="00A826EF" w:rsidP="002D28E4">
            <w:pPr>
              <w:pStyle w:val="Tabletext"/>
            </w:pPr>
            <w:r w:rsidRPr="00257721">
              <w:rPr>
                <w:b/>
              </w:rPr>
              <w:t xml:space="preserve">Positive if cytology shows </w:t>
            </w:r>
            <w:r w:rsidR="002D28E4">
              <w:rPr>
                <w:b/>
              </w:rPr>
              <w:t>ASCUS</w:t>
            </w:r>
            <w:r w:rsidRPr="00257721">
              <w:rPr>
                <w:b/>
              </w:rPr>
              <w:t xml:space="preserve"> or more</w:t>
            </w:r>
          </w:p>
        </w:tc>
      </w:tr>
      <w:tr w:rsidR="002A4898" w:rsidRPr="004A73F7" w:rsidTr="004A73F7">
        <w:tc>
          <w:tcPr>
            <w:tcW w:w="1956" w:type="pct"/>
            <w:tcBorders>
              <w:right w:val="single" w:sz="4" w:space="0" w:color="auto"/>
            </w:tcBorders>
          </w:tcPr>
          <w:p w:rsidR="002A4898" w:rsidRPr="004A73F7" w:rsidRDefault="004A73F7" w:rsidP="002A4898">
            <w:pPr>
              <w:pStyle w:val="Tabletext"/>
            </w:pPr>
            <w:r>
              <w:t>Positive p</w:t>
            </w:r>
            <w:r w:rsidR="002A4898" w:rsidRPr="004A73F7">
              <w:t>redictive value</w:t>
            </w:r>
          </w:p>
        </w:tc>
        <w:tc>
          <w:tcPr>
            <w:tcW w:w="905" w:type="pct"/>
          </w:tcPr>
          <w:p w:rsidR="002A4898" w:rsidRPr="004A73F7" w:rsidRDefault="002A4898" w:rsidP="002A4898">
            <w:pPr>
              <w:pStyle w:val="Tabletext"/>
            </w:pPr>
          </w:p>
        </w:tc>
        <w:tc>
          <w:tcPr>
            <w:tcW w:w="987" w:type="pct"/>
          </w:tcPr>
          <w:p w:rsidR="002A4898" w:rsidRPr="004A73F7" w:rsidRDefault="002A4898" w:rsidP="002A4898">
            <w:pPr>
              <w:pStyle w:val="Tabletext"/>
            </w:pPr>
          </w:p>
        </w:tc>
        <w:tc>
          <w:tcPr>
            <w:tcW w:w="1152" w:type="pct"/>
            <w:tcBorders>
              <w:right w:val="single" w:sz="4" w:space="0" w:color="auto"/>
            </w:tcBorders>
          </w:tcPr>
          <w:p w:rsidR="002A4898" w:rsidRPr="004A73F7" w:rsidRDefault="002A4898" w:rsidP="002A4898">
            <w:pPr>
              <w:pStyle w:val="Tabletext"/>
            </w:pPr>
          </w:p>
        </w:tc>
      </w:tr>
      <w:tr w:rsidR="002A4898" w:rsidRPr="00767F7A" w:rsidTr="004A73F7">
        <w:tc>
          <w:tcPr>
            <w:tcW w:w="1956" w:type="pct"/>
            <w:tcBorders>
              <w:right w:val="single" w:sz="4" w:space="0" w:color="auto"/>
            </w:tcBorders>
          </w:tcPr>
          <w:p w:rsidR="002A4898" w:rsidRDefault="002A4898" w:rsidP="002A4898">
            <w:pPr>
              <w:pStyle w:val="Tabletext"/>
            </w:pPr>
            <w:r>
              <w:t>-Conventional group</w:t>
            </w:r>
          </w:p>
        </w:tc>
        <w:tc>
          <w:tcPr>
            <w:tcW w:w="905" w:type="pct"/>
          </w:tcPr>
          <w:p w:rsidR="002A4898" w:rsidRDefault="002A4898" w:rsidP="002A4898">
            <w:pPr>
              <w:pStyle w:val="Tabletext"/>
            </w:pPr>
            <w:r>
              <w:t>27.84</w:t>
            </w:r>
          </w:p>
        </w:tc>
        <w:tc>
          <w:tcPr>
            <w:tcW w:w="987" w:type="pct"/>
          </w:tcPr>
          <w:p w:rsidR="002A4898" w:rsidRDefault="002A4898" w:rsidP="002A4898">
            <w:pPr>
              <w:pStyle w:val="Tabletext"/>
            </w:pPr>
            <w:r>
              <w:t>12.7</w:t>
            </w:r>
          </w:p>
        </w:tc>
        <w:tc>
          <w:tcPr>
            <w:tcW w:w="1152" w:type="pct"/>
            <w:tcBorders>
              <w:right w:val="single" w:sz="4" w:space="0" w:color="auto"/>
            </w:tcBorders>
          </w:tcPr>
          <w:p w:rsidR="002A4898" w:rsidRDefault="002A4898" w:rsidP="002A4898">
            <w:pPr>
              <w:pStyle w:val="Tabletext"/>
            </w:pPr>
            <w:r>
              <w:t>8.02</w:t>
            </w:r>
          </w:p>
        </w:tc>
      </w:tr>
      <w:tr w:rsidR="002A4898" w:rsidRPr="00767F7A" w:rsidTr="004A73F7">
        <w:tc>
          <w:tcPr>
            <w:tcW w:w="1956" w:type="pct"/>
            <w:tcBorders>
              <w:right w:val="single" w:sz="4" w:space="0" w:color="auto"/>
            </w:tcBorders>
          </w:tcPr>
          <w:p w:rsidR="002A4898" w:rsidRDefault="002A4898" w:rsidP="003C0082">
            <w:pPr>
              <w:pStyle w:val="Tabletext"/>
            </w:pPr>
            <w:r>
              <w:t>-</w:t>
            </w:r>
            <w:r w:rsidR="003C0082">
              <w:t>LBC</w:t>
            </w:r>
            <w:r>
              <w:t xml:space="preserve"> group</w:t>
            </w:r>
            <w:r w:rsidRPr="007A7D60">
              <w:rPr>
                <w:vertAlign w:val="superscript"/>
              </w:rPr>
              <w:t>a</w:t>
            </w:r>
          </w:p>
        </w:tc>
        <w:tc>
          <w:tcPr>
            <w:tcW w:w="905" w:type="pct"/>
          </w:tcPr>
          <w:p w:rsidR="002A4898" w:rsidRDefault="002A4898" w:rsidP="002A4898">
            <w:pPr>
              <w:pStyle w:val="Tabletext"/>
            </w:pPr>
            <w:r>
              <w:t>23.41</w:t>
            </w:r>
          </w:p>
        </w:tc>
        <w:tc>
          <w:tcPr>
            <w:tcW w:w="987" w:type="pct"/>
          </w:tcPr>
          <w:p w:rsidR="002A4898" w:rsidRDefault="002A4898" w:rsidP="002A4898">
            <w:pPr>
              <w:pStyle w:val="Tabletext"/>
            </w:pPr>
            <w:r>
              <w:t>7.4</w:t>
            </w:r>
          </w:p>
        </w:tc>
        <w:tc>
          <w:tcPr>
            <w:tcW w:w="1152" w:type="pct"/>
            <w:tcBorders>
              <w:right w:val="single" w:sz="4" w:space="0" w:color="auto"/>
            </w:tcBorders>
          </w:tcPr>
          <w:p w:rsidR="002A4898" w:rsidRDefault="002A4898" w:rsidP="002A4898">
            <w:pPr>
              <w:pStyle w:val="Tabletext"/>
            </w:pPr>
            <w:r>
              <w:t>3.37</w:t>
            </w:r>
          </w:p>
        </w:tc>
      </w:tr>
      <w:tr w:rsidR="002A4898" w:rsidRPr="00767F7A" w:rsidTr="004A73F7">
        <w:tc>
          <w:tcPr>
            <w:tcW w:w="1956" w:type="pct"/>
            <w:tcBorders>
              <w:right w:val="single" w:sz="4" w:space="0" w:color="auto"/>
            </w:tcBorders>
          </w:tcPr>
          <w:p w:rsidR="002A4898" w:rsidRDefault="002A4898" w:rsidP="002A4898">
            <w:pPr>
              <w:pStyle w:val="Tabletext"/>
            </w:pPr>
            <w:r>
              <w:t>Relative positive predictive value</w:t>
            </w:r>
            <w:r w:rsidRPr="007A7D60">
              <w:rPr>
                <w:vertAlign w:val="superscript"/>
              </w:rPr>
              <w:t>b</w:t>
            </w:r>
            <w:r>
              <w:t xml:space="preserve"> (95%</w:t>
            </w:r>
            <w:r w:rsidR="004A73F7">
              <w:t xml:space="preserve"> </w:t>
            </w:r>
            <w:r>
              <w:t>CI)</w:t>
            </w:r>
          </w:p>
        </w:tc>
        <w:tc>
          <w:tcPr>
            <w:tcW w:w="905" w:type="pct"/>
          </w:tcPr>
          <w:p w:rsidR="002A4898" w:rsidRDefault="002A4898" w:rsidP="002A4898">
            <w:pPr>
              <w:pStyle w:val="Tabletext"/>
            </w:pPr>
            <w:r>
              <w:t>0.84</w:t>
            </w:r>
            <w:r w:rsidR="004A73F7">
              <w:t xml:space="preserve"> </w:t>
            </w:r>
            <w:r>
              <w:t>(0.72 to 0.98)</w:t>
            </w:r>
          </w:p>
        </w:tc>
        <w:tc>
          <w:tcPr>
            <w:tcW w:w="987" w:type="pct"/>
          </w:tcPr>
          <w:p w:rsidR="002A4898" w:rsidRDefault="002A4898" w:rsidP="002A4898">
            <w:pPr>
              <w:pStyle w:val="Tabletext"/>
            </w:pPr>
            <w:r>
              <w:t>0.58</w:t>
            </w:r>
            <w:r w:rsidR="004A73F7">
              <w:t xml:space="preserve"> </w:t>
            </w:r>
            <w:r>
              <w:t>(0.44 to 0.77)</w:t>
            </w:r>
          </w:p>
        </w:tc>
        <w:tc>
          <w:tcPr>
            <w:tcW w:w="1152" w:type="pct"/>
            <w:tcBorders>
              <w:right w:val="single" w:sz="4" w:space="0" w:color="auto"/>
            </w:tcBorders>
          </w:tcPr>
          <w:p w:rsidR="002A4898" w:rsidRDefault="002A4898" w:rsidP="002A4898">
            <w:pPr>
              <w:pStyle w:val="Tabletext"/>
            </w:pPr>
            <w:r>
              <w:t>0.42</w:t>
            </w:r>
            <w:r w:rsidR="004A73F7">
              <w:t xml:space="preserve"> </w:t>
            </w:r>
            <w:r>
              <w:t>(0.29 to 0.62)</w:t>
            </w:r>
          </w:p>
        </w:tc>
      </w:tr>
      <w:tr w:rsidR="002A4898" w:rsidRPr="00767F7A" w:rsidTr="004A73F7">
        <w:tc>
          <w:tcPr>
            <w:tcW w:w="5000" w:type="pct"/>
            <w:gridSpan w:val="4"/>
            <w:tcBorders>
              <w:right w:val="single" w:sz="4" w:space="0" w:color="auto"/>
            </w:tcBorders>
          </w:tcPr>
          <w:p w:rsidR="002A4898" w:rsidRDefault="002A4898" w:rsidP="002A4898">
            <w:pPr>
              <w:pStyle w:val="Tabletext"/>
            </w:pPr>
          </w:p>
        </w:tc>
      </w:tr>
      <w:tr w:rsidR="00A826EF" w:rsidRPr="00767F7A" w:rsidTr="004A73F7">
        <w:tc>
          <w:tcPr>
            <w:tcW w:w="5000" w:type="pct"/>
            <w:gridSpan w:val="4"/>
            <w:tcBorders>
              <w:right w:val="single" w:sz="4" w:space="0" w:color="auto"/>
            </w:tcBorders>
          </w:tcPr>
          <w:p w:rsidR="00A826EF" w:rsidRDefault="00A826EF" w:rsidP="002D28E4">
            <w:pPr>
              <w:pStyle w:val="Tabletext"/>
            </w:pPr>
            <w:r w:rsidRPr="00257721">
              <w:rPr>
                <w:b/>
              </w:rPr>
              <w:t xml:space="preserve">Positive if cytology shows </w:t>
            </w:r>
            <w:r w:rsidR="002D28E4">
              <w:rPr>
                <w:b/>
              </w:rPr>
              <w:t>LSIL</w:t>
            </w:r>
            <w:r w:rsidRPr="00257721">
              <w:rPr>
                <w:b/>
              </w:rPr>
              <w:t xml:space="preserve"> or more</w:t>
            </w:r>
          </w:p>
        </w:tc>
      </w:tr>
      <w:tr w:rsidR="002A4898" w:rsidRPr="004A73F7" w:rsidTr="004A73F7">
        <w:tc>
          <w:tcPr>
            <w:tcW w:w="1956" w:type="pct"/>
            <w:tcBorders>
              <w:right w:val="single" w:sz="4" w:space="0" w:color="auto"/>
            </w:tcBorders>
          </w:tcPr>
          <w:p w:rsidR="002A4898" w:rsidRPr="004A73F7" w:rsidRDefault="004A73F7" w:rsidP="002A4898">
            <w:pPr>
              <w:pStyle w:val="Tabletext"/>
            </w:pPr>
            <w:r>
              <w:t>Positive p</w:t>
            </w:r>
            <w:r w:rsidR="002A4898" w:rsidRPr="004A73F7">
              <w:t>redictive value</w:t>
            </w:r>
          </w:p>
        </w:tc>
        <w:tc>
          <w:tcPr>
            <w:tcW w:w="905" w:type="pct"/>
          </w:tcPr>
          <w:p w:rsidR="002A4898" w:rsidRPr="004A73F7" w:rsidRDefault="002A4898" w:rsidP="002A4898">
            <w:pPr>
              <w:pStyle w:val="Tabletext"/>
            </w:pPr>
          </w:p>
        </w:tc>
        <w:tc>
          <w:tcPr>
            <w:tcW w:w="987" w:type="pct"/>
          </w:tcPr>
          <w:p w:rsidR="002A4898" w:rsidRPr="004A73F7" w:rsidRDefault="002A4898" w:rsidP="002A4898">
            <w:pPr>
              <w:pStyle w:val="Tabletext"/>
            </w:pPr>
          </w:p>
        </w:tc>
        <w:tc>
          <w:tcPr>
            <w:tcW w:w="1152" w:type="pct"/>
            <w:tcBorders>
              <w:right w:val="single" w:sz="4" w:space="0" w:color="auto"/>
            </w:tcBorders>
          </w:tcPr>
          <w:p w:rsidR="002A4898" w:rsidRPr="004A73F7" w:rsidRDefault="002A4898" w:rsidP="002A4898">
            <w:pPr>
              <w:pStyle w:val="Tabletext"/>
            </w:pPr>
          </w:p>
        </w:tc>
      </w:tr>
      <w:tr w:rsidR="002A4898" w:rsidRPr="00767F7A" w:rsidTr="004A73F7">
        <w:tc>
          <w:tcPr>
            <w:tcW w:w="1956" w:type="pct"/>
            <w:tcBorders>
              <w:right w:val="single" w:sz="4" w:space="0" w:color="auto"/>
            </w:tcBorders>
          </w:tcPr>
          <w:p w:rsidR="002A4898" w:rsidRDefault="002A4898" w:rsidP="002A4898">
            <w:pPr>
              <w:pStyle w:val="Tabletext"/>
            </w:pPr>
            <w:r>
              <w:t>-Conventional group</w:t>
            </w:r>
          </w:p>
        </w:tc>
        <w:tc>
          <w:tcPr>
            <w:tcW w:w="905" w:type="pct"/>
          </w:tcPr>
          <w:p w:rsidR="002A4898" w:rsidRDefault="002A4898" w:rsidP="002A4898">
            <w:pPr>
              <w:pStyle w:val="Tabletext"/>
            </w:pPr>
            <w:r>
              <w:t>38.80</w:t>
            </w:r>
          </w:p>
        </w:tc>
        <w:tc>
          <w:tcPr>
            <w:tcW w:w="987" w:type="pct"/>
          </w:tcPr>
          <w:p w:rsidR="002A4898" w:rsidRDefault="002A4898" w:rsidP="002A4898">
            <w:pPr>
              <w:pStyle w:val="Tabletext"/>
            </w:pPr>
            <w:r>
              <w:t>22.08</w:t>
            </w:r>
          </w:p>
        </w:tc>
        <w:tc>
          <w:tcPr>
            <w:tcW w:w="1152" w:type="pct"/>
            <w:tcBorders>
              <w:right w:val="single" w:sz="4" w:space="0" w:color="auto"/>
            </w:tcBorders>
          </w:tcPr>
          <w:p w:rsidR="002A4898" w:rsidRDefault="002A4898" w:rsidP="002A4898">
            <w:pPr>
              <w:pStyle w:val="Tabletext"/>
            </w:pPr>
            <w:r>
              <w:t>13.88</w:t>
            </w:r>
          </w:p>
        </w:tc>
      </w:tr>
      <w:tr w:rsidR="002A4898" w:rsidRPr="00767F7A" w:rsidTr="004A73F7">
        <w:tc>
          <w:tcPr>
            <w:tcW w:w="1956" w:type="pct"/>
            <w:tcBorders>
              <w:right w:val="single" w:sz="4" w:space="0" w:color="auto"/>
            </w:tcBorders>
          </w:tcPr>
          <w:p w:rsidR="002A4898" w:rsidRDefault="002A4898" w:rsidP="003C0082">
            <w:pPr>
              <w:pStyle w:val="Tabletext"/>
            </w:pPr>
            <w:r>
              <w:t>-</w:t>
            </w:r>
            <w:r w:rsidR="003C0082">
              <w:t>LBC</w:t>
            </w:r>
            <w:r>
              <w:t xml:space="preserve"> group</w:t>
            </w:r>
            <w:r w:rsidRPr="007A7D60">
              <w:rPr>
                <w:vertAlign w:val="superscript"/>
              </w:rPr>
              <w:t>a</w:t>
            </w:r>
          </w:p>
        </w:tc>
        <w:tc>
          <w:tcPr>
            <w:tcW w:w="905" w:type="pct"/>
          </w:tcPr>
          <w:p w:rsidR="002A4898" w:rsidRDefault="002A4898" w:rsidP="002A4898">
            <w:pPr>
              <w:pStyle w:val="Tabletext"/>
            </w:pPr>
            <w:r>
              <w:t>36.76</w:t>
            </w:r>
          </w:p>
        </w:tc>
        <w:tc>
          <w:tcPr>
            <w:tcW w:w="987" w:type="pct"/>
          </w:tcPr>
          <w:p w:rsidR="002A4898" w:rsidRDefault="002A4898" w:rsidP="002A4898">
            <w:pPr>
              <w:pStyle w:val="Tabletext"/>
            </w:pPr>
            <w:r>
              <w:t>12.72</w:t>
            </w:r>
          </w:p>
        </w:tc>
        <w:tc>
          <w:tcPr>
            <w:tcW w:w="1152" w:type="pct"/>
            <w:tcBorders>
              <w:right w:val="single" w:sz="4" w:space="0" w:color="auto"/>
            </w:tcBorders>
          </w:tcPr>
          <w:p w:rsidR="002A4898" w:rsidRDefault="002A4898" w:rsidP="002A4898">
            <w:pPr>
              <w:pStyle w:val="Tabletext"/>
            </w:pPr>
            <w:r>
              <w:t>5.57</w:t>
            </w:r>
          </w:p>
        </w:tc>
      </w:tr>
      <w:tr w:rsidR="002A4898" w:rsidRPr="00767F7A" w:rsidTr="004A73F7">
        <w:tc>
          <w:tcPr>
            <w:tcW w:w="1956" w:type="pct"/>
            <w:tcBorders>
              <w:right w:val="single" w:sz="4" w:space="0" w:color="auto"/>
            </w:tcBorders>
          </w:tcPr>
          <w:p w:rsidR="002A4898" w:rsidRDefault="002A4898" w:rsidP="002A4898">
            <w:pPr>
              <w:pStyle w:val="Tabletext"/>
            </w:pPr>
            <w:r>
              <w:t>Relative positive predictive value</w:t>
            </w:r>
            <w:r w:rsidRPr="007A7D60">
              <w:rPr>
                <w:vertAlign w:val="superscript"/>
              </w:rPr>
              <w:t>b</w:t>
            </w:r>
            <w:r>
              <w:t xml:space="preserve"> (95%</w:t>
            </w:r>
            <w:r w:rsidR="004A73F7">
              <w:t xml:space="preserve"> </w:t>
            </w:r>
            <w:r>
              <w:t>CI)</w:t>
            </w:r>
          </w:p>
        </w:tc>
        <w:tc>
          <w:tcPr>
            <w:tcW w:w="905" w:type="pct"/>
          </w:tcPr>
          <w:p w:rsidR="002A4898" w:rsidRDefault="002A4898" w:rsidP="002A4898">
            <w:pPr>
              <w:pStyle w:val="Tabletext"/>
            </w:pPr>
            <w:r>
              <w:t>0.95</w:t>
            </w:r>
            <w:r w:rsidR="004A73F7">
              <w:t xml:space="preserve"> </w:t>
            </w:r>
            <w:r>
              <w:t>(0.80 to 1.13)</w:t>
            </w:r>
          </w:p>
        </w:tc>
        <w:tc>
          <w:tcPr>
            <w:tcW w:w="987" w:type="pct"/>
          </w:tcPr>
          <w:p w:rsidR="002A4898" w:rsidRDefault="002A4898" w:rsidP="002A4898">
            <w:pPr>
              <w:pStyle w:val="Tabletext"/>
            </w:pPr>
            <w:r>
              <w:t>0.58</w:t>
            </w:r>
            <w:r w:rsidR="004A73F7">
              <w:t xml:space="preserve"> </w:t>
            </w:r>
            <w:r>
              <w:t>(0.43 to 0.78)</w:t>
            </w:r>
          </w:p>
        </w:tc>
        <w:tc>
          <w:tcPr>
            <w:tcW w:w="1152" w:type="pct"/>
            <w:tcBorders>
              <w:right w:val="single" w:sz="4" w:space="0" w:color="auto"/>
            </w:tcBorders>
          </w:tcPr>
          <w:p w:rsidR="002A4898" w:rsidRDefault="002A4898" w:rsidP="002A4898">
            <w:pPr>
              <w:pStyle w:val="Tabletext"/>
            </w:pPr>
            <w:r>
              <w:t>0.40</w:t>
            </w:r>
            <w:r w:rsidR="004A73F7">
              <w:t xml:space="preserve"> </w:t>
            </w:r>
            <w:r>
              <w:t>(0.26 to 0.62)</w:t>
            </w:r>
          </w:p>
        </w:tc>
      </w:tr>
      <w:tr w:rsidR="002A4898" w:rsidRPr="00767F7A" w:rsidTr="004A73F7">
        <w:tc>
          <w:tcPr>
            <w:tcW w:w="5000" w:type="pct"/>
            <w:gridSpan w:val="4"/>
            <w:tcBorders>
              <w:right w:val="single" w:sz="4" w:space="0" w:color="auto"/>
            </w:tcBorders>
          </w:tcPr>
          <w:p w:rsidR="002A4898" w:rsidRDefault="002A4898" w:rsidP="002A4898">
            <w:pPr>
              <w:pStyle w:val="Tabletext"/>
            </w:pPr>
            <w:r>
              <w:t>Source: Ronco 2007 Table 3</w:t>
            </w:r>
          </w:p>
        </w:tc>
      </w:tr>
    </w:tbl>
    <w:p w:rsidR="002A4898" w:rsidRDefault="002A4898" w:rsidP="004A73F7">
      <w:pPr>
        <w:pStyle w:val="Tabletext"/>
      </w:pPr>
      <w:r>
        <w:t xml:space="preserve">Abbreviations: </w:t>
      </w:r>
      <w:r w:rsidR="00160107">
        <w:t>ASCUS</w:t>
      </w:r>
      <w:r w:rsidR="009B4EEC">
        <w:t>, atypical squamous cells of undetermined significance</w:t>
      </w:r>
      <w:r w:rsidR="00160107">
        <w:t xml:space="preserve">; </w:t>
      </w:r>
      <w:r>
        <w:t>CI, confidence interval</w:t>
      </w:r>
      <w:r w:rsidR="00160107">
        <w:t>; CIN, cervical intraepithelial neoplasia; LBC, liquid-based cytology</w:t>
      </w:r>
    </w:p>
    <w:p w:rsidR="002A4898" w:rsidRDefault="002A4898" w:rsidP="004A73F7">
      <w:pPr>
        <w:pStyle w:val="Tabletext"/>
      </w:pPr>
      <w:r>
        <w:t>Note:</w:t>
      </w:r>
      <w:r w:rsidRPr="002614A4">
        <w:t xml:space="preserve"> </w:t>
      </w:r>
      <w:r>
        <w:t xml:space="preserve">For detection rate and relative sensitivity denominators are 22 466 women in conventional group and 22 708 in </w:t>
      </w:r>
      <w:r w:rsidR="003C0082">
        <w:t>LBC</w:t>
      </w:r>
      <w:r>
        <w:t xml:space="preserve"> group. For positive predictive values and relative positive predictive values denominators are women with positive cytology for </w:t>
      </w:r>
      <w:r w:rsidR="00D44FAE">
        <w:t>ASCUS</w:t>
      </w:r>
      <w:r>
        <w:t xml:space="preserve"> who had had colposcopy: 661 in conventional group and 1337 in </w:t>
      </w:r>
      <w:r w:rsidR="003C0082">
        <w:t>LBC</w:t>
      </w:r>
      <w:r w:rsidR="009B4EEC">
        <w:t xml:space="preserve"> group</w:t>
      </w:r>
    </w:p>
    <w:p w:rsidR="004A73F7" w:rsidRDefault="009B4EEC" w:rsidP="00AB012A">
      <w:pPr>
        <w:pStyle w:val="Tabletext"/>
        <w:numPr>
          <w:ilvl w:val="0"/>
          <w:numId w:val="27"/>
        </w:numPr>
      </w:pPr>
      <w:r>
        <w:t xml:space="preserve">Only </w:t>
      </w:r>
      <w:r w:rsidR="00D44FAE">
        <w:t>CIN</w:t>
      </w:r>
      <w:r w:rsidR="002A4898">
        <w:t xml:space="preserve"> detected by cytology considered</w:t>
      </w:r>
    </w:p>
    <w:p w:rsidR="002A4898" w:rsidRDefault="002A4898" w:rsidP="00AB012A">
      <w:pPr>
        <w:pStyle w:val="Tabletext"/>
        <w:numPr>
          <w:ilvl w:val="0"/>
          <w:numId w:val="27"/>
        </w:numPr>
      </w:pPr>
      <w:r>
        <w:t xml:space="preserve">Ratio of percentages. </w:t>
      </w:r>
      <w:r w:rsidR="003C0082">
        <w:t>LBC</w:t>
      </w:r>
      <w:r>
        <w:t xml:space="preserve"> compared with conventional cytology</w:t>
      </w:r>
      <w:r w:rsidR="00EE1C18">
        <w:t>. A ratio</w:t>
      </w:r>
      <w:r w:rsidR="00160107">
        <w:t xml:space="preserve"> </w:t>
      </w:r>
      <w:r w:rsidR="00EE1C18">
        <w:t>&lt;</w:t>
      </w:r>
      <w:r w:rsidR="009B4EEC">
        <w:t xml:space="preserve"> 1 indicates</w:t>
      </w:r>
      <w:r w:rsidR="00EE1C18">
        <w:t xml:space="preserve"> CC is better than </w:t>
      </w:r>
      <w:r w:rsidR="009B4EEC">
        <w:t>LBC</w:t>
      </w:r>
    </w:p>
    <w:p w:rsidR="00F51A41" w:rsidRDefault="00F51A41" w:rsidP="00B44B0C">
      <w:pPr>
        <w:pStyle w:val="Tabletext"/>
        <w:keepNext w:val="0"/>
        <w:spacing w:before="0" w:after="240" w:line="360" w:lineRule="auto"/>
        <w:rPr>
          <w:rFonts w:ascii="Californian FB" w:hAnsi="Californian FB"/>
          <w:sz w:val="22"/>
          <w:szCs w:val="24"/>
        </w:rPr>
      </w:pPr>
    </w:p>
    <w:p w:rsidR="00B44B0C" w:rsidRDefault="00261ABC" w:rsidP="004A73F7">
      <w:r>
        <w:t>T</w:t>
      </w:r>
      <w:r w:rsidR="00B44B0C" w:rsidRPr="00CB14F6">
        <w:t xml:space="preserve">he </w:t>
      </w:r>
      <w:r w:rsidR="00B44B0C">
        <w:t xml:space="preserve">PPV </w:t>
      </w:r>
      <w:r w:rsidR="00B44B0C" w:rsidRPr="00353809">
        <w:t xml:space="preserve">and relative PPV was calculated for </w:t>
      </w:r>
      <w:r w:rsidR="00C36CFF">
        <w:t xml:space="preserve">all </w:t>
      </w:r>
      <w:r w:rsidR="00B44B0C" w:rsidRPr="00353809">
        <w:t>test threshold</w:t>
      </w:r>
      <w:r w:rsidR="00C36CFF">
        <w:t>s (ASCUS+, LSIL+ and HSIL+) and CIN</w:t>
      </w:r>
      <w:r w:rsidR="004A73F7">
        <w:t xml:space="preserve"> 1 to CIN </w:t>
      </w:r>
      <w:r w:rsidR="00C36CFF">
        <w:t>3 outcomes</w:t>
      </w:r>
      <w:r w:rsidR="00B44B0C" w:rsidRPr="00353809">
        <w:t xml:space="preserve"> </w:t>
      </w:r>
      <w:r w:rsidR="00B44B0C">
        <w:t xml:space="preserve">using </w:t>
      </w:r>
      <w:r w:rsidR="00B44B0C" w:rsidRPr="00CB14F6">
        <w:t>data rep</w:t>
      </w:r>
      <w:r w:rsidR="00B44B0C">
        <w:t xml:space="preserve">orted in </w:t>
      </w:r>
      <w:r>
        <w:t xml:space="preserve">the NETHCON trial </w:t>
      </w:r>
      <w:r w:rsidR="004A73F7">
        <w:t xml:space="preserve">(Siebers </w:t>
      </w:r>
      <w:r w:rsidR="00B44B0C">
        <w:t>2009</w:t>
      </w:r>
      <w:r w:rsidR="004A73F7">
        <w:t>) (provided in</w:t>
      </w:r>
      <w:r w:rsidR="00B44B0C">
        <w:t xml:space="preserve"> </w:t>
      </w:r>
      <w:r w:rsidR="00086C77">
        <w:fldChar w:fldCharType="begin"/>
      </w:r>
      <w:r w:rsidR="00086C77">
        <w:instrText xml:space="preserve"> REF _Ref332703648 \h  \* MERGEFORMAT </w:instrText>
      </w:r>
      <w:r w:rsidR="00086C77">
        <w:fldChar w:fldCharType="separate"/>
      </w:r>
      <w:r w:rsidR="003361A8">
        <w:t xml:space="preserve">Table </w:t>
      </w:r>
      <w:r w:rsidR="003361A8">
        <w:rPr>
          <w:noProof/>
        </w:rPr>
        <w:t>43</w:t>
      </w:r>
      <w:r w:rsidR="00086C77">
        <w:fldChar w:fldCharType="end"/>
      </w:r>
      <w:r w:rsidR="00B44B0C">
        <w:t xml:space="preserve">). The outcomes calculated for the submission align with the </w:t>
      </w:r>
      <w:r w:rsidR="00F51A41">
        <w:t xml:space="preserve">few </w:t>
      </w:r>
      <w:r w:rsidR="00B44B0C">
        <w:t xml:space="preserve">PPV outcomes </w:t>
      </w:r>
      <w:r w:rsidR="00E53700">
        <w:t xml:space="preserve">reported </w:t>
      </w:r>
      <w:r w:rsidR="00A075C2">
        <w:t xml:space="preserve">in Table 5 of </w:t>
      </w:r>
      <w:r w:rsidR="00E53700">
        <w:t xml:space="preserve">Siebers </w:t>
      </w:r>
      <w:r w:rsidR="00B44B0C">
        <w:t>200</w:t>
      </w:r>
      <w:r w:rsidR="004A73F7">
        <w:t>9</w:t>
      </w:r>
      <w:r w:rsidR="00B44B0C">
        <w:t>.</w:t>
      </w:r>
    </w:p>
    <w:p w:rsidR="00D81F87" w:rsidRDefault="00D81F87" w:rsidP="00D81F87">
      <w:r>
        <w:t xml:space="preserve">The PPVs of </w:t>
      </w:r>
      <w:r w:rsidR="00C36CFF">
        <w:t>cell filtration LBC</w:t>
      </w:r>
      <w:r>
        <w:t xml:space="preserve"> and </w:t>
      </w:r>
      <w:r w:rsidR="004A73F7">
        <w:t>CC</w:t>
      </w:r>
      <w:r>
        <w:t xml:space="preserve"> and their ratios for different levels of test positivity and outcome thresholds are presented in </w:t>
      </w:r>
      <w:r w:rsidR="00086C77">
        <w:fldChar w:fldCharType="begin"/>
      </w:r>
      <w:r w:rsidR="00C65C14">
        <w:instrText xml:space="preserve"> REF _Ref333477880 \h </w:instrText>
      </w:r>
      <w:r w:rsidR="00086C77">
        <w:fldChar w:fldCharType="separate"/>
      </w:r>
      <w:r w:rsidR="003361A8">
        <w:t xml:space="preserve">Table </w:t>
      </w:r>
      <w:r w:rsidR="003361A8">
        <w:rPr>
          <w:noProof/>
        </w:rPr>
        <w:t>61</w:t>
      </w:r>
      <w:r w:rsidR="00086C77">
        <w:fldChar w:fldCharType="end"/>
      </w:r>
      <w:r w:rsidR="002015A4">
        <w:t xml:space="preserve">. </w:t>
      </w:r>
      <w:r w:rsidR="00B97D04">
        <w:t>The PPVs of cell filtration LBC a</w:t>
      </w:r>
      <w:r>
        <w:t xml:space="preserve">nd </w:t>
      </w:r>
      <w:r w:rsidR="004A73F7">
        <w:t>CC</w:t>
      </w:r>
      <w:r>
        <w:t xml:space="preserve"> were comparable since </w:t>
      </w:r>
      <w:r w:rsidR="00C65C14">
        <w:t>the 95%</w:t>
      </w:r>
      <w:r w:rsidR="004A73F7">
        <w:t xml:space="preserve"> </w:t>
      </w:r>
      <w:r w:rsidR="00C65C14">
        <w:t>confi</w:t>
      </w:r>
      <w:r w:rsidR="00D43B53">
        <w:t>d</w:t>
      </w:r>
      <w:r w:rsidR="00C65C14">
        <w:t xml:space="preserve">ence intervals around the </w:t>
      </w:r>
      <w:r>
        <w:t>PPV ratios never differed significantly from unity,</w:t>
      </w:r>
      <w:r w:rsidR="00322FCF">
        <w:t xml:space="preserve"> this</w:t>
      </w:r>
      <w:r>
        <w:t xml:space="preserve"> irrespective of the cytological or verified outcome cut-off value.</w:t>
      </w:r>
    </w:p>
    <w:p w:rsidR="00922DC3" w:rsidRDefault="00922DC3" w:rsidP="00922DC3">
      <w:pPr>
        <w:rPr>
          <w:rFonts w:ascii="Arial Narrow" w:hAnsi="Arial Narrow"/>
          <w:sz w:val="16"/>
          <w:szCs w:val="22"/>
        </w:rPr>
      </w:pPr>
      <w:r>
        <w:t>The CIN</w:t>
      </w:r>
      <w:r w:rsidR="004A73F7">
        <w:t xml:space="preserve"> 1+ PPV</w:t>
      </w:r>
      <w:r>
        <w:t xml:space="preserve">s for the </w:t>
      </w:r>
      <w:r w:rsidR="00854219">
        <w:t>ASCUS +, LSIL+ and</w:t>
      </w:r>
      <w:r>
        <w:t xml:space="preserve"> HSIL+ test thresholds within the trial were approximately </w:t>
      </w:r>
      <w:r w:rsidR="00854219">
        <w:t>34%</w:t>
      </w:r>
      <w:r>
        <w:t xml:space="preserve">, </w:t>
      </w:r>
      <w:r w:rsidR="00854219">
        <w:t>70</w:t>
      </w:r>
      <w:r>
        <w:t xml:space="preserve">% and </w:t>
      </w:r>
      <w:r w:rsidR="00854219">
        <w:t>87</w:t>
      </w:r>
      <w:r>
        <w:t>%, respectively.</w:t>
      </w:r>
      <w:r w:rsidR="00854219">
        <w:t xml:space="preserve"> The CIN</w:t>
      </w:r>
      <w:r w:rsidR="004A73F7">
        <w:t xml:space="preserve"> </w:t>
      </w:r>
      <w:r w:rsidR="00854219">
        <w:t>2+ and CIN</w:t>
      </w:r>
      <w:r w:rsidR="004A73F7">
        <w:t xml:space="preserve"> </w:t>
      </w:r>
      <w:r w:rsidR="00854219">
        <w:t>3+ PPVs for the ASCUS +, LSIL+ and HSIL+ test thresholds within the trial were approximately</w:t>
      </w:r>
      <w:r w:rsidR="00D46DE0">
        <w:t xml:space="preserve"> 27%, 61% and 82%, and 18%, 42% and 60%, respectively.</w:t>
      </w:r>
    </w:p>
    <w:p w:rsidR="00634F90" w:rsidRDefault="00634F90" w:rsidP="00634F90">
      <w:pPr>
        <w:pStyle w:val="Caption"/>
      </w:pPr>
      <w:bookmarkStart w:id="433" w:name="_Ref333477880"/>
      <w:bookmarkStart w:id="434" w:name="_Toc335666027"/>
      <w:bookmarkStart w:id="435" w:name="_Toc337546998"/>
      <w:r>
        <w:lastRenderedPageBreak/>
        <w:t xml:space="preserve">Table </w:t>
      </w:r>
      <w:fldSimple w:instr=" SEQ Table \* ARABIC ">
        <w:r w:rsidR="003361A8">
          <w:rPr>
            <w:noProof/>
          </w:rPr>
          <w:t>61</w:t>
        </w:r>
      </w:fldSimple>
      <w:bookmarkEnd w:id="433"/>
      <w:r w:rsidR="007224EC">
        <w:tab/>
        <w:t>Comparison of positive predictive value</w:t>
      </w:r>
      <w:r w:rsidR="009B4EEC">
        <w:t>—</w:t>
      </w:r>
      <w:r w:rsidR="004A73F7">
        <w:t>CC</w:t>
      </w:r>
      <w:r>
        <w:t xml:space="preserve"> versus </w:t>
      </w:r>
      <w:r w:rsidR="00B736EB">
        <w:t>cell filt</w:t>
      </w:r>
      <w:r w:rsidR="009B4EEC">
        <w:t>ration LBC;</w:t>
      </w:r>
      <w:r w:rsidR="004A73F7">
        <w:t xml:space="preserve"> NETHCON: Siebers 2009</w:t>
      </w:r>
      <w:bookmarkEnd w:id="434"/>
      <w:bookmarkEnd w:id="43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1956"/>
        <w:gridCol w:w="2072"/>
        <w:gridCol w:w="2193"/>
        <w:gridCol w:w="1191"/>
      </w:tblGrid>
      <w:tr w:rsidR="00634F90" w:rsidRPr="004A73F7" w:rsidTr="00104F4C">
        <w:tc>
          <w:tcPr>
            <w:tcW w:w="832" w:type="pct"/>
            <w:shd w:val="clear" w:color="auto" w:fill="auto"/>
          </w:tcPr>
          <w:p w:rsidR="00634F90" w:rsidRPr="004A73F7" w:rsidRDefault="00634F90" w:rsidP="00634F90">
            <w:pPr>
              <w:pStyle w:val="Tabletext"/>
              <w:rPr>
                <w:b/>
              </w:rPr>
            </w:pPr>
          </w:p>
        </w:tc>
        <w:tc>
          <w:tcPr>
            <w:tcW w:w="1100" w:type="pct"/>
          </w:tcPr>
          <w:p w:rsidR="00634F90" w:rsidRPr="004A73F7" w:rsidRDefault="00634F90" w:rsidP="00634F90">
            <w:pPr>
              <w:pStyle w:val="Tabletext"/>
              <w:rPr>
                <w:b/>
              </w:rPr>
            </w:pPr>
            <w:r w:rsidRPr="004A73F7">
              <w:rPr>
                <w:b/>
              </w:rPr>
              <w:t xml:space="preserve">Conventional </w:t>
            </w:r>
            <w:r w:rsidRPr="004A73F7">
              <w:rPr>
                <w:b/>
              </w:rPr>
              <w:br/>
              <w:t>n/</w:t>
            </w:r>
            <w:proofErr w:type="gramStart"/>
            <w:r w:rsidRPr="004A73F7">
              <w:rPr>
                <w:b/>
              </w:rPr>
              <w:t>N(</w:t>
            </w:r>
            <w:proofErr w:type="gramEnd"/>
            <w:r w:rsidRPr="004A73F7">
              <w:rPr>
                <w:b/>
              </w:rPr>
              <w:t>%)</w:t>
            </w:r>
          </w:p>
        </w:tc>
        <w:tc>
          <w:tcPr>
            <w:tcW w:w="1165" w:type="pct"/>
            <w:shd w:val="clear" w:color="auto" w:fill="auto"/>
          </w:tcPr>
          <w:p w:rsidR="00634F90" w:rsidRPr="004A73F7" w:rsidRDefault="00634F90" w:rsidP="00634F90">
            <w:pPr>
              <w:pStyle w:val="Tabletext"/>
              <w:rPr>
                <w:b/>
              </w:rPr>
            </w:pPr>
            <w:r w:rsidRPr="004A73F7">
              <w:rPr>
                <w:b/>
              </w:rPr>
              <w:t>LBC</w:t>
            </w:r>
            <w:r w:rsidRPr="004A73F7">
              <w:rPr>
                <w:b/>
              </w:rPr>
              <w:br/>
              <w:t>n/</w:t>
            </w:r>
            <w:proofErr w:type="gramStart"/>
            <w:r w:rsidRPr="004A73F7">
              <w:rPr>
                <w:b/>
              </w:rPr>
              <w:t>N(</w:t>
            </w:r>
            <w:proofErr w:type="gramEnd"/>
            <w:r w:rsidRPr="004A73F7">
              <w:rPr>
                <w:b/>
              </w:rPr>
              <w:t>%)</w:t>
            </w:r>
          </w:p>
        </w:tc>
        <w:tc>
          <w:tcPr>
            <w:tcW w:w="1233" w:type="pct"/>
          </w:tcPr>
          <w:p w:rsidR="00634F90" w:rsidRPr="004A73F7" w:rsidRDefault="004A73F7" w:rsidP="00634F90">
            <w:pPr>
              <w:pStyle w:val="Tabletext"/>
              <w:rPr>
                <w:b/>
              </w:rPr>
            </w:pPr>
            <w:r>
              <w:rPr>
                <w:b/>
              </w:rPr>
              <w:t>Relative r</w:t>
            </w:r>
            <w:r w:rsidR="00634F90" w:rsidRPr="004A73F7">
              <w:rPr>
                <w:b/>
              </w:rPr>
              <w:t>isk [95%</w:t>
            </w:r>
            <w:r w:rsidR="00914ADB">
              <w:rPr>
                <w:b/>
              </w:rPr>
              <w:t xml:space="preserve"> </w:t>
            </w:r>
            <w:r w:rsidR="00634F90" w:rsidRPr="004A73F7">
              <w:rPr>
                <w:b/>
              </w:rPr>
              <w:t>CI]</w:t>
            </w:r>
          </w:p>
        </w:tc>
        <w:tc>
          <w:tcPr>
            <w:tcW w:w="670" w:type="pct"/>
            <w:shd w:val="clear" w:color="auto" w:fill="auto"/>
          </w:tcPr>
          <w:p w:rsidR="00634F90" w:rsidRPr="004A73F7" w:rsidRDefault="004A73F7" w:rsidP="00634F90">
            <w:pPr>
              <w:pStyle w:val="Tabletext"/>
              <w:rPr>
                <w:b/>
              </w:rPr>
            </w:pPr>
            <w:r>
              <w:rPr>
                <w:b/>
              </w:rPr>
              <w:t>P v</w:t>
            </w:r>
            <w:r w:rsidR="00634F90" w:rsidRPr="004A73F7">
              <w:rPr>
                <w:b/>
              </w:rPr>
              <w:t>alue</w:t>
            </w:r>
          </w:p>
        </w:tc>
      </w:tr>
      <w:tr w:rsidR="00104F4C" w:rsidRPr="004A73F7" w:rsidTr="00104F4C">
        <w:tc>
          <w:tcPr>
            <w:tcW w:w="832" w:type="pct"/>
            <w:shd w:val="clear" w:color="auto" w:fill="auto"/>
          </w:tcPr>
          <w:p w:rsidR="00104F4C" w:rsidRPr="004A73F7" w:rsidRDefault="00104F4C" w:rsidP="00634F90">
            <w:pPr>
              <w:pStyle w:val="Tabletext"/>
              <w:rPr>
                <w:b/>
              </w:rPr>
            </w:pPr>
            <w:r w:rsidRPr="004A73F7">
              <w:rPr>
                <w:b/>
              </w:rPr>
              <w:t>Test threshold</w:t>
            </w:r>
          </w:p>
        </w:tc>
        <w:tc>
          <w:tcPr>
            <w:tcW w:w="4168" w:type="pct"/>
            <w:gridSpan w:val="4"/>
          </w:tcPr>
          <w:p w:rsidR="00104F4C" w:rsidRPr="004A73F7" w:rsidRDefault="00104F4C" w:rsidP="00634F90">
            <w:pPr>
              <w:pStyle w:val="Tabletext"/>
              <w:rPr>
                <w:b/>
              </w:rPr>
            </w:pPr>
            <w:r w:rsidRPr="004A73F7">
              <w:rPr>
                <w:b/>
              </w:rPr>
              <w:t>Endpoint of CIN</w:t>
            </w:r>
            <w:r>
              <w:rPr>
                <w:b/>
              </w:rPr>
              <w:t xml:space="preserve"> </w:t>
            </w:r>
            <w:r w:rsidRPr="004A73F7">
              <w:rPr>
                <w:b/>
              </w:rPr>
              <w:t xml:space="preserve">1+ detection </w:t>
            </w:r>
          </w:p>
        </w:tc>
      </w:tr>
      <w:tr w:rsidR="00E53700" w:rsidRPr="007C20F3" w:rsidTr="00104F4C">
        <w:tc>
          <w:tcPr>
            <w:tcW w:w="832" w:type="pct"/>
            <w:shd w:val="clear" w:color="auto" w:fill="auto"/>
          </w:tcPr>
          <w:p w:rsidR="00E53700" w:rsidRPr="00B22FBE" w:rsidRDefault="00C65C14" w:rsidP="00B22FBE">
            <w:pPr>
              <w:pStyle w:val="Tabletext"/>
            </w:pPr>
            <w:r w:rsidRPr="00B22FBE">
              <w:t>ASCUS+</w:t>
            </w:r>
          </w:p>
        </w:tc>
        <w:tc>
          <w:tcPr>
            <w:tcW w:w="1100" w:type="pct"/>
            <w:vAlign w:val="bottom"/>
          </w:tcPr>
          <w:p w:rsidR="00E53700" w:rsidRPr="00B22FBE" w:rsidRDefault="00C65C14" w:rsidP="00C65C14">
            <w:pPr>
              <w:pStyle w:val="Tabletext"/>
            </w:pPr>
            <w:r w:rsidRPr="00C65C14">
              <w:t>349/1027</w:t>
            </w:r>
            <w:r w:rsidR="00914ADB">
              <w:t xml:space="preserve"> </w:t>
            </w:r>
            <w:r w:rsidRPr="00C65C14">
              <w:t>(33.98)</w:t>
            </w:r>
          </w:p>
        </w:tc>
        <w:tc>
          <w:tcPr>
            <w:tcW w:w="1165" w:type="pct"/>
            <w:shd w:val="clear" w:color="auto" w:fill="auto"/>
            <w:vAlign w:val="bottom"/>
          </w:tcPr>
          <w:p w:rsidR="00E53700" w:rsidRPr="00B22FBE" w:rsidRDefault="00C65C14" w:rsidP="00C65C14">
            <w:pPr>
              <w:pStyle w:val="Tabletext"/>
            </w:pPr>
            <w:r w:rsidRPr="00C65C14">
              <w:t>412/1144</w:t>
            </w:r>
            <w:r w:rsidR="00914ADB">
              <w:t xml:space="preserve"> </w:t>
            </w:r>
            <w:r w:rsidRPr="00C65C14">
              <w:t>(36.01)</w:t>
            </w:r>
          </w:p>
        </w:tc>
        <w:tc>
          <w:tcPr>
            <w:tcW w:w="1233" w:type="pct"/>
            <w:vAlign w:val="bottom"/>
          </w:tcPr>
          <w:p w:rsidR="00E53700" w:rsidRPr="007C0819" w:rsidRDefault="00C65C14" w:rsidP="00C65C14">
            <w:pPr>
              <w:pStyle w:val="Tabletext"/>
            </w:pPr>
            <w:r w:rsidRPr="00C65C14">
              <w:t>1.06</w:t>
            </w:r>
            <w:r w:rsidR="00914ADB">
              <w:t xml:space="preserve"> </w:t>
            </w:r>
            <w:r w:rsidRPr="00C65C14">
              <w:t>[0.94,1.19]</w:t>
            </w:r>
          </w:p>
        </w:tc>
        <w:tc>
          <w:tcPr>
            <w:tcW w:w="670" w:type="pct"/>
            <w:shd w:val="clear" w:color="auto" w:fill="auto"/>
            <w:vAlign w:val="bottom"/>
          </w:tcPr>
          <w:p w:rsidR="00E53700" w:rsidRPr="007C0819" w:rsidRDefault="00C65C14" w:rsidP="007C0819">
            <w:pPr>
              <w:pStyle w:val="Tabletext"/>
            </w:pPr>
            <w:r>
              <w:t>0.322</w:t>
            </w:r>
          </w:p>
        </w:tc>
      </w:tr>
      <w:tr w:rsidR="006F5D57" w:rsidRPr="007C20F3" w:rsidTr="00104F4C">
        <w:tc>
          <w:tcPr>
            <w:tcW w:w="832" w:type="pct"/>
            <w:shd w:val="clear" w:color="auto" w:fill="auto"/>
          </w:tcPr>
          <w:p w:rsidR="006F5D57" w:rsidRPr="00B22FBE" w:rsidRDefault="006F5D57" w:rsidP="00B22FBE">
            <w:pPr>
              <w:pStyle w:val="Tabletext"/>
            </w:pPr>
            <w:r w:rsidRPr="00B22FBE">
              <w:t>LSIL+</w:t>
            </w:r>
          </w:p>
        </w:tc>
        <w:tc>
          <w:tcPr>
            <w:tcW w:w="1100" w:type="pct"/>
            <w:vAlign w:val="bottom"/>
          </w:tcPr>
          <w:p w:rsidR="006F5D57" w:rsidRPr="00B22FBE" w:rsidRDefault="006F5D57" w:rsidP="00B22FBE">
            <w:pPr>
              <w:pStyle w:val="Tabletext"/>
            </w:pPr>
            <w:r w:rsidRPr="00B22FBE">
              <w:t>272/387</w:t>
            </w:r>
            <w:r w:rsidR="00914ADB">
              <w:t xml:space="preserve"> </w:t>
            </w:r>
            <w:r w:rsidRPr="00B22FBE">
              <w:t>(70.28)</w:t>
            </w:r>
          </w:p>
        </w:tc>
        <w:tc>
          <w:tcPr>
            <w:tcW w:w="1165" w:type="pct"/>
            <w:shd w:val="clear" w:color="auto" w:fill="auto"/>
            <w:vAlign w:val="bottom"/>
          </w:tcPr>
          <w:p w:rsidR="006F5D57" w:rsidRPr="00B22FBE" w:rsidRDefault="006F5D57" w:rsidP="00B22FBE">
            <w:pPr>
              <w:pStyle w:val="Tabletext"/>
            </w:pPr>
            <w:r w:rsidRPr="00B22FBE">
              <w:t>329/448</w:t>
            </w:r>
            <w:r w:rsidR="00914ADB">
              <w:t xml:space="preserve"> </w:t>
            </w:r>
            <w:r w:rsidRPr="00B22FBE">
              <w:t>(73.44)</w:t>
            </w:r>
          </w:p>
        </w:tc>
        <w:tc>
          <w:tcPr>
            <w:tcW w:w="1233" w:type="pct"/>
            <w:vAlign w:val="bottom"/>
          </w:tcPr>
          <w:p w:rsidR="006F5D57" w:rsidRPr="007C0819" w:rsidRDefault="006F5D57" w:rsidP="007C0819">
            <w:pPr>
              <w:pStyle w:val="Tabletext"/>
            </w:pPr>
            <w:r w:rsidRPr="007C0819">
              <w:t>1.04</w:t>
            </w:r>
            <w:r w:rsidR="00914ADB">
              <w:t xml:space="preserve"> </w:t>
            </w:r>
            <w:r w:rsidRPr="007C0819">
              <w:t>[0.96,1.14]</w:t>
            </w:r>
          </w:p>
        </w:tc>
        <w:tc>
          <w:tcPr>
            <w:tcW w:w="670" w:type="pct"/>
            <w:shd w:val="clear" w:color="auto" w:fill="auto"/>
            <w:vAlign w:val="bottom"/>
          </w:tcPr>
          <w:p w:rsidR="006F5D57" w:rsidRPr="007C0819" w:rsidRDefault="006F5D57" w:rsidP="007C0819">
            <w:pPr>
              <w:pStyle w:val="Tabletext"/>
            </w:pPr>
            <w:r w:rsidRPr="007C0819">
              <w:t>0.312</w:t>
            </w:r>
          </w:p>
        </w:tc>
      </w:tr>
      <w:tr w:rsidR="006F5D57" w:rsidRPr="007C20F3" w:rsidTr="00104F4C">
        <w:tc>
          <w:tcPr>
            <w:tcW w:w="832" w:type="pct"/>
            <w:shd w:val="clear" w:color="auto" w:fill="auto"/>
          </w:tcPr>
          <w:p w:rsidR="006F5D57" w:rsidRPr="00B22FBE" w:rsidRDefault="006F5D57" w:rsidP="00B22FBE">
            <w:pPr>
              <w:pStyle w:val="Tabletext"/>
            </w:pPr>
            <w:r w:rsidRPr="00B22FBE">
              <w:t>HSIL+</w:t>
            </w:r>
          </w:p>
        </w:tc>
        <w:tc>
          <w:tcPr>
            <w:tcW w:w="1100" w:type="pct"/>
            <w:vAlign w:val="bottom"/>
          </w:tcPr>
          <w:p w:rsidR="006F5D57" w:rsidRPr="00B22FBE" w:rsidRDefault="006F5D57" w:rsidP="00B22FBE">
            <w:pPr>
              <w:pStyle w:val="Tabletext"/>
            </w:pPr>
            <w:r w:rsidRPr="00B22FBE">
              <w:t>208/238</w:t>
            </w:r>
            <w:r w:rsidR="00914ADB">
              <w:t xml:space="preserve"> </w:t>
            </w:r>
            <w:r w:rsidRPr="00B22FBE">
              <w:t>(87.39)</w:t>
            </w:r>
          </w:p>
        </w:tc>
        <w:tc>
          <w:tcPr>
            <w:tcW w:w="1165" w:type="pct"/>
            <w:shd w:val="clear" w:color="auto" w:fill="auto"/>
            <w:vAlign w:val="bottom"/>
          </w:tcPr>
          <w:p w:rsidR="006F5D57" w:rsidRPr="00B22FBE" w:rsidRDefault="006F5D57" w:rsidP="00B22FBE">
            <w:pPr>
              <w:pStyle w:val="Tabletext"/>
            </w:pPr>
            <w:r w:rsidRPr="00B22FBE">
              <w:t>248/269</w:t>
            </w:r>
            <w:r w:rsidR="00914ADB">
              <w:t xml:space="preserve"> </w:t>
            </w:r>
            <w:r w:rsidRPr="00B22FBE">
              <w:t>(92.19)</w:t>
            </w:r>
          </w:p>
        </w:tc>
        <w:tc>
          <w:tcPr>
            <w:tcW w:w="1233" w:type="pct"/>
            <w:vAlign w:val="bottom"/>
          </w:tcPr>
          <w:p w:rsidR="006F5D57" w:rsidRPr="007C0819" w:rsidRDefault="006F5D57" w:rsidP="007C0819">
            <w:pPr>
              <w:pStyle w:val="Tabletext"/>
            </w:pPr>
            <w:r w:rsidRPr="007C0819">
              <w:t>1.05</w:t>
            </w:r>
            <w:r w:rsidR="00914ADB">
              <w:t xml:space="preserve"> </w:t>
            </w:r>
            <w:r w:rsidRPr="007C0819">
              <w:t>[0.99,1.12]</w:t>
            </w:r>
          </w:p>
        </w:tc>
        <w:tc>
          <w:tcPr>
            <w:tcW w:w="670" w:type="pct"/>
            <w:shd w:val="clear" w:color="auto" w:fill="auto"/>
            <w:vAlign w:val="bottom"/>
          </w:tcPr>
          <w:p w:rsidR="006F5D57" w:rsidRPr="007C0819" w:rsidRDefault="006F5D57" w:rsidP="007C0819">
            <w:pPr>
              <w:pStyle w:val="Tabletext"/>
            </w:pPr>
            <w:r w:rsidRPr="007C0819">
              <w:t>0.073</w:t>
            </w:r>
          </w:p>
        </w:tc>
      </w:tr>
      <w:tr w:rsidR="00104F4C" w:rsidRPr="00914ADB" w:rsidTr="00104F4C">
        <w:tc>
          <w:tcPr>
            <w:tcW w:w="832" w:type="pct"/>
            <w:shd w:val="clear" w:color="auto" w:fill="auto"/>
          </w:tcPr>
          <w:p w:rsidR="00104F4C" w:rsidRPr="00914ADB" w:rsidRDefault="00104F4C" w:rsidP="00B22FBE">
            <w:pPr>
              <w:pStyle w:val="Tabletext"/>
              <w:rPr>
                <w:b/>
              </w:rPr>
            </w:pPr>
          </w:p>
        </w:tc>
        <w:tc>
          <w:tcPr>
            <w:tcW w:w="4168" w:type="pct"/>
            <w:gridSpan w:val="4"/>
            <w:vAlign w:val="bottom"/>
          </w:tcPr>
          <w:p w:rsidR="00104F4C" w:rsidRPr="00914ADB" w:rsidRDefault="00104F4C" w:rsidP="00B22FBE">
            <w:pPr>
              <w:pStyle w:val="Tabletext"/>
              <w:rPr>
                <w:b/>
              </w:rPr>
            </w:pPr>
            <w:r w:rsidRPr="00914ADB">
              <w:rPr>
                <w:b/>
              </w:rPr>
              <w:t>Endpoint of CIN 2+ detection</w:t>
            </w:r>
          </w:p>
        </w:tc>
      </w:tr>
      <w:tr w:rsidR="00E53700" w:rsidRPr="007C20F3" w:rsidTr="00104F4C">
        <w:tc>
          <w:tcPr>
            <w:tcW w:w="832" w:type="pct"/>
            <w:shd w:val="clear" w:color="auto" w:fill="auto"/>
          </w:tcPr>
          <w:p w:rsidR="00E53700" w:rsidRPr="00B22FBE" w:rsidRDefault="00C65C14" w:rsidP="00B22FBE">
            <w:pPr>
              <w:pStyle w:val="Tabletext"/>
            </w:pPr>
            <w:r w:rsidRPr="00B22FBE">
              <w:t>ASCUS+</w:t>
            </w:r>
          </w:p>
        </w:tc>
        <w:tc>
          <w:tcPr>
            <w:tcW w:w="1100" w:type="pct"/>
            <w:vAlign w:val="bottom"/>
          </w:tcPr>
          <w:p w:rsidR="00E53700" w:rsidRPr="00B22FBE" w:rsidRDefault="00C65C14" w:rsidP="00C65C14">
            <w:pPr>
              <w:pStyle w:val="Tabletext"/>
            </w:pPr>
            <w:r w:rsidRPr="00C65C14">
              <w:t>274/1027</w:t>
            </w:r>
            <w:r w:rsidR="00914ADB">
              <w:t xml:space="preserve"> </w:t>
            </w:r>
            <w:r w:rsidRPr="00C65C14">
              <w:t>(26.68)</w:t>
            </w:r>
          </w:p>
        </w:tc>
        <w:tc>
          <w:tcPr>
            <w:tcW w:w="1165" w:type="pct"/>
            <w:shd w:val="clear" w:color="auto" w:fill="auto"/>
            <w:vAlign w:val="bottom"/>
          </w:tcPr>
          <w:p w:rsidR="00E53700" w:rsidRPr="00B22FBE" w:rsidRDefault="00C65C14" w:rsidP="00C65C14">
            <w:pPr>
              <w:pStyle w:val="Tabletext"/>
            </w:pPr>
            <w:r w:rsidRPr="00C65C14">
              <w:t>331/1144</w:t>
            </w:r>
            <w:r w:rsidR="00914ADB">
              <w:t xml:space="preserve"> </w:t>
            </w:r>
            <w:r w:rsidRPr="00C65C14">
              <w:t>(28.93)</w:t>
            </w:r>
          </w:p>
        </w:tc>
        <w:tc>
          <w:tcPr>
            <w:tcW w:w="1233" w:type="pct"/>
            <w:vAlign w:val="bottom"/>
          </w:tcPr>
          <w:p w:rsidR="00E53700" w:rsidRPr="007C0819" w:rsidRDefault="00C65C14" w:rsidP="00C65C14">
            <w:pPr>
              <w:pStyle w:val="Tabletext"/>
            </w:pPr>
            <w:r w:rsidRPr="00C65C14">
              <w:t>1.08</w:t>
            </w:r>
            <w:r w:rsidR="00914ADB">
              <w:t xml:space="preserve"> </w:t>
            </w:r>
            <w:r w:rsidRPr="00C65C14">
              <w:t>[0.95,1.24]</w:t>
            </w:r>
          </w:p>
        </w:tc>
        <w:tc>
          <w:tcPr>
            <w:tcW w:w="670" w:type="pct"/>
            <w:shd w:val="clear" w:color="auto" w:fill="auto"/>
            <w:vAlign w:val="bottom"/>
          </w:tcPr>
          <w:p w:rsidR="00E53700" w:rsidRPr="007C0819" w:rsidRDefault="00C65C14" w:rsidP="007C0819">
            <w:pPr>
              <w:pStyle w:val="Tabletext"/>
            </w:pPr>
            <w:r>
              <w:t>0.242</w:t>
            </w:r>
          </w:p>
        </w:tc>
      </w:tr>
      <w:tr w:rsidR="006F5D57" w:rsidRPr="007C20F3" w:rsidTr="00104F4C">
        <w:tc>
          <w:tcPr>
            <w:tcW w:w="832" w:type="pct"/>
            <w:shd w:val="clear" w:color="auto" w:fill="auto"/>
          </w:tcPr>
          <w:p w:rsidR="006F5D57" w:rsidRPr="00B22FBE" w:rsidRDefault="006F5D57" w:rsidP="00B22FBE">
            <w:pPr>
              <w:pStyle w:val="Tabletext"/>
            </w:pPr>
            <w:r w:rsidRPr="00B22FBE">
              <w:t>LSIL+</w:t>
            </w:r>
          </w:p>
        </w:tc>
        <w:tc>
          <w:tcPr>
            <w:tcW w:w="1100" w:type="pct"/>
            <w:vAlign w:val="bottom"/>
          </w:tcPr>
          <w:p w:rsidR="006F5D57" w:rsidRPr="00B22FBE" w:rsidRDefault="006F5D57" w:rsidP="00B22FBE">
            <w:pPr>
              <w:pStyle w:val="Tabletext"/>
            </w:pPr>
            <w:r w:rsidRPr="00B22FBE">
              <w:t>235/387</w:t>
            </w:r>
            <w:r w:rsidR="00914ADB">
              <w:t xml:space="preserve"> </w:t>
            </w:r>
            <w:r w:rsidRPr="00B22FBE">
              <w:t>(60.72)</w:t>
            </w:r>
          </w:p>
        </w:tc>
        <w:tc>
          <w:tcPr>
            <w:tcW w:w="1165" w:type="pct"/>
            <w:shd w:val="clear" w:color="auto" w:fill="auto"/>
            <w:vAlign w:val="bottom"/>
          </w:tcPr>
          <w:p w:rsidR="006F5D57" w:rsidRPr="00B22FBE" w:rsidRDefault="006F5D57" w:rsidP="00B22FBE">
            <w:pPr>
              <w:pStyle w:val="Tabletext"/>
            </w:pPr>
            <w:r w:rsidRPr="00B22FBE">
              <w:t>283/448</w:t>
            </w:r>
            <w:r w:rsidR="00914ADB">
              <w:t xml:space="preserve"> </w:t>
            </w:r>
            <w:r w:rsidRPr="00B22FBE">
              <w:t>(63.17)</w:t>
            </w:r>
          </w:p>
        </w:tc>
        <w:tc>
          <w:tcPr>
            <w:tcW w:w="1233" w:type="pct"/>
            <w:vAlign w:val="bottom"/>
          </w:tcPr>
          <w:p w:rsidR="006F5D57" w:rsidRPr="007C0819" w:rsidRDefault="006F5D57" w:rsidP="007C0819">
            <w:pPr>
              <w:pStyle w:val="Tabletext"/>
            </w:pPr>
            <w:r w:rsidRPr="007C0819">
              <w:t>1.04</w:t>
            </w:r>
            <w:r w:rsidR="00914ADB">
              <w:t xml:space="preserve"> </w:t>
            </w:r>
            <w:r w:rsidRPr="007C0819">
              <w:t>[0.93,1.16]</w:t>
            </w:r>
          </w:p>
        </w:tc>
        <w:tc>
          <w:tcPr>
            <w:tcW w:w="670" w:type="pct"/>
            <w:shd w:val="clear" w:color="auto" w:fill="auto"/>
            <w:vAlign w:val="bottom"/>
          </w:tcPr>
          <w:p w:rsidR="006F5D57" w:rsidRPr="007C0819" w:rsidRDefault="006F5D57" w:rsidP="007C0819">
            <w:pPr>
              <w:pStyle w:val="Tabletext"/>
            </w:pPr>
            <w:r w:rsidRPr="007C0819">
              <w:t>0.468</w:t>
            </w:r>
          </w:p>
        </w:tc>
      </w:tr>
      <w:tr w:rsidR="006F5D57" w:rsidRPr="007C20F3" w:rsidTr="00104F4C">
        <w:tc>
          <w:tcPr>
            <w:tcW w:w="832" w:type="pct"/>
            <w:shd w:val="clear" w:color="auto" w:fill="auto"/>
          </w:tcPr>
          <w:p w:rsidR="006F5D57" w:rsidRPr="00B22FBE" w:rsidRDefault="006F5D57" w:rsidP="00B22FBE">
            <w:pPr>
              <w:pStyle w:val="Tabletext"/>
            </w:pPr>
            <w:r w:rsidRPr="00B22FBE">
              <w:t>HSIL+</w:t>
            </w:r>
          </w:p>
        </w:tc>
        <w:tc>
          <w:tcPr>
            <w:tcW w:w="1100" w:type="pct"/>
            <w:vAlign w:val="bottom"/>
          </w:tcPr>
          <w:p w:rsidR="006F5D57" w:rsidRPr="00B22FBE" w:rsidRDefault="006F5D57" w:rsidP="00B22FBE">
            <w:pPr>
              <w:pStyle w:val="Tabletext"/>
            </w:pPr>
            <w:r w:rsidRPr="00B22FBE">
              <w:t>194/238</w:t>
            </w:r>
            <w:r w:rsidR="00914ADB">
              <w:t xml:space="preserve"> </w:t>
            </w:r>
            <w:r w:rsidRPr="00B22FBE">
              <w:t>(81.51)</w:t>
            </w:r>
          </w:p>
        </w:tc>
        <w:tc>
          <w:tcPr>
            <w:tcW w:w="1165" w:type="pct"/>
            <w:shd w:val="clear" w:color="auto" w:fill="auto"/>
            <w:vAlign w:val="bottom"/>
          </w:tcPr>
          <w:p w:rsidR="006F5D57" w:rsidRPr="00B22FBE" w:rsidRDefault="006F5D57" w:rsidP="00B22FBE">
            <w:pPr>
              <w:pStyle w:val="Tabletext"/>
            </w:pPr>
            <w:r w:rsidRPr="00B22FBE">
              <w:t>233/269</w:t>
            </w:r>
            <w:r w:rsidR="00914ADB">
              <w:t xml:space="preserve"> </w:t>
            </w:r>
            <w:r w:rsidRPr="00B22FBE">
              <w:t>(86.62)</w:t>
            </w:r>
          </w:p>
        </w:tc>
        <w:tc>
          <w:tcPr>
            <w:tcW w:w="1233" w:type="pct"/>
            <w:vAlign w:val="bottom"/>
          </w:tcPr>
          <w:p w:rsidR="006F5D57" w:rsidRPr="007C0819" w:rsidRDefault="006F5D57" w:rsidP="007C0819">
            <w:pPr>
              <w:pStyle w:val="Tabletext"/>
            </w:pPr>
            <w:r w:rsidRPr="007C0819">
              <w:t>1.06</w:t>
            </w:r>
            <w:r w:rsidR="00914ADB">
              <w:t xml:space="preserve"> </w:t>
            </w:r>
            <w:r w:rsidRPr="007C0819">
              <w:t>[0.98,1.15]</w:t>
            </w:r>
          </w:p>
        </w:tc>
        <w:tc>
          <w:tcPr>
            <w:tcW w:w="670" w:type="pct"/>
            <w:shd w:val="clear" w:color="auto" w:fill="auto"/>
            <w:vAlign w:val="bottom"/>
          </w:tcPr>
          <w:p w:rsidR="006F5D57" w:rsidRPr="007C0819" w:rsidRDefault="006F5D57" w:rsidP="007C0819">
            <w:pPr>
              <w:pStyle w:val="Tabletext"/>
            </w:pPr>
            <w:r w:rsidRPr="007C0819">
              <w:t>0.116</w:t>
            </w:r>
          </w:p>
        </w:tc>
      </w:tr>
      <w:tr w:rsidR="00104F4C" w:rsidRPr="00914ADB" w:rsidTr="00104F4C">
        <w:tc>
          <w:tcPr>
            <w:tcW w:w="832" w:type="pct"/>
            <w:shd w:val="clear" w:color="auto" w:fill="auto"/>
          </w:tcPr>
          <w:p w:rsidR="00104F4C" w:rsidRPr="00914ADB" w:rsidRDefault="00104F4C" w:rsidP="00B22FBE">
            <w:pPr>
              <w:pStyle w:val="Tabletext"/>
              <w:rPr>
                <w:b/>
              </w:rPr>
            </w:pPr>
          </w:p>
        </w:tc>
        <w:tc>
          <w:tcPr>
            <w:tcW w:w="4168" w:type="pct"/>
            <w:gridSpan w:val="4"/>
            <w:vAlign w:val="bottom"/>
          </w:tcPr>
          <w:p w:rsidR="00104F4C" w:rsidRPr="00914ADB" w:rsidRDefault="00104F4C" w:rsidP="00B22FBE">
            <w:pPr>
              <w:pStyle w:val="Tabletext"/>
              <w:rPr>
                <w:b/>
              </w:rPr>
            </w:pPr>
            <w:r w:rsidRPr="00914ADB">
              <w:rPr>
                <w:b/>
              </w:rPr>
              <w:t>Endpoint of CIN</w:t>
            </w:r>
            <w:r>
              <w:rPr>
                <w:b/>
              </w:rPr>
              <w:t xml:space="preserve"> </w:t>
            </w:r>
            <w:r w:rsidRPr="00914ADB">
              <w:rPr>
                <w:b/>
              </w:rPr>
              <w:t>3+ detection</w:t>
            </w:r>
          </w:p>
        </w:tc>
      </w:tr>
      <w:tr w:rsidR="00E53700" w:rsidRPr="007C20F3" w:rsidTr="00104F4C">
        <w:tc>
          <w:tcPr>
            <w:tcW w:w="832" w:type="pct"/>
            <w:shd w:val="clear" w:color="auto" w:fill="auto"/>
          </w:tcPr>
          <w:p w:rsidR="00E53700" w:rsidRPr="00B22FBE" w:rsidRDefault="00C65C14" w:rsidP="00B22FBE">
            <w:pPr>
              <w:pStyle w:val="Tabletext"/>
            </w:pPr>
            <w:r w:rsidRPr="00B22FBE">
              <w:t>ASCUS+</w:t>
            </w:r>
          </w:p>
        </w:tc>
        <w:tc>
          <w:tcPr>
            <w:tcW w:w="1100" w:type="pct"/>
            <w:vAlign w:val="bottom"/>
          </w:tcPr>
          <w:p w:rsidR="00E53700" w:rsidRPr="00B22FBE" w:rsidRDefault="00C65C14" w:rsidP="00C65C14">
            <w:pPr>
              <w:pStyle w:val="Tabletext"/>
            </w:pPr>
            <w:r w:rsidRPr="00C65C14">
              <w:t>183/1027</w:t>
            </w:r>
            <w:r w:rsidR="00914ADB">
              <w:t xml:space="preserve"> </w:t>
            </w:r>
            <w:r w:rsidRPr="00C65C14">
              <w:t>(17.82)</w:t>
            </w:r>
          </w:p>
        </w:tc>
        <w:tc>
          <w:tcPr>
            <w:tcW w:w="1165" w:type="pct"/>
            <w:shd w:val="clear" w:color="auto" w:fill="auto"/>
            <w:vAlign w:val="bottom"/>
          </w:tcPr>
          <w:p w:rsidR="00E53700" w:rsidRPr="00B22FBE" w:rsidRDefault="00C65C14" w:rsidP="00C65C14">
            <w:pPr>
              <w:pStyle w:val="Tabletext"/>
            </w:pPr>
            <w:r w:rsidRPr="00C65C14">
              <w:t>236/1144(20.63)</w:t>
            </w:r>
          </w:p>
        </w:tc>
        <w:tc>
          <w:tcPr>
            <w:tcW w:w="1233" w:type="pct"/>
            <w:vAlign w:val="bottom"/>
          </w:tcPr>
          <w:p w:rsidR="00E53700" w:rsidRPr="007C0819" w:rsidRDefault="00C65C14" w:rsidP="00C65C14">
            <w:pPr>
              <w:pStyle w:val="Tabletext"/>
            </w:pPr>
            <w:r w:rsidRPr="00C65C14">
              <w:t>1.16</w:t>
            </w:r>
            <w:r w:rsidR="00914ADB">
              <w:t xml:space="preserve"> </w:t>
            </w:r>
            <w:r w:rsidRPr="00C65C14">
              <w:t>[0.97,1.38]</w:t>
            </w:r>
          </w:p>
        </w:tc>
        <w:tc>
          <w:tcPr>
            <w:tcW w:w="670" w:type="pct"/>
            <w:shd w:val="clear" w:color="auto" w:fill="auto"/>
            <w:vAlign w:val="bottom"/>
          </w:tcPr>
          <w:p w:rsidR="00E53700" w:rsidRPr="007C0819" w:rsidRDefault="00C65C14" w:rsidP="007C0819">
            <w:pPr>
              <w:pStyle w:val="Tabletext"/>
            </w:pPr>
            <w:r>
              <w:t>0.098</w:t>
            </w:r>
          </w:p>
        </w:tc>
      </w:tr>
      <w:tr w:rsidR="006F5D57" w:rsidRPr="007C20F3" w:rsidTr="00104F4C">
        <w:tc>
          <w:tcPr>
            <w:tcW w:w="832" w:type="pct"/>
            <w:shd w:val="clear" w:color="auto" w:fill="auto"/>
          </w:tcPr>
          <w:p w:rsidR="006F5D57" w:rsidRPr="00B22FBE" w:rsidRDefault="006F5D57" w:rsidP="00B22FBE">
            <w:pPr>
              <w:pStyle w:val="Tabletext"/>
            </w:pPr>
            <w:r w:rsidRPr="00B22FBE">
              <w:t>LSIL+</w:t>
            </w:r>
          </w:p>
        </w:tc>
        <w:tc>
          <w:tcPr>
            <w:tcW w:w="1100" w:type="pct"/>
            <w:vAlign w:val="bottom"/>
          </w:tcPr>
          <w:p w:rsidR="006F5D57" w:rsidRPr="00B22FBE" w:rsidRDefault="006F5D57" w:rsidP="00B22FBE">
            <w:pPr>
              <w:pStyle w:val="Tabletext"/>
            </w:pPr>
            <w:r w:rsidRPr="00B22FBE">
              <w:t>162/387</w:t>
            </w:r>
            <w:r w:rsidR="00914ADB">
              <w:t xml:space="preserve"> </w:t>
            </w:r>
            <w:r w:rsidRPr="00B22FBE">
              <w:t>(41.86)</w:t>
            </w:r>
          </w:p>
        </w:tc>
        <w:tc>
          <w:tcPr>
            <w:tcW w:w="1165" w:type="pct"/>
            <w:shd w:val="clear" w:color="auto" w:fill="auto"/>
            <w:vAlign w:val="bottom"/>
          </w:tcPr>
          <w:p w:rsidR="006F5D57" w:rsidRPr="00B22FBE" w:rsidRDefault="006F5D57" w:rsidP="00B22FBE">
            <w:pPr>
              <w:pStyle w:val="Tabletext"/>
            </w:pPr>
            <w:r w:rsidRPr="00B22FBE">
              <w:t>216/448(48.21)</w:t>
            </w:r>
          </w:p>
        </w:tc>
        <w:tc>
          <w:tcPr>
            <w:tcW w:w="1233" w:type="pct"/>
            <w:vAlign w:val="bottom"/>
          </w:tcPr>
          <w:p w:rsidR="006F5D57" w:rsidRPr="007C0819" w:rsidRDefault="006F5D57" w:rsidP="007C0819">
            <w:pPr>
              <w:pStyle w:val="Tabletext"/>
            </w:pPr>
            <w:r w:rsidRPr="007C0819">
              <w:t>1.15</w:t>
            </w:r>
            <w:r w:rsidR="00914ADB">
              <w:t xml:space="preserve"> </w:t>
            </w:r>
            <w:r w:rsidRPr="007C0819">
              <w:t>[0.99,1.34]</w:t>
            </w:r>
          </w:p>
        </w:tc>
        <w:tc>
          <w:tcPr>
            <w:tcW w:w="670" w:type="pct"/>
            <w:shd w:val="clear" w:color="auto" w:fill="auto"/>
            <w:vAlign w:val="bottom"/>
          </w:tcPr>
          <w:p w:rsidR="006F5D57" w:rsidRPr="007C0819" w:rsidRDefault="006F5D57" w:rsidP="007C0819">
            <w:pPr>
              <w:pStyle w:val="Tabletext"/>
            </w:pPr>
            <w:r w:rsidRPr="007C0819">
              <w:t>0.066</w:t>
            </w:r>
          </w:p>
        </w:tc>
      </w:tr>
      <w:tr w:rsidR="006F5D57" w:rsidRPr="007C20F3" w:rsidTr="00104F4C">
        <w:tc>
          <w:tcPr>
            <w:tcW w:w="832" w:type="pct"/>
            <w:shd w:val="clear" w:color="auto" w:fill="auto"/>
          </w:tcPr>
          <w:p w:rsidR="006F5D57" w:rsidRPr="00B22FBE" w:rsidRDefault="006F5D57" w:rsidP="00B22FBE">
            <w:pPr>
              <w:pStyle w:val="Tabletext"/>
            </w:pPr>
            <w:r w:rsidRPr="00B22FBE">
              <w:t>HSIL+</w:t>
            </w:r>
          </w:p>
        </w:tc>
        <w:tc>
          <w:tcPr>
            <w:tcW w:w="1100" w:type="pct"/>
            <w:vAlign w:val="bottom"/>
          </w:tcPr>
          <w:p w:rsidR="006F5D57" w:rsidRPr="00B22FBE" w:rsidRDefault="006F5D57" w:rsidP="00B22FBE">
            <w:pPr>
              <w:pStyle w:val="Tabletext"/>
            </w:pPr>
            <w:r w:rsidRPr="00B22FBE">
              <w:t>142/238</w:t>
            </w:r>
            <w:r w:rsidR="00914ADB">
              <w:t xml:space="preserve"> </w:t>
            </w:r>
            <w:r w:rsidRPr="00B22FBE">
              <w:t>(59.66)</w:t>
            </w:r>
          </w:p>
        </w:tc>
        <w:tc>
          <w:tcPr>
            <w:tcW w:w="1165" w:type="pct"/>
            <w:shd w:val="clear" w:color="auto" w:fill="auto"/>
            <w:vAlign w:val="bottom"/>
          </w:tcPr>
          <w:p w:rsidR="006F5D57" w:rsidRPr="00B22FBE" w:rsidRDefault="006F5D57" w:rsidP="00B22FBE">
            <w:pPr>
              <w:pStyle w:val="Tabletext"/>
            </w:pPr>
            <w:r w:rsidRPr="00B22FBE">
              <w:t>182/269(67.66)</w:t>
            </w:r>
          </w:p>
        </w:tc>
        <w:tc>
          <w:tcPr>
            <w:tcW w:w="1233" w:type="pct"/>
            <w:vAlign w:val="bottom"/>
          </w:tcPr>
          <w:p w:rsidR="006F5D57" w:rsidRPr="007C0819" w:rsidRDefault="006F5D57" w:rsidP="007C0819">
            <w:pPr>
              <w:pStyle w:val="Tabletext"/>
            </w:pPr>
            <w:r w:rsidRPr="007C0819">
              <w:t>1.13</w:t>
            </w:r>
            <w:r w:rsidR="00914ADB">
              <w:t xml:space="preserve"> </w:t>
            </w:r>
            <w:r w:rsidRPr="007C0819">
              <w:t>[0.99,1.3]</w:t>
            </w:r>
          </w:p>
        </w:tc>
        <w:tc>
          <w:tcPr>
            <w:tcW w:w="670" w:type="pct"/>
            <w:shd w:val="clear" w:color="auto" w:fill="auto"/>
            <w:vAlign w:val="bottom"/>
          </w:tcPr>
          <w:p w:rsidR="006F5D57" w:rsidRPr="007C0819" w:rsidRDefault="006F5D57" w:rsidP="007C0819">
            <w:pPr>
              <w:pStyle w:val="Tabletext"/>
            </w:pPr>
            <w:r w:rsidRPr="007C0819">
              <w:t>0.061</w:t>
            </w:r>
          </w:p>
        </w:tc>
      </w:tr>
      <w:tr w:rsidR="00A826EF" w:rsidRPr="007C20F3" w:rsidTr="00104F4C">
        <w:tc>
          <w:tcPr>
            <w:tcW w:w="832" w:type="pct"/>
            <w:shd w:val="clear" w:color="auto" w:fill="auto"/>
          </w:tcPr>
          <w:p w:rsidR="00A826EF" w:rsidRPr="00B22FBE" w:rsidRDefault="00A826EF" w:rsidP="00B22FBE">
            <w:pPr>
              <w:pStyle w:val="Tabletext"/>
            </w:pPr>
            <w:r>
              <w:t>Source</w:t>
            </w:r>
          </w:p>
        </w:tc>
        <w:tc>
          <w:tcPr>
            <w:tcW w:w="4168" w:type="pct"/>
            <w:gridSpan w:val="4"/>
            <w:vAlign w:val="bottom"/>
          </w:tcPr>
          <w:p w:rsidR="00A826EF" w:rsidRPr="007C0819" w:rsidRDefault="00303D7C" w:rsidP="005F6015">
            <w:pPr>
              <w:pStyle w:val="Tabletext"/>
            </w:pPr>
            <w:r w:rsidRPr="005F6015">
              <w:t>A</w:t>
            </w:r>
            <w:r w:rsidR="00A826EF" w:rsidRPr="005F6015">
              <w:t xml:space="preserve">ttachment </w:t>
            </w:r>
            <w:r w:rsidR="005F6015" w:rsidRPr="005F6015">
              <w:t>4</w:t>
            </w:r>
            <w:r w:rsidR="00A826EF" w:rsidRPr="00A826EF">
              <w:t xml:space="preserve"> </w:t>
            </w:r>
          </w:p>
        </w:tc>
      </w:tr>
    </w:tbl>
    <w:p w:rsidR="009B4EEC" w:rsidRDefault="00160107" w:rsidP="00914ADB">
      <w:pPr>
        <w:pStyle w:val="Tabletext"/>
      </w:pPr>
      <w:r>
        <w:t xml:space="preserve">Abbreviations: PPV, positive predictive value; CC, conventional cytology; LBC, liquid-based cytology; CI, confidence interval; CIN, cervical intraepithelial neoplasia; </w:t>
      </w:r>
      <w:r w:rsidRPr="009B4EEC">
        <w:t xml:space="preserve">ASCUS+, </w:t>
      </w:r>
      <w:r w:rsidR="00303D7C">
        <w:t>a</w:t>
      </w:r>
      <w:r w:rsidR="00303D7C" w:rsidRPr="001D56D3">
        <w:t>typical squamous cells undetermined significance</w:t>
      </w:r>
      <w:r w:rsidR="009B4EEC">
        <w:t xml:space="preserve"> grade or </w:t>
      </w:r>
      <w:r w:rsidR="009B4EEC" w:rsidRPr="009B4EEC">
        <w:t>higher</w:t>
      </w:r>
      <w:r w:rsidR="00303D7C" w:rsidRPr="009B4EEC">
        <w:t xml:space="preserve">; </w:t>
      </w:r>
      <w:r w:rsidRPr="009B4EEC">
        <w:t>LSIL</w:t>
      </w:r>
      <w:r w:rsidR="007224EC" w:rsidRPr="009B4EEC">
        <w:t>+</w:t>
      </w:r>
      <w:r w:rsidRPr="009B4EEC">
        <w:t xml:space="preserve">, </w:t>
      </w:r>
      <w:r w:rsidR="009B4EEC" w:rsidRPr="009B4EEC">
        <w:t xml:space="preserve">low grade squamous intraepithelial lesion or higher; </w:t>
      </w:r>
      <w:r w:rsidRPr="009B4EEC">
        <w:t>HSIL</w:t>
      </w:r>
      <w:r w:rsidR="007224EC" w:rsidRPr="009B4EEC">
        <w:t xml:space="preserve">+, </w:t>
      </w:r>
      <w:r w:rsidR="009B4EEC" w:rsidRPr="009B4EEC">
        <w:t xml:space="preserve">high grade squamous intraepithelial lesion or higher; </w:t>
      </w:r>
      <w:r w:rsidR="007224EC" w:rsidRPr="009B4EEC">
        <w:t>TP, true positive; FP, false positive</w:t>
      </w:r>
    </w:p>
    <w:p w:rsidR="00EE1C18" w:rsidRPr="00E237A2" w:rsidRDefault="00EE1C18" w:rsidP="00914ADB">
      <w:pPr>
        <w:pStyle w:val="Tabletext"/>
      </w:pPr>
      <w:r>
        <w:t>RR</w:t>
      </w:r>
      <w:r w:rsidRPr="00D44FAE">
        <w:t xml:space="preserve"> &lt;</w:t>
      </w:r>
      <w:r w:rsidR="00914ADB">
        <w:t xml:space="preserve"> </w:t>
      </w:r>
      <w:r w:rsidRPr="00D44FAE">
        <w:t>1 indicates</w:t>
      </w:r>
      <w:r>
        <w:t xml:space="preserve"> </w:t>
      </w:r>
      <w:r w:rsidRPr="00E237A2">
        <w:t>performance of CC is better than LBC</w:t>
      </w:r>
    </w:p>
    <w:p w:rsidR="00914ADB" w:rsidRDefault="00914ADB" w:rsidP="00B44D34">
      <w:pPr>
        <w:pStyle w:val="Tablenotes"/>
        <w:spacing w:before="0" w:after="240" w:line="360" w:lineRule="auto"/>
        <w:rPr>
          <w:rFonts w:ascii="Californian FB" w:hAnsi="Californian FB"/>
          <w:sz w:val="22"/>
          <w:szCs w:val="24"/>
        </w:rPr>
      </w:pPr>
    </w:p>
    <w:p w:rsidR="00922DC3" w:rsidRDefault="00C36CFF" w:rsidP="00914ADB">
      <w:r w:rsidRPr="00CB14F6">
        <w:t xml:space="preserve">The </w:t>
      </w:r>
      <w:r>
        <w:t>PPV and NPV (based on ASCUS+ index test and CIN</w:t>
      </w:r>
      <w:r w:rsidR="00914ADB">
        <w:t xml:space="preserve"> </w:t>
      </w:r>
      <w:r>
        <w:t xml:space="preserve">1+ reference standard) </w:t>
      </w:r>
      <w:r w:rsidRPr="00CB14F6">
        <w:t xml:space="preserve">were calculated </w:t>
      </w:r>
      <w:r>
        <w:t xml:space="preserve">using </w:t>
      </w:r>
      <w:r w:rsidRPr="00CB14F6">
        <w:t>data rep</w:t>
      </w:r>
      <w:r w:rsidR="00914ADB">
        <w:t>orted by Strander 2007</w:t>
      </w:r>
      <w:r>
        <w:t>(</w:t>
      </w:r>
      <w:r w:rsidR="00086C77">
        <w:fldChar w:fldCharType="begin"/>
      </w:r>
      <w:r w:rsidR="00086C77">
        <w:instrText xml:space="preserve"> REF _Ref332828351 \h  \* MERGEFORMAT </w:instrText>
      </w:r>
      <w:r w:rsidR="00086C77">
        <w:fldChar w:fldCharType="separate"/>
      </w:r>
      <w:r w:rsidR="003361A8">
        <w:t xml:space="preserve">Table </w:t>
      </w:r>
      <w:r w:rsidR="003361A8">
        <w:rPr>
          <w:noProof/>
        </w:rPr>
        <w:t>51</w:t>
      </w:r>
      <w:r w:rsidR="00086C77">
        <w:fldChar w:fldCharType="end"/>
      </w:r>
      <w:r>
        <w:t xml:space="preserve"> and </w:t>
      </w:r>
      <w:r w:rsidR="00086C77">
        <w:fldChar w:fldCharType="begin"/>
      </w:r>
      <w:r w:rsidR="00086C77">
        <w:instrText xml:space="preserve"> REF _Ref332828360 \h  \* MERGEFORMAT </w:instrText>
      </w:r>
      <w:r w:rsidR="00086C77">
        <w:fldChar w:fldCharType="separate"/>
      </w:r>
      <w:r w:rsidR="003361A8">
        <w:t xml:space="preserve">Table </w:t>
      </w:r>
      <w:r w:rsidR="003361A8">
        <w:rPr>
          <w:noProof/>
        </w:rPr>
        <w:t>52</w:t>
      </w:r>
      <w:r w:rsidR="00086C77">
        <w:fldChar w:fldCharType="end"/>
      </w:r>
      <w:r>
        <w:t xml:space="preserve">) </w:t>
      </w:r>
      <w:r w:rsidRPr="00CB14F6">
        <w:t>and are presented in</w:t>
      </w:r>
      <w:r>
        <w:t xml:space="preserve"> </w:t>
      </w:r>
      <w:r w:rsidR="00086C77">
        <w:fldChar w:fldCharType="begin"/>
      </w:r>
      <w:r w:rsidR="00086C77">
        <w:instrText xml:space="preserve"> REF _Ref334656733 \h  \* MERGEFORMAT </w:instrText>
      </w:r>
      <w:r w:rsidR="00086C77">
        <w:fldChar w:fldCharType="separate"/>
      </w:r>
      <w:r w:rsidR="003361A8">
        <w:t xml:space="preserve">Table </w:t>
      </w:r>
      <w:r w:rsidR="003361A8">
        <w:rPr>
          <w:noProof/>
        </w:rPr>
        <w:t>62</w:t>
      </w:r>
      <w:r w:rsidR="00086C77">
        <w:fldChar w:fldCharType="end"/>
      </w:r>
      <w:r>
        <w:t xml:space="preserve">. </w:t>
      </w:r>
      <w:r w:rsidR="00B44D34">
        <w:t xml:space="preserve">There was no significant difference in PPV and NPV between </w:t>
      </w:r>
      <w:r w:rsidR="00914ADB">
        <w:t>cell enrichment LBC and CC (P=0.3173 and P</w:t>
      </w:r>
      <w:r w:rsidR="00B44D34">
        <w:t>=0.2629, respectively)</w:t>
      </w:r>
      <w:r w:rsidR="00922DC3">
        <w:t>.</w:t>
      </w:r>
    </w:p>
    <w:p w:rsidR="00F27244" w:rsidRDefault="00F27244" w:rsidP="00F27244">
      <w:pPr>
        <w:pStyle w:val="Caption"/>
      </w:pPr>
      <w:bookmarkStart w:id="436" w:name="_Ref334656733"/>
      <w:bookmarkStart w:id="437" w:name="_Toc335666028"/>
      <w:bookmarkStart w:id="438" w:name="_Toc337546999"/>
      <w:r>
        <w:t xml:space="preserve">Table </w:t>
      </w:r>
      <w:fldSimple w:instr=" SEQ Table \* ARABIC ">
        <w:r w:rsidR="003361A8">
          <w:rPr>
            <w:noProof/>
          </w:rPr>
          <w:t>62</w:t>
        </w:r>
      </w:fldSimple>
      <w:bookmarkEnd w:id="436"/>
      <w:r>
        <w:tab/>
        <w:t>Positive predictive value and negative predictive value for CIN</w:t>
      </w:r>
      <w:r w:rsidR="009B4EEC">
        <w:t xml:space="preserve"> 1+—</w:t>
      </w:r>
      <w:r w:rsidR="00914ADB">
        <w:t>CC</w:t>
      </w:r>
      <w:r>
        <w:t xml:space="preserve"> ve</w:t>
      </w:r>
      <w:r w:rsidR="00914ADB">
        <w:t xml:space="preserve">rsus cell enrichment LBC: </w:t>
      </w:r>
      <w:r w:rsidR="004016B6">
        <w:t>Strander</w:t>
      </w:r>
      <w:r w:rsidR="00914ADB">
        <w:t xml:space="preserve"> </w:t>
      </w:r>
      <w:r>
        <w:t>200</w:t>
      </w:r>
      <w:r w:rsidR="004016B6">
        <w:t>7</w:t>
      </w:r>
      <w:bookmarkEnd w:id="437"/>
      <w:bookmarkEnd w:id="43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48"/>
        <w:gridCol w:w="3048"/>
        <w:gridCol w:w="2795"/>
      </w:tblGrid>
      <w:tr w:rsidR="00F27244" w:rsidRPr="00914ADB" w:rsidTr="00914ADB">
        <w:tc>
          <w:tcPr>
            <w:tcW w:w="1714" w:type="pct"/>
          </w:tcPr>
          <w:p w:rsidR="00F27244" w:rsidRPr="00914ADB" w:rsidRDefault="00914ADB" w:rsidP="006E7118">
            <w:pPr>
              <w:pStyle w:val="Tabletext"/>
              <w:rPr>
                <w:b/>
              </w:rPr>
            </w:pPr>
            <w:r>
              <w:rPr>
                <w:b/>
              </w:rPr>
              <w:t>Test t</w:t>
            </w:r>
            <w:r w:rsidR="00F27244" w:rsidRPr="00914ADB">
              <w:rPr>
                <w:b/>
              </w:rPr>
              <w:t>hreshold ASCUS+</w:t>
            </w:r>
          </w:p>
        </w:tc>
        <w:tc>
          <w:tcPr>
            <w:tcW w:w="1714" w:type="pct"/>
          </w:tcPr>
          <w:p w:rsidR="00F27244" w:rsidRPr="00914ADB" w:rsidRDefault="00F27244" w:rsidP="006E7118">
            <w:pPr>
              <w:pStyle w:val="Tabletext"/>
              <w:rPr>
                <w:b/>
              </w:rPr>
            </w:pPr>
            <w:r w:rsidRPr="00914ADB">
              <w:rPr>
                <w:b/>
              </w:rPr>
              <w:t xml:space="preserve">Positive </w:t>
            </w:r>
            <w:r w:rsidR="00914ADB" w:rsidRPr="00914ADB">
              <w:rPr>
                <w:b/>
              </w:rPr>
              <w:t xml:space="preserve">predictive value </w:t>
            </w:r>
          </w:p>
        </w:tc>
        <w:tc>
          <w:tcPr>
            <w:tcW w:w="1572" w:type="pct"/>
          </w:tcPr>
          <w:p w:rsidR="00F27244" w:rsidRPr="00914ADB" w:rsidRDefault="00F27244" w:rsidP="006E7118">
            <w:pPr>
              <w:pStyle w:val="Tabletext"/>
              <w:rPr>
                <w:b/>
              </w:rPr>
            </w:pPr>
            <w:r w:rsidRPr="00914ADB">
              <w:rPr>
                <w:b/>
              </w:rPr>
              <w:t xml:space="preserve">Negative </w:t>
            </w:r>
            <w:r w:rsidR="00914ADB" w:rsidRPr="00914ADB">
              <w:rPr>
                <w:b/>
              </w:rPr>
              <w:t>predictive value</w:t>
            </w:r>
          </w:p>
        </w:tc>
      </w:tr>
      <w:tr w:rsidR="00F27244" w:rsidTr="00914ADB">
        <w:tc>
          <w:tcPr>
            <w:tcW w:w="1714" w:type="pct"/>
          </w:tcPr>
          <w:p w:rsidR="00F27244" w:rsidRDefault="00F27244" w:rsidP="006E7118">
            <w:pPr>
              <w:pStyle w:val="Tabletext"/>
            </w:pPr>
            <w:r>
              <w:t>LBC (</w:t>
            </w:r>
            <w:r w:rsidR="00914ADB">
              <w:t>cell enrichment</w:t>
            </w:r>
            <w:r>
              <w:t>)</w:t>
            </w:r>
          </w:p>
        </w:tc>
        <w:tc>
          <w:tcPr>
            <w:tcW w:w="1714" w:type="pct"/>
          </w:tcPr>
          <w:p w:rsidR="00F27244" w:rsidRDefault="004016B6" w:rsidP="006E7118">
            <w:pPr>
              <w:pStyle w:val="Tabletext"/>
            </w:pPr>
            <w:r>
              <w:t>43.55</w:t>
            </w:r>
            <w:r w:rsidR="00F27244">
              <w:t>%</w:t>
            </w:r>
          </w:p>
        </w:tc>
        <w:tc>
          <w:tcPr>
            <w:tcW w:w="1572" w:type="pct"/>
          </w:tcPr>
          <w:p w:rsidR="00F27244" w:rsidRDefault="00535600" w:rsidP="004016B6">
            <w:pPr>
              <w:pStyle w:val="Tabletext"/>
            </w:pPr>
            <w:r>
              <w:t>10</w:t>
            </w:r>
            <w:r w:rsidR="004016B6">
              <w:t>0</w:t>
            </w:r>
            <w:r w:rsidR="00F27244">
              <w:t>%</w:t>
            </w:r>
          </w:p>
        </w:tc>
      </w:tr>
      <w:tr w:rsidR="00F27244" w:rsidTr="00914ADB">
        <w:tc>
          <w:tcPr>
            <w:tcW w:w="1714" w:type="pct"/>
          </w:tcPr>
          <w:p w:rsidR="00F27244" w:rsidRDefault="00F27244" w:rsidP="006E7118">
            <w:pPr>
              <w:pStyle w:val="Tabletext"/>
            </w:pPr>
            <w:r>
              <w:t>Conventional cytology</w:t>
            </w:r>
          </w:p>
        </w:tc>
        <w:tc>
          <w:tcPr>
            <w:tcW w:w="1714" w:type="pct"/>
          </w:tcPr>
          <w:p w:rsidR="00F27244" w:rsidRDefault="004016B6" w:rsidP="006E7118">
            <w:pPr>
              <w:pStyle w:val="Tabletext"/>
            </w:pPr>
            <w:r>
              <w:t>48.39</w:t>
            </w:r>
            <w:r w:rsidR="00F27244">
              <w:t>%</w:t>
            </w:r>
          </w:p>
        </w:tc>
        <w:tc>
          <w:tcPr>
            <w:tcW w:w="1572" w:type="pct"/>
          </w:tcPr>
          <w:p w:rsidR="00F27244" w:rsidRDefault="00F27244" w:rsidP="006E7118">
            <w:pPr>
              <w:pStyle w:val="Tabletext"/>
            </w:pPr>
            <w:r>
              <w:t>99.94%</w:t>
            </w:r>
          </w:p>
        </w:tc>
      </w:tr>
      <w:tr w:rsidR="00F27244" w:rsidTr="00914ADB">
        <w:tc>
          <w:tcPr>
            <w:tcW w:w="1714" w:type="pct"/>
          </w:tcPr>
          <w:p w:rsidR="00F27244" w:rsidRDefault="00F27244" w:rsidP="00914ADB">
            <w:pPr>
              <w:pStyle w:val="Tabletext"/>
            </w:pPr>
            <w:r>
              <w:t>OR (95%</w:t>
            </w:r>
            <w:r w:rsidR="00914ADB">
              <w:t xml:space="preserve"> </w:t>
            </w:r>
            <w:r>
              <w:t xml:space="preserve">CI), </w:t>
            </w:r>
            <w:r w:rsidR="00914ADB">
              <w:t>P</w:t>
            </w:r>
            <w:r>
              <w:t xml:space="preserve"> value</w:t>
            </w:r>
          </w:p>
        </w:tc>
        <w:tc>
          <w:tcPr>
            <w:tcW w:w="1714" w:type="pct"/>
          </w:tcPr>
          <w:p w:rsidR="00F27244" w:rsidRDefault="00535600" w:rsidP="00914ADB">
            <w:pPr>
              <w:pStyle w:val="Tabletext"/>
            </w:pPr>
            <w:r>
              <w:t xml:space="preserve">0.82(0.56 to 1.21), </w:t>
            </w:r>
            <w:r w:rsidR="00914ADB">
              <w:t>P</w:t>
            </w:r>
            <w:r>
              <w:t>=0.3173)</w:t>
            </w:r>
          </w:p>
        </w:tc>
        <w:tc>
          <w:tcPr>
            <w:tcW w:w="1572" w:type="pct"/>
          </w:tcPr>
          <w:p w:rsidR="00F27244" w:rsidRDefault="00C36CFF" w:rsidP="00914ADB">
            <w:pPr>
              <w:pStyle w:val="Tabletext"/>
            </w:pPr>
            <w:r>
              <w:t>5.26</w:t>
            </w:r>
            <w:r w:rsidR="00914ADB">
              <w:t xml:space="preserve"> </w:t>
            </w:r>
            <w:r>
              <w:t xml:space="preserve">(0.29 to 96.37), </w:t>
            </w:r>
            <w:r w:rsidR="00914ADB">
              <w:t>P</w:t>
            </w:r>
            <w:r>
              <w:t>=0.2629</w:t>
            </w:r>
          </w:p>
        </w:tc>
      </w:tr>
      <w:tr w:rsidR="00A826EF" w:rsidTr="00914ADB">
        <w:tc>
          <w:tcPr>
            <w:tcW w:w="1714" w:type="pct"/>
          </w:tcPr>
          <w:p w:rsidR="00A826EF" w:rsidRDefault="00A826EF" w:rsidP="006E7118">
            <w:pPr>
              <w:pStyle w:val="Tabletext"/>
            </w:pPr>
            <w:r>
              <w:t>Source</w:t>
            </w:r>
          </w:p>
        </w:tc>
        <w:tc>
          <w:tcPr>
            <w:tcW w:w="3286" w:type="pct"/>
            <w:gridSpan w:val="2"/>
          </w:tcPr>
          <w:p w:rsidR="00A826EF" w:rsidRDefault="00086C77" w:rsidP="006E7118">
            <w:pPr>
              <w:pStyle w:val="Tabletext"/>
            </w:pPr>
            <w:r>
              <w:fldChar w:fldCharType="begin"/>
            </w:r>
            <w:r w:rsidR="00A826EF">
              <w:instrText xml:space="preserve"> REF _Ref332828351 \h </w:instrText>
            </w:r>
            <w:r>
              <w:fldChar w:fldCharType="separate"/>
            </w:r>
            <w:r w:rsidR="003361A8">
              <w:t xml:space="preserve">Table </w:t>
            </w:r>
            <w:r w:rsidR="003361A8">
              <w:rPr>
                <w:noProof/>
              </w:rPr>
              <w:t>51</w:t>
            </w:r>
            <w:r>
              <w:fldChar w:fldCharType="end"/>
            </w:r>
            <w:r w:rsidR="00A826EF">
              <w:t xml:space="preserve">, </w:t>
            </w:r>
            <w:r>
              <w:fldChar w:fldCharType="begin"/>
            </w:r>
            <w:r w:rsidR="00A826EF">
              <w:instrText xml:space="preserve"> REF _Ref332828360 \h </w:instrText>
            </w:r>
            <w:r>
              <w:fldChar w:fldCharType="separate"/>
            </w:r>
            <w:r w:rsidR="003361A8">
              <w:t xml:space="preserve">Table </w:t>
            </w:r>
            <w:r w:rsidR="003361A8">
              <w:rPr>
                <w:noProof/>
              </w:rPr>
              <w:t>52</w:t>
            </w:r>
            <w:r>
              <w:fldChar w:fldCharType="end"/>
            </w:r>
            <w:r w:rsidR="00A826EF">
              <w:t xml:space="preserve">, </w:t>
            </w:r>
            <w:r w:rsidR="005F6015" w:rsidRPr="005F6015">
              <w:t>Attachment 4</w:t>
            </w:r>
          </w:p>
        </w:tc>
      </w:tr>
    </w:tbl>
    <w:p w:rsidR="00EE1C18" w:rsidRDefault="007224EC" w:rsidP="00914ADB">
      <w:pPr>
        <w:pStyle w:val="Tabletext"/>
      </w:pPr>
      <w:r>
        <w:t>Abbreviations: LBC, liquid-based cytology; OR, odds ratio; CI, confidence interval</w:t>
      </w:r>
      <w:r>
        <w:br/>
      </w:r>
      <w:proofErr w:type="gramStart"/>
      <w:r w:rsidR="00F27244" w:rsidRPr="00B36E1D">
        <w:t>Manually</w:t>
      </w:r>
      <w:proofErr w:type="gramEnd"/>
      <w:r w:rsidR="00F27244" w:rsidRPr="00B36E1D">
        <w:t xml:space="preserve"> calculated for the purposes of the submission</w:t>
      </w:r>
      <w:r w:rsidR="009B4EEC">
        <w:t xml:space="preserve">. </w:t>
      </w:r>
      <w:r w:rsidR="0061117D">
        <w:t>(Attachment 4)</w:t>
      </w:r>
      <w:r w:rsidR="00EE1C18">
        <w:br/>
      </w:r>
      <w:r w:rsidR="00EE1C18">
        <w:rPr>
          <w:bCs/>
        </w:rPr>
        <w:t>OR</w:t>
      </w:r>
      <w:r w:rsidR="004278A7">
        <w:rPr>
          <w:bCs/>
        </w:rPr>
        <w:t xml:space="preserve"> &gt;</w:t>
      </w:r>
      <w:r w:rsidR="009B4EEC">
        <w:rPr>
          <w:bCs/>
        </w:rPr>
        <w:t xml:space="preserve"> </w:t>
      </w:r>
      <w:r w:rsidR="00EE1C18" w:rsidRPr="00D44FAE">
        <w:rPr>
          <w:bCs/>
        </w:rPr>
        <w:t>1 indicates</w:t>
      </w:r>
      <w:r w:rsidR="00EE1C18" w:rsidRPr="00E237A2">
        <w:rPr>
          <w:bCs/>
        </w:rPr>
        <w:t xml:space="preserve"> performance of LBC is better than CC</w:t>
      </w:r>
    </w:p>
    <w:p w:rsidR="00914ADB" w:rsidRDefault="00914ADB" w:rsidP="00C36CFF">
      <w:pPr>
        <w:pStyle w:val="Tablenotes"/>
        <w:spacing w:before="0" w:after="240" w:line="360" w:lineRule="auto"/>
        <w:rPr>
          <w:rFonts w:ascii="Californian FB" w:hAnsi="Californian FB"/>
          <w:sz w:val="22"/>
          <w:szCs w:val="24"/>
        </w:rPr>
      </w:pPr>
    </w:p>
    <w:p w:rsidR="00C36CFF" w:rsidRDefault="00C36CFF" w:rsidP="00914ADB">
      <w:r>
        <w:lastRenderedPageBreak/>
        <w:t>The PPV and relative PPV were not reported for the trial by</w:t>
      </w:r>
      <w:r w:rsidR="00914ADB">
        <w:t xml:space="preserve"> Strander 2007</w:t>
      </w:r>
      <w:r>
        <w:t>.</w:t>
      </w:r>
      <w:r w:rsidRPr="008E0E1A">
        <w:t xml:space="preserve"> </w:t>
      </w:r>
      <w:r>
        <w:t>To enable comparisons t</w:t>
      </w:r>
      <w:r w:rsidRPr="00CB14F6">
        <w:t xml:space="preserve">he </w:t>
      </w:r>
      <w:r>
        <w:t xml:space="preserve">PPV </w:t>
      </w:r>
      <w:r w:rsidRPr="00353809">
        <w:t>and relative PPV was calculated for each test threshold</w:t>
      </w:r>
      <w:r>
        <w:t xml:space="preserve"> (ASCUS+, LSIL+ and HSIL+)</w:t>
      </w:r>
      <w:r w:rsidRPr="00353809">
        <w:t xml:space="preserve"> </w:t>
      </w:r>
      <w:r>
        <w:t xml:space="preserve">using </w:t>
      </w:r>
      <w:r w:rsidRPr="00CB14F6">
        <w:t>data rep</w:t>
      </w:r>
      <w:r w:rsidR="00914ADB">
        <w:t>orted in Strander 2007 (</w:t>
      </w:r>
      <w:r w:rsidR="00086C77">
        <w:fldChar w:fldCharType="begin"/>
      </w:r>
      <w:r w:rsidR="00086C77">
        <w:instrText xml:space="preserve"> REF _Ref332195156 \h  \* MERGEFORMAT </w:instrText>
      </w:r>
      <w:r w:rsidR="00086C77">
        <w:fldChar w:fldCharType="separate"/>
      </w:r>
      <w:r w:rsidR="003361A8">
        <w:t xml:space="preserve">Table </w:t>
      </w:r>
      <w:r w:rsidR="003361A8">
        <w:rPr>
          <w:noProof/>
        </w:rPr>
        <w:t>44</w:t>
      </w:r>
      <w:r w:rsidR="00086C77">
        <w:fldChar w:fldCharType="end"/>
      </w:r>
      <w:r>
        <w:t>).</w:t>
      </w:r>
    </w:p>
    <w:p w:rsidR="00C36CFF" w:rsidRDefault="00C36CFF" w:rsidP="00914ADB">
      <w:r>
        <w:t xml:space="preserve">The PPVs of </w:t>
      </w:r>
      <w:r w:rsidR="00F51A41">
        <w:t>cell filtration LBC</w:t>
      </w:r>
      <w:r>
        <w:t xml:space="preserve"> and </w:t>
      </w:r>
      <w:r w:rsidR="00914ADB">
        <w:t>CC</w:t>
      </w:r>
      <w:r>
        <w:t xml:space="preserve"> and their ratios for different levels of test positivity and outcome thresholds are presented in </w:t>
      </w:r>
      <w:r w:rsidR="00086C77">
        <w:fldChar w:fldCharType="begin"/>
      </w:r>
      <w:r w:rsidR="00086C77">
        <w:instrText xml:space="preserve"> REF _Ref333479060 \h  \* MERGEFORMAT </w:instrText>
      </w:r>
      <w:r w:rsidR="00086C77">
        <w:fldChar w:fldCharType="separate"/>
      </w:r>
      <w:r w:rsidR="003361A8">
        <w:t xml:space="preserve">Table </w:t>
      </w:r>
      <w:r w:rsidR="003361A8">
        <w:rPr>
          <w:noProof/>
        </w:rPr>
        <w:t>63</w:t>
      </w:r>
      <w:r w:rsidR="00086C77">
        <w:fldChar w:fldCharType="end"/>
      </w:r>
      <w:r w:rsidR="00914ADB">
        <w:t xml:space="preserve">. </w:t>
      </w:r>
      <w:r w:rsidR="003C0082">
        <w:t>The PPVs of LBC</w:t>
      </w:r>
      <w:r>
        <w:t xml:space="preserve"> and Pap </w:t>
      </w:r>
      <w:r w:rsidR="004D5A34">
        <w:t>smears</w:t>
      </w:r>
      <w:r>
        <w:t xml:space="preserve"> were comparable since the 95%</w:t>
      </w:r>
      <w:r w:rsidR="00914ADB">
        <w:t xml:space="preserve"> </w:t>
      </w:r>
      <w:r>
        <w:t>confi</w:t>
      </w:r>
      <w:r w:rsidR="00D43B53">
        <w:t>d</w:t>
      </w:r>
      <w:r>
        <w:t>ence intervals around the PPV ratios never differed significantly from unity, irrespective of the cytological or verified outcome cut-off value.</w:t>
      </w:r>
    </w:p>
    <w:p w:rsidR="00D46DE0" w:rsidRDefault="00922DC3" w:rsidP="00914ADB">
      <w:pPr>
        <w:rPr>
          <w:rFonts w:ascii="Arial Narrow" w:hAnsi="Arial Narrow"/>
          <w:sz w:val="16"/>
          <w:szCs w:val="22"/>
        </w:rPr>
      </w:pPr>
      <w:r>
        <w:t>The CIN</w:t>
      </w:r>
      <w:r w:rsidR="00914ADB">
        <w:t xml:space="preserve"> </w:t>
      </w:r>
      <w:r w:rsidR="007224EC">
        <w:t>1+ PPV</w:t>
      </w:r>
      <w:r>
        <w:t xml:space="preserve">s for the </w:t>
      </w:r>
      <w:r w:rsidR="00D46DE0">
        <w:t>ASCUS+,</w:t>
      </w:r>
      <w:r w:rsidR="00914ADB">
        <w:t xml:space="preserve"> </w:t>
      </w:r>
      <w:r w:rsidR="00D46DE0">
        <w:t>LSIL+ and</w:t>
      </w:r>
      <w:r>
        <w:t xml:space="preserve"> HSIL+ test thresholds within the trial were approximately 7</w:t>
      </w:r>
      <w:r w:rsidR="00D46DE0">
        <w:t>8%, 88</w:t>
      </w:r>
      <w:r>
        <w:t xml:space="preserve">% and </w:t>
      </w:r>
      <w:r w:rsidR="00D46DE0">
        <w:t>95</w:t>
      </w:r>
      <w:r>
        <w:t>%, respectively.</w:t>
      </w:r>
      <w:r w:rsidR="00D46DE0">
        <w:t xml:space="preserve"> The CIN</w:t>
      </w:r>
      <w:r w:rsidR="00914ADB">
        <w:t xml:space="preserve"> 2+ PPV</w:t>
      </w:r>
      <w:r w:rsidR="00D46DE0">
        <w:t>s for the ASCUS+,</w:t>
      </w:r>
      <w:r w:rsidR="00D43B53">
        <w:t xml:space="preserve"> </w:t>
      </w:r>
      <w:r w:rsidR="00D46DE0">
        <w:t>LSIL+ and HSIL+ test thresholds within the trial were approximately 48%, 61% and 95%, respectively.</w:t>
      </w:r>
    </w:p>
    <w:p w:rsidR="004B5945" w:rsidRDefault="004B5945" w:rsidP="004B5945">
      <w:pPr>
        <w:pStyle w:val="Caption"/>
      </w:pPr>
      <w:bookmarkStart w:id="439" w:name="_Ref333479060"/>
      <w:bookmarkStart w:id="440" w:name="_Toc335666029"/>
      <w:bookmarkStart w:id="441" w:name="_Toc337547000"/>
      <w:r>
        <w:t xml:space="preserve">Table </w:t>
      </w:r>
      <w:fldSimple w:instr=" SEQ Table \* ARABIC ">
        <w:r w:rsidR="003361A8">
          <w:rPr>
            <w:noProof/>
          </w:rPr>
          <w:t>63</w:t>
        </w:r>
      </w:fldSimple>
      <w:bookmarkEnd w:id="439"/>
      <w:r w:rsidR="007224EC">
        <w:tab/>
        <w:t>Comparison of positive predictive value</w:t>
      </w:r>
      <w:r w:rsidR="009B4EEC">
        <w:t>—</w:t>
      </w:r>
      <w:r w:rsidR="00914ADB">
        <w:t>CC</w:t>
      </w:r>
      <w:r>
        <w:t xml:space="preserve"> versus </w:t>
      </w:r>
      <w:r w:rsidR="00914ADB">
        <w:t>cell filtration LBC: Strander 2007</w:t>
      </w:r>
      <w:bookmarkEnd w:id="440"/>
      <w:bookmarkEnd w:id="44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3"/>
        <w:gridCol w:w="2840"/>
        <w:gridCol w:w="1479"/>
        <w:gridCol w:w="2109"/>
        <w:gridCol w:w="910"/>
      </w:tblGrid>
      <w:tr w:rsidR="004B5945" w:rsidRPr="00914ADB" w:rsidTr="00914ADB">
        <w:tc>
          <w:tcPr>
            <w:tcW w:w="873" w:type="pct"/>
            <w:shd w:val="clear" w:color="auto" w:fill="auto"/>
          </w:tcPr>
          <w:p w:rsidR="004B5945" w:rsidRPr="00914ADB" w:rsidRDefault="004B5945" w:rsidP="00FA5AED">
            <w:pPr>
              <w:pStyle w:val="Tabletext"/>
              <w:rPr>
                <w:b/>
              </w:rPr>
            </w:pPr>
          </w:p>
        </w:tc>
        <w:tc>
          <w:tcPr>
            <w:tcW w:w="1597" w:type="pct"/>
          </w:tcPr>
          <w:p w:rsidR="004B5945" w:rsidRPr="00914ADB" w:rsidRDefault="004B5945" w:rsidP="00FA5AED">
            <w:pPr>
              <w:pStyle w:val="Tabletext"/>
              <w:rPr>
                <w:b/>
              </w:rPr>
            </w:pPr>
            <w:r w:rsidRPr="00914ADB">
              <w:rPr>
                <w:b/>
              </w:rPr>
              <w:t xml:space="preserve">Conventional </w:t>
            </w:r>
            <w:r w:rsidRPr="00914ADB">
              <w:rPr>
                <w:b/>
              </w:rPr>
              <w:br/>
              <w:t>n/</w:t>
            </w:r>
            <w:proofErr w:type="gramStart"/>
            <w:r w:rsidRPr="00914ADB">
              <w:rPr>
                <w:b/>
              </w:rPr>
              <w:t>N(</w:t>
            </w:r>
            <w:proofErr w:type="gramEnd"/>
            <w:r w:rsidRPr="00914ADB">
              <w:rPr>
                <w:b/>
              </w:rPr>
              <w:t>%)</w:t>
            </w:r>
          </w:p>
        </w:tc>
        <w:tc>
          <w:tcPr>
            <w:tcW w:w="832" w:type="pct"/>
            <w:shd w:val="clear" w:color="auto" w:fill="auto"/>
          </w:tcPr>
          <w:p w:rsidR="004B5945" w:rsidRPr="00914ADB" w:rsidRDefault="004B5945" w:rsidP="00FA5AED">
            <w:pPr>
              <w:pStyle w:val="Tabletext"/>
              <w:rPr>
                <w:b/>
              </w:rPr>
            </w:pPr>
            <w:r w:rsidRPr="00914ADB">
              <w:rPr>
                <w:b/>
              </w:rPr>
              <w:t>LBC</w:t>
            </w:r>
            <w:r w:rsidRPr="00914ADB">
              <w:rPr>
                <w:b/>
              </w:rPr>
              <w:br/>
              <w:t>n/</w:t>
            </w:r>
            <w:proofErr w:type="gramStart"/>
            <w:r w:rsidRPr="00914ADB">
              <w:rPr>
                <w:b/>
              </w:rPr>
              <w:t>N(</w:t>
            </w:r>
            <w:proofErr w:type="gramEnd"/>
            <w:r w:rsidRPr="00914ADB">
              <w:rPr>
                <w:b/>
              </w:rPr>
              <w:t>%)</w:t>
            </w:r>
          </w:p>
        </w:tc>
        <w:tc>
          <w:tcPr>
            <w:tcW w:w="1186" w:type="pct"/>
          </w:tcPr>
          <w:p w:rsidR="004B5945" w:rsidRPr="00914ADB" w:rsidRDefault="00914ADB" w:rsidP="00FA5AED">
            <w:pPr>
              <w:pStyle w:val="Tabletext"/>
              <w:rPr>
                <w:b/>
              </w:rPr>
            </w:pPr>
            <w:r>
              <w:rPr>
                <w:b/>
              </w:rPr>
              <w:t>Relative r</w:t>
            </w:r>
            <w:r w:rsidR="004B5945" w:rsidRPr="00914ADB">
              <w:rPr>
                <w:b/>
              </w:rPr>
              <w:t>isk [</w:t>
            </w:r>
            <w:r w:rsidR="005E0D57">
              <w:rPr>
                <w:b/>
              </w:rPr>
              <w:t>95% CI</w:t>
            </w:r>
            <w:r w:rsidR="004B5945" w:rsidRPr="00914ADB">
              <w:rPr>
                <w:b/>
              </w:rPr>
              <w:t>]</w:t>
            </w:r>
          </w:p>
        </w:tc>
        <w:tc>
          <w:tcPr>
            <w:tcW w:w="513" w:type="pct"/>
            <w:shd w:val="clear" w:color="auto" w:fill="auto"/>
          </w:tcPr>
          <w:p w:rsidR="004B5945" w:rsidRPr="00914ADB" w:rsidRDefault="00914ADB" w:rsidP="00FA5AED">
            <w:pPr>
              <w:pStyle w:val="Tabletext"/>
              <w:rPr>
                <w:b/>
              </w:rPr>
            </w:pPr>
            <w:r>
              <w:rPr>
                <w:b/>
              </w:rPr>
              <w:t>P v</w:t>
            </w:r>
            <w:r w:rsidR="004B5945" w:rsidRPr="00914ADB">
              <w:rPr>
                <w:b/>
              </w:rPr>
              <w:t>alue</w:t>
            </w:r>
          </w:p>
        </w:tc>
      </w:tr>
      <w:tr w:rsidR="004B5945" w:rsidRPr="00914ADB" w:rsidTr="00914ADB">
        <w:tc>
          <w:tcPr>
            <w:tcW w:w="873" w:type="pct"/>
            <w:shd w:val="clear" w:color="auto" w:fill="auto"/>
          </w:tcPr>
          <w:p w:rsidR="004B5945" w:rsidRPr="00914ADB" w:rsidRDefault="002015A4" w:rsidP="00FA5AED">
            <w:pPr>
              <w:pStyle w:val="Tabletext"/>
              <w:rPr>
                <w:b/>
              </w:rPr>
            </w:pPr>
            <w:r w:rsidRPr="00914ADB">
              <w:rPr>
                <w:b/>
              </w:rPr>
              <w:t>Test threshold</w:t>
            </w:r>
          </w:p>
        </w:tc>
        <w:tc>
          <w:tcPr>
            <w:tcW w:w="1597" w:type="pct"/>
          </w:tcPr>
          <w:p w:rsidR="004B5945" w:rsidRPr="00914ADB" w:rsidRDefault="002015A4" w:rsidP="00FA5AED">
            <w:pPr>
              <w:pStyle w:val="Tabletext"/>
              <w:rPr>
                <w:b/>
              </w:rPr>
            </w:pPr>
            <w:r w:rsidRPr="00914ADB">
              <w:rPr>
                <w:b/>
              </w:rPr>
              <w:t>Endpoint of CIN</w:t>
            </w:r>
            <w:r w:rsidR="00914ADB">
              <w:rPr>
                <w:b/>
              </w:rPr>
              <w:t xml:space="preserve"> </w:t>
            </w:r>
            <w:r w:rsidRPr="00914ADB">
              <w:rPr>
                <w:b/>
              </w:rPr>
              <w:t>1+ detection</w:t>
            </w:r>
          </w:p>
        </w:tc>
        <w:tc>
          <w:tcPr>
            <w:tcW w:w="832" w:type="pct"/>
            <w:shd w:val="clear" w:color="auto" w:fill="auto"/>
          </w:tcPr>
          <w:p w:rsidR="004B5945" w:rsidRPr="00914ADB" w:rsidRDefault="004B5945" w:rsidP="00FA5AED">
            <w:pPr>
              <w:pStyle w:val="Tabletext"/>
              <w:rPr>
                <w:b/>
              </w:rPr>
            </w:pPr>
          </w:p>
        </w:tc>
        <w:tc>
          <w:tcPr>
            <w:tcW w:w="1186" w:type="pct"/>
          </w:tcPr>
          <w:p w:rsidR="004B5945" w:rsidRPr="00914ADB" w:rsidRDefault="004B5945" w:rsidP="00FA5AED">
            <w:pPr>
              <w:pStyle w:val="Tabletext"/>
              <w:rPr>
                <w:b/>
              </w:rPr>
            </w:pPr>
          </w:p>
        </w:tc>
        <w:tc>
          <w:tcPr>
            <w:tcW w:w="513" w:type="pct"/>
            <w:shd w:val="clear" w:color="auto" w:fill="auto"/>
          </w:tcPr>
          <w:p w:rsidR="004B5945" w:rsidRPr="00914ADB" w:rsidRDefault="004B5945" w:rsidP="00FA5AED">
            <w:pPr>
              <w:pStyle w:val="Tabletext"/>
              <w:rPr>
                <w:b/>
              </w:rPr>
            </w:pPr>
          </w:p>
        </w:tc>
      </w:tr>
      <w:tr w:rsidR="00E237A2" w:rsidRPr="007C20F3" w:rsidTr="00914ADB">
        <w:tc>
          <w:tcPr>
            <w:tcW w:w="873" w:type="pct"/>
            <w:shd w:val="clear" w:color="auto" w:fill="auto"/>
          </w:tcPr>
          <w:p w:rsidR="00E237A2" w:rsidRPr="00B22FBE" w:rsidRDefault="00E237A2" w:rsidP="00FA5AED">
            <w:pPr>
              <w:pStyle w:val="Tabletext"/>
            </w:pPr>
            <w:r w:rsidRPr="00B22FBE">
              <w:t>ASCUS+</w:t>
            </w:r>
          </w:p>
        </w:tc>
        <w:tc>
          <w:tcPr>
            <w:tcW w:w="1597" w:type="pct"/>
            <w:vAlign w:val="bottom"/>
          </w:tcPr>
          <w:p w:rsidR="00E237A2" w:rsidRPr="00E237A2" w:rsidRDefault="00E237A2" w:rsidP="00FA5AED">
            <w:pPr>
              <w:pStyle w:val="Tabletext"/>
            </w:pPr>
            <w:r w:rsidRPr="00E237A2">
              <w:t>120/248</w:t>
            </w:r>
            <w:r w:rsidR="00914ADB">
              <w:t xml:space="preserve"> </w:t>
            </w:r>
            <w:r w:rsidRPr="00E237A2">
              <w:t>(48.39)</w:t>
            </w:r>
          </w:p>
        </w:tc>
        <w:tc>
          <w:tcPr>
            <w:tcW w:w="832" w:type="pct"/>
            <w:shd w:val="clear" w:color="auto" w:fill="auto"/>
            <w:vAlign w:val="bottom"/>
          </w:tcPr>
          <w:p w:rsidR="00E237A2" w:rsidRPr="00E237A2" w:rsidRDefault="00E237A2" w:rsidP="00FA5AED">
            <w:pPr>
              <w:pStyle w:val="Tabletext"/>
            </w:pPr>
            <w:r w:rsidRPr="00E237A2">
              <w:t>81/186</w:t>
            </w:r>
            <w:r w:rsidR="00914ADB">
              <w:t xml:space="preserve"> </w:t>
            </w:r>
            <w:r w:rsidRPr="00E237A2">
              <w:t>(43.55)</w:t>
            </w:r>
          </w:p>
        </w:tc>
        <w:tc>
          <w:tcPr>
            <w:tcW w:w="1186" w:type="pct"/>
            <w:vAlign w:val="bottom"/>
          </w:tcPr>
          <w:p w:rsidR="00E237A2" w:rsidRPr="00E237A2" w:rsidRDefault="00E237A2" w:rsidP="00FA5AED">
            <w:pPr>
              <w:pStyle w:val="Tabletext"/>
            </w:pPr>
            <w:r w:rsidRPr="00E237A2">
              <w:t>0.9</w:t>
            </w:r>
            <w:r w:rsidR="00914ADB">
              <w:t xml:space="preserve"> </w:t>
            </w:r>
            <w:r w:rsidRPr="00E237A2">
              <w:t>[0.73,1.11]</w:t>
            </w:r>
          </w:p>
        </w:tc>
        <w:tc>
          <w:tcPr>
            <w:tcW w:w="513" w:type="pct"/>
            <w:shd w:val="clear" w:color="auto" w:fill="auto"/>
            <w:vAlign w:val="bottom"/>
          </w:tcPr>
          <w:p w:rsidR="00E237A2" w:rsidRPr="00E237A2" w:rsidRDefault="00E237A2" w:rsidP="00FA5AED">
            <w:pPr>
              <w:pStyle w:val="Tabletext"/>
            </w:pPr>
            <w:r w:rsidRPr="00E237A2">
              <w:t>0.317</w:t>
            </w:r>
          </w:p>
        </w:tc>
      </w:tr>
      <w:tr w:rsidR="00E237A2" w:rsidRPr="007C20F3" w:rsidTr="00914ADB">
        <w:tc>
          <w:tcPr>
            <w:tcW w:w="873" w:type="pct"/>
            <w:shd w:val="clear" w:color="auto" w:fill="auto"/>
          </w:tcPr>
          <w:p w:rsidR="00E237A2" w:rsidRPr="00B22FBE" w:rsidRDefault="00E237A2" w:rsidP="00FA5AED">
            <w:pPr>
              <w:pStyle w:val="Tabletext"/>
            </w:pPr>
            <w:r w:rsidRPr="00B22FBE">
              <w:t>LSIL+</w:t>
            </w:r>
          </w:p>
        </w:tc>
        <w:tc>
          <w:tcPr>
            <w:tcW w:w="1597" w:type="pct"/>
            <w:vAlign w:val="bottom"/>
          </w:tcPr>
          <w:p w:rsidR="00E237A2" w:rsidRPr="00E237A2" w:rsidRDefault="00E237A2" w:rsidP="00FA5AED">
            <w:pPr>
              <w:pStyle w:val="Tabletext"/>
            </w:pPr>
            <w:r w:rsidRPr="00E237A2">
              <w:t>74/128</w:t>
            </w:r>
            <w:r w:rsidR="00914ADB">
              <w:t xml:space="preserve"> </w:t>
            </w:r>
            <w:r w:rsidRPr="00E237A2">
              <w:t>(57.81)</w:t>
            </w:r>
          </w:p>
        </w:tc>
        <w:tc>
          <w:tcPr>
            <w:tcW w:w="832" w:type="pct"/>
            <w:shd w:val="clear" w:color="auto" w:fill="auto"/>
            <w:vAlign w:val="bottom"/>
          </w:tcPr>
          <w:p w:rsidR="00E237A2" w:rsidRPr="00E237A2" w:rsidRDefault="00E237A2" w:rsidP="00FA5AED">
            <w:pPr>
              <w:pStyle w:val="Tabletext"/>
            </w:pPr>
            <w:r w:rsidRPr="00E237A2">
              <w:t>61/108</w:t>
            </w:r>
            <w:r w:rsidR="00914ADB">
              <w:t xml:space="preserve"> </w:t>
            </w:r>
            <w:r w:rsidRPr="00E237A2">
              <w:t>(56.48)</w:t>
            </w:r>
          </w:p>
        </w:tc>
        <w:tc>
          <w:tcPr>
            <w:tcW w:w="1186" w:type="pct"/>
            <w:vAlign w:val="bottom"/>
          </w:tcPr>
          <w:p w:rsidR="00E237A2" w:rsidRPr="00E237A2" w:rsidRDefault="00E237A2" w:rsidP="00FA5AED">
            <w:pPr>
              <w:pStyle w:val="Tabletext"/>
            </w:pPr>
            <w:r w:rsidRPr="00E237A2">
              <w:t>0.98</w:t>
            </w:r>
            <w:r w:rsidR="00914ADB">
              <w:t xml:space="preserve"> </w:t>
            </w:r>
            <w:r w:rsidRPr="00E237A2">
              <w:t>[0.78,1.22]</w:t>
            </w:r>
          </w:p>
        </w:tc>
        <w:tc>
          <w:tcPr>
            <w:tcW w:w="513" w:type="pct"/>
            <w:shd w:val="clear" w:color="auto" w:fill="auto"/>
            <w:vAlign w:val="bottom"/>
          </w:tcPr>
          <w:p w:rsidR="00E237A2" w:rsidRPr="00E237A2" w:rsidRDefault="00E237A2" w:rsidP="00FA5AED">
            <w:pPr>
              <w:pStyle w:val="Tabletext"/>
            </w:pPr>
            <w:r w:rsidRPr="00E237A2">
              <w:t>0.837</w:t>
            </w:r>
          </w:p>
        </w:tc>
      </w:tr>
      <w:tr w:rsidR="00E237A2" w:rsidRPr="007C20F3" w:rsidTr="00914ADB">
        <w:tc>
          <w:tcPr>
            <w:tcW w:w="873" w:type="pct"/>
            <w:shd w:val="clear" w:color="auto" w:fill="auto"/>
          </w:tcPr>
          <w:p w:rsidR="00E237A2" w:rsidRPr="00B22FBE" w:rsidRDefault="00E237A2" w:rsidP="00FA5AED">
            <w:pPr>
              <w:pStyle w:val="Tabletext"/>
            </w:pPr>
            <w:r w:rsidRPr="00B22FBE">
              <w:t>HSIL+</w:t>
            </w:r>
          </w:p>
        </w:tc>
        <w:tc>
          <w:tcPr>
            <w:tcW w:w="1597" w:type="pct"/>
            <w:vAlign w:val="bottom"/>
          </w:tcPr>
          <w:p w:rsidR="00E237A2" w:rsidRPr="00E237A2" w:rsidRDefault="00E237A2" w:rsidP="00FA5AED">
            <w:pPr>
              <w:pStyle w:val="Tabletext"/>
            </w:pPr>
            <w:r w:rsidRPr="00E237A2">
              <w:t>42/45</w:t>
            </w:r>
            <w:r w:rsidR="00914ADB">
              <w:t xml:space="preserve"> </w:t>
            </w:r>
            <w:r w:rsidRPr="00E237A2">
              <w:t>(93.33)</w:t>
            </w:r>
          </w:p>
        </w:tc>
        <w:tc>
          <w:tcPr>
            <w:tcW w:w="832" w:type="pct"/>
            <w:shd w:val="clear" w:color="auto" w:fill="auto"/>
            <w:vAlign w:val="bottom"/>
          </w:tcPr>
          <w:p w:rsidR="00E237A2" w:rsidRPr="00E237A2" w:rsidRDefault="00E237A2" w:rsidP="00FA5AED">
            <w:pPr>
              <w:pStyle w:val="Tabletext"/>
            </w:pPr>
            <w:r w:rsidRPr="00E237A2">
              <w:t>33/35</w:t>
            </w:r>
            <w:r w:rsidR="00914ADB">
              <w:t xml:space="preserve"> </w:t>
            </w:r>
            <w:r w:rsidRPr="00E237A2">
              <w:t>(94.29)</w:t>
            </w:r>
          </w:p>
        </w:tc>
        <w:tc>
          <w:tcPr>
            <w:tcW w:w="1186" w:type="pct"/>
            <w:vAlign w:val="bottom"/>
          </w:tcPr>
          <w:p w:rsidR="00E237A2" w:rsidRPr="00E237A2" w:rsidRDefault="00E237A2" w:rsidP="00FA5AED">
            <w:pPr>
              <w:pStyle w:val="Tabletext"/>
            </w:pPr>
            <w:r w:rsidRPr="00E237A2">
              <w:t>1.01</w:t>
            </w:r>
            <w:r w:rsidR="00914ADB">
              <w:t xml:space="preserve"> </w:t>
            </w:r>
            <w:r w:rsidRPr="00E237A2">
              <w:t>[0.9,1.13]</w:t>
            </w:r>
          </w:p>
        </w:tc>
        <w:tc>
          <w:tcPr>
            <w:tcW w:w="513" w:type="pct"/>
            <w:shd w:val="clear" w:color="auto" w:fill="auto"/>
            <w:vAlign w:val="bottom"/>
          </w:tcPr>
          <w:p w:rsidR="00E237A2" w:rsidRPr="00E237A2" w:rsidRDefault="00E237A2" w:rsidP="00FA5AED">
            <w:pPr>
              <w:pStyle w:val="Tabletext"/>
            </w:pPr>
            <w:r w:rsidRPr="00E237A2">
              <w:t>0.861</w:t>
            </w:r>
          </w:p>
        </w:tc>
      </w:tr>
      <w:tr w:rsidR="004B5945" w:rsidRPr="00914ADB" w:rsidTr="00914ADB">
        <w:tc>
          <w:tcPr>
            <w:tcW w:w="873" w:type="pct"/>
            <w:shd w:val="clear" w:color="auto" w:fill="auto"/>
          </w:tcPr>
          <w:p w:rsidR="004B5945" w:rsidRPr="00914ADB" w:rsidRDefault="004B5945" w:rsidP="00FA5AED">
            <w:pPr>
              <w:pStyle w:val="Tabletext"/>
              <w:rPr>
                <w:b/>
              </w:rPr>
            </w:pPr>
          </w:p>
        </w:tc>
        <w:tc>
          <w:tcPr>
            <w:tcW w:w="1597" w:type="pct"/>
            <w:vAlign w:val="bottom"/>
          </w:tcPr>
          <w:p w:rsidR="004B5945" w:rsidRPr="00914ADB" w:rsidRDefault="002015A4" w:rsidP="00FA5AED">
            <w:pPr>
              <w:pStyle w:val="Tabletext"/>
              <w:rPr>
                <w:b/>
              </w:rPr>
            </w:pPr>
            <w:r w:rsidRPr="00914ADB">
              <w:rPr>
                <w:b/>
              </w:rPr>
              <w:t>Endpoint of CIN</w:t>
            </w:r>
            <w:r w:rsidR="00914ADB">
              <w:rPr>
                <w:b/>
              </w:rPr>
              <w:t xml:space="preserve"> </w:t>
            </w:r>
            <w:r w:rsidRPr="00914ADB">
              <w:rPr>
                <w:b/>
              </w:rPr>
              <w:t>2+ detection</w:t>
            </w:r>
          </w:p>
        </w:tc>
        <w:tc>
          <w:tcPr>
            <w:tcW w:w="832" w:type="pct"/>
            <w:shd w:val="clear" w:color="auto" w:fill="auto"/>
            <w:vAlign w:val="bottom"/>
          </w:tcPr>
          <w:p w:rsidR="004B5945" w:rsidRPr="00914ADB" w:rsidRDefault="004B5945" w:rsidP="00FA5AED">
            <w:pPr>
              <w:pStyle w:val="Tabletext"/>
              <w:rPr>
                <w:b/>
              </w:rPr>
            </w:pPr>
          </w:p>
        </w:tc>
        <w:tc>
          <w:tcPr>
            <w:tcW w:w="1186" w:type="pct"/>
            <w:vAlign w:val="bottom"/>
          </w:tcPr>
          <w:p w:rsidR="004B5945" w:rsidRPr="00914ADB" w:rsidRDefault="004B5945" w:rsidP="00FA5AED">
            <w:pPr>
              <w:pStyle w:val="Tabletext"/>
              <w:rPr>
                <w:b/>
              </w:rPr>
            </w:pPr>
          </w:p>
        </w:tc>
        <w:tc>
          <w:tcPr>
            <w:tcW w:w="513" w:type="pct"/>
            <w:shd w:val="clear" w:color="auto" w:fill="auto"/>
          </w:tcPr>
          <w:p w:rsidR="004B5945" w:rsidRPr="00914ADB" w:rsidRDefault="004B5945" w:rsidP="00FA5AED">
            <w:pPr>
              <w:pStyle w:val="Tabletext"/>
              <w:rPr>
                <w:b/>
              </w:rPr>
            </w:pPr>
          </w:p>
        </w:tc>
      </w:tr>
      <w:tr w:rsidR="00E237A2" w:rsidRPr="007C20F3" w:rsidTr="00914ADB">
        <w:tc>
          <w:tcPr>
            <w:tcW w:w="873" w:type="pct"/>
            <w:shd w:val="clear" w:color="auto" w:fill="auto"/>
          </w:tcPr>
          <w:p w:rsidR="00E237A2" w:rsidRPr="00B22FBE" w:rsidRDefault="00E237A2" w:rsidP="00FA5AED">
            <w:pPr>
              <w:pStyle w:val="Tabletext"/>
            </w:pPr>
            <w:r w:rsidRPr="00B22FBE">
              <w:t>ASCUS+</w:t>
            </w:r>
          </w:p>
        </w:tc>
        <w:tc>
          <w:tcPr>
            <w:tcW w:w="1597" w:type="pct"/>
            <w:vAlign w:val="bottom"/>
          </w:tcPr>
          <w:p w:rsidR="00E237A2" w:rsidRPr="00E237A2" w:rsidRDefault="00E237A2" w:rsidP="00FA5AED">
            <w:pPr>
              <w:pStyle w:val="Tabletext"/>
            </w:pPr>
            <w:r w:rsidRPr="00E237A2">
              <w:t>73/248</w:t>
            </w:r>
            <w:r w:rsidR="00914ADB">
              <w:t xml:space="preserve"> </w:t>
            </w:r>
            <w:r w:rsidRPr="00E237A2">
              <w:t>(29.44)</w:t>
            </w:r>
          </w:p>
        </w:tc>
        <w:tc>
          <w:tcPr>
            <w:tcW w:w="832" w:type="pct"/>
            <w:shd w:val="clear" w:color="auto" w:fill="auto"/>
            <w:vAlign w:val="bottom"/>
          </w:tcPr>
          <w:p w:rsidR="00E237A2" w:rsidRPr="00E237A2" w:rsidRDefault="00E237A2" w:rsidP="00FA5AED">
            <w:pPr>
              <w:pStyle w:val="Tabletext"/>
            </w:pPr>
            <w:r w:rsidRPr="00E237A2">
              <w:t>55/186</w:t>
            </w:r>
            <w:r w:rsidR="00914ADB">
              <w:t xml:space="preserve"> </w:t>
            </w:r>
            <w:r w:rsidRPr="00E237A2">
              <w:t>(29.57)</w:t>
            </w:r>
          </w:p>
        </w:tc>
        <w:tc>
          <w:tcPr>
            <w:tcW w:w="1186" w:type="pct"/>
            <w:vAlign w:val="bottom"/>
          </w:tcPr>
          <w:p w:rsidR="00E237A2" w:rsidRPr="00E237A2" w:rsidRDefault="00E237A2" w:rsidP="00FA5AED">
            <w:pPr>
              <w:pStyle w:val="Tabletext"/>
            </w:pPr>
            <w:r w:rsidRPr="00E237A2">
              <w:t>1</w:t>
            </w:r>
            <w:r w:rsidR="00914ADB">
              <w:t xml:space="preserve"> </w:t>
            </w:r>
            <w:r w:rsidRPr="00E237A2">
              <w:t>[0.75,1.35]</w:t>
            </w:r>
          </w:p>
        </w:tc>
        <w:tc>
          <w:tcPr>
            <w:tcW w:w="513" w:type="pct"/>
            <w:shd w:val="clear" w:color="auto" w:fill="auto"/>
            <w:vAlign w:val="bottom"/>
          </w:tcPr>
          <w:p w:rsidR="00E237A2" w:rsidRPr="00E237A2" w:rsidRDefault="00E237A2" w:rsidP="00FA5AED">
            <w:pPr>
              <w:pStyle w:val="Tabletext"/>
            </w:pPr>
            <w:r w:rsidRPr="00E237A2">
              <w:t>0.976</w:t>
            </w:r>
          </w:p>
        </w:tc>
      </w:tr>
      <w:tr w:rsidR="00E237A2" w:rsidRPr="007C20F3" w:rsidTr="00914ADB">
        <w:tc>
          <w:tcPr>
            <w:tcW w:w="873" w:type="pct"/>
            <w:shd w:val="clear" w:color="auto" w:fill="auto"/>
          </w:tcPr>
          <w:p w:rsidR="00E237A2" w:rsidRPr="00B22FBE" w:rsidRDefault="00E237A2" w:rsidP="00FA5AED">
            <w:pPr>
              <w:pStyle w:val="Tabletext"/>
            </w:pPr>
            <w:r w:rsidRPr="00B22FBE">
              <w:t>LSIL+</w:t>
            </w:r>
          </w:p>
        </w:tc>
        <w:tc>
          <w:tcPr>
            <w:tcW w:w="1597" w:type="pct"/>
            <w:vAlign w:val="bottom"/>
          </w:tcPr>
          <w:p w:rsidR="00E237A2" w:rsidRPr="00E237A2" w:rsidRDefault="00E237A2" w:rsidP="00FA5AED">
            <w:pPr>
              <w:pStyle w:val="Tabletext"/>
            </w:pPr>
            <w:r w:rsidRPr="00E237A2">
              <w:t>51/128</w:t>
            </w:r>
            <w:r w:rsidR="00914ADB">
              <w:t xml:space="preserve"> </w:t>
            </w:r>
            <w:r w:rsidRPr="00E237A2">
              <w:t>(39.84)</w:t>
            </w:r>
          </w:p>
        </w:tc>
        <w:tc>
          <w:tcPr>
            <w:tcW w:w="832" w:type="pct"/>
            <w:shd w:val="clear" w:color="auto" w:fill="auto"/>
            <w:vAlign w:val="bottom"/>
          </w:tcPr>
          <w:p w:rsidR="00E237A2" w:rsidRPr="00E237A2" w:rsidRDefault="00E237A2" w:rsidP="00FA5AED">
            <w:pPr>
              <w:pStyle w:val="Tabletext"/>
            </w:pPr>
            <w:r w:rsidRPr="00E237A2">
              <w:t>44/108</w:t>
            </w:r>
            <w:r w:rsidR="00914ADB">
              <w:t xml:space="preserve"> </w:t>
            </w:r>
            <w:r w:rsidRPr="00E237A2">
              <w:t>(40.74)</w:t>
            </w:r>
          </w:p>
        </w:tc>
        <w:tc>
          <w:tcPr>
            <w:tcW w:w="1186" w:type="pct"/>
            <w:vAlign w:val="bottom"/>
          </w:tcPr>
          <w:p w:rsidR="00E237A2" w:rsidRPr="00E237A2" w:rsidRDefault="00E237A2" w:rsidP="00FA5AED">
            <w:pPr>
              <w:pStyle w:val="Tabletext"/>
            </w:pPr>
            <w:r w:rsidRPr="00E237A2">
              <w:t>1.02</w:t>
            </w:r>
            <w:r w:rsidR="00914ADB">
              <w:t xml:space="preserve"> </w:t>
            </w:r>
            <w:r w:rsidRPr="00E237A2">
              <w:t>[0.75,1.4]</w:t>
            </w:r>
          </w:p>
        </w:tc>
        <w:tc>
          <w:tcPr>
            <w:tcW w:w="513" w:type="pct"/>
            <w:shd w:val="clear" w:color="auto" w:fill="auto"/>
            <w:vAlign w:val="bottom"/>
          </w:tcPr>
          <w:p w:rsidR="00E237A2" w:rsidRPr="00E237A2" w:rsidRDefault="00E237A2" w:rsidP="00FA5AED">
            <w:pPr>
              <w:pStyle w:val="Tabletext"/>
            </w:pPr>
            <w:r w:rsidRPr="00E237A2">
              <w:t>0.889</w:t>
            </w:r>
          </w:p>
        </w:tc>
      </w:tr>
      <w:tr w:rsidR="00E237A2" w:rsidRPr="007C20F3" w:rsidTr="00914ADB">
        <w:tc>
          <w:tcPr>
            <w:tcW w:w="873" w:type="pct"/>
            <w:shd w:val="clear" w:color="auto" w:fill="auto"/>
          </w:tcPr>
          <w:p w:rsidR="00E237A2" w:rsidRPr="00B22FBE" w:rsidRDefault="00E237A2" w:rsidP="00FA5AED">
            <w:pPr>
              <w:pStyle w:val="Tabletext"/>
            </w:pPr>
            <w:r w:rsidRPr="00B22FBE">
              <w:t>HSIL+</w:t>
            </w:r>
          </w:p>
        </w:tc>
        <w:tc>
          <w:tcPr>
            <w:tcW w:w="1597" w:type="pct"/>
            <w:vAlign w:val="bottom"/>
          </w:tcPr>
          <w:p w:rsidR="00E237A2" w:rsidRPr="00E237A2" w:rsidRDefault="00E237A2" w:rsidP="00FA5AED">
            <w:pPr>
              <w:pStyle w:val="Tabletext"/>
            </w:pPr>
            <w:r w:rsidRPr="00E237A2">
              <w:t>42/45</w:t>
            </w:r>
            <w:r w:rsidR="00914ADB">
              <w:t xml:space="preserve"> </w:t>
            </w:r>
            <w:r w:rsidRPr="00E237A2">
              <w:t>(93.33)</w:t>
            </w:r>
          </w:p>
        </w:tc>
        <w:tc>
          <w:tcPr>
            <w:tcW w:w="832" w:type="pct"/>
            <w:shd w:val="clear" w:color="auto" w:fill="auto"/>
            <w:vAlign w:val="bottom"/>
          </w:tcPr>
          <w:p w:rsidR="00E237A2" w:rsidRPr="00E237A2" w:rsidRDefault="00E237A2" w:rsidP="00FA5AED">
            <w:pPr>
              <w:pStyle w:val="Tabletext"/>
            </w:pPr>
            <w:r w:rsidRPr="00E237A2">
              <w:t>29/35</w:t>
            </w:r>
            <w:r w:rsidR="00914ADB">
              <w:t xml:space="preserve"> </w:t>
            </w:r>
            <w:r w:rsidRPr="00E237A2">
              <w:t>(82.86)</w:t>
            </w:r>
          </w:p>
        </w:tc>
        <w:tc>
          <w:tcPr>
            <w:tcW w:w="1186" w:type="pct"/>
            <w:vAlign w:val="bottom"/>
          </w:tcPr>
          <w:p w:rsidR="00E237A2" w:rsidRPr="00E237A2" w:rsidRDefault="00E237A2" w:rsidP="00FA5AED">
            <w:pPr>
              <w:pStyle w:val="Tabletext"/>
            </w:pPr>
            <w:r w:rsidRPr="00E237A2">
              <w:t>0.89</w:t>
            </w:r>
            <w:r w:rsidR="00914ADB">
              <w:t xml:space="preserve"> </w:t>
            </w:r>
            <w:r w:rsidRPr="00E237A2">
              <w:t>[0.75,1.05]</w:t>
            </w:r>
          </w:p>
        </w:tc>
        <w:tc>
          <w:tcPr>
            <w:tcW w:w="513" w:type="pct"/>
            <w:shd w:val="clear" w:color="auto" w:fill="auto"/>
            <w:vAlign w:val="bottom"/>
          </w:tcPr>
          <w:p w:rsidR="00E237A2" w:rsidRPr="00E237A2" w:rsidRDefault="00E237A2" w:rsidP="00FA5AED">
            <w:pPr>
              <w:pStyle w:val="Tabletext"/>
            </w:pPr>
            <w:r w:rsidRPr="00E237A2">
              <w:t>0.141</w:t>
            </w:r>
          </w:p>
        </w:tc>
      </w:tr>
      <w:tr w:rsidR="00A826EF" w:rsidRPr="007C20F3" w:rsidTr="00914ADB">
        <w:tc>
          <w:tcPr>
            <w:tcW w:w="873" w:type="pct"/>
            <w:shd w:val="clear" w:color="auto" w:fill="auto"/>
          </w:tcPr>
          <w:p w:rsidR="00A826EF" w:rsidRPr="00B22FBE" w:rsidRDefault="00A826EF" w:rsidP="00FA5AED">
            <w:pPr>
              <w:pStyle w:val="Tabletext"/>
            </w:pPr>
            <w:r>
              <w:t>Source</w:t>
            </w:r>
          </w:p>
        </w:tc>
        <w:tc>
          <w:tcPr>
            <w:tcW w:w="4127" w:type="pct"/>
            <w:gridSpan w:val="4"/>
            <w:vAlign w:val="bottom"/>
          </w:tcPr>
          <w:p w:rsidR="00A826EF" w:rsidRPr="00E237A2" w:rsidRDefault="005F6015" w:rsidP="00FA5AED">
            <w:pPr>
              <w:pStyle w:val="Tabletext"/>
            </w:pPr>
            <w:r w:rsidRPr="005F6015">
              <w:t>Attachment 4</w:t>
            </w:r>
          </w:p>
        </w:tc>
      </w:tr>
    </w:tbl>
    <w:p w:rsidR="00EE1C18" w:rsidRPr="00E237A2" w:rsidRDefault="007224EC" w:rsidP="00914ADB">
      <w:pPr>
        <w:pStyle w:val="Tabletext"/>
      </w:pPr>
      <w:r>
        <w:t xml:space="preserve">Abbreviations: CC, conventional cytology; LBC, liquid-based cytology; CI, confidence interval; CIN, cervical </w:t>
      </w:r>
      <w:r w:rsidRPr="009B4EEC">
        <w:t>intraepithelial neoplasia; ASCUS+</w:t>
      </w:r>
      <w:r w:rsidR="00303D7C" w:rsidRPr="009B4EEC">
        <w:t xml:space="preserve"> , atypical squamous cells undetermined significance</w:t>
      </w:r>
      <w:r w:rsidRPr="009B4EEC">
        <w:t xml:space="preserve">, LSIL+, </w:t>
      </w:r>
      <w:r w:rsidR="009B4EEC" w:rsidRPr="009B4EEC">
        <w:t xml:space="preserve">low grade squamous intraepithelial lesion or higher; </w:t>
      </w:r>
      <w:r w:rsidRPr="009B4EEC">
        <w:t xml:space="preserve">HSIL+, </w:t>
      </w:r>
      <w:r w:rsidR="009B4EEC" w:rsidRPr="009B4EEC">
        <w:t xml:space="preserve">high grade squamous intraepithelial lesion or higher </w:t>
      </w:r>
      <w:r w:rsidRPr="009B4EEC">
        <w:t>TP, true positive; FP, false</w:t>
      </w:r>
      <w:r>
        <w:t xml:space="preserve"> positive</w:t>
      </w:r>
      <w:r>
        <w:br/>
      </w:r>
      <w:r w:rsidR="00EE1C18">
        <w:t>RR</w:t>
      </w:r>
      <w:r w:rsidR="00EE1C18" w:rsidRPr="00D44FAE">
        <w:t xml:space="preserve"> &lt;</w:t>
      </w:r>
      <w:r>
        <w:t xml:space="preserve"> </w:t>
      </w:r>
      <w:r w:rsidR="00EE1C18" w:rsidRPr="00D44FAE">
        <w:t>1 indicates</w:t>
      </w:r>
      <w:r w:rsidR="00EE1C18">
        <w:t xml:space="preserve"> </w:t>
      </w:r>
      <w:r w:rsidR="00EE1C18" w:rsidRPr="00E237A2">
        <w:t>performance of CC is better than LBC</w:t>
      </w:r>
    </w:p>
    <w:p w:rsidR="00914ADB" w:rsidRDefault="00914ADB" w:rsidP="007E4AAF"/>
    <w:p w:rsidR="007E4AAF" w:rsidRDefault="00914ADB" w:rsidP="007E4AAF">
      <w:r>
        <w:t>Maccallini 2008</w:t>
      </w:r>
      <w:r w:rsidR="007E4AAF">
        <w:t xml:space="preserve"> report</w:t>
      </w:r>
      <w:r>
        <w:t xml:space="preserve">ed only </w:t>
      </w:r>
      <w:r w:rsidR="007E4AAF">
        <w:t>the proportion of women in whom CIN</w:t>
      </w:r>
      <w:r>
        <w:t xml:space="preserve"> </w:t>
      </w:r>
      <w:r w:rsidR="007E4AAF">
        <w:t>2+ was</w:t>
      </w:r>
      <w:r w:rsidR="007E4AAF" w:rsidRPr="00355A8A">
        <w:t xml:space="preserve"> </w:t>
      </w:r>
      <w:r w:rsidR="007E4AAF">
        <w:t xml:space="preserve">histologically confirmed in screen positive </w:t>
      </w:r>
      <w:r w:rsidR="00B44D34">
        <w:t xml:space="preserve">(ASCUS+) </w:t>
      </w:r>
      <w:r>
        <w:t>patients within one</w:t>
      </w:r>
      <w:r w:rsidR="007E4AAF">
        <w:t xml:space="preserve"> year of colposcopy. </w:t>
      </w:r>
      <w:r w:rsidR="00922DC3">
        <w:t>T</w:t>
      </w:r>
      <w:r w:rsidR="007E4AAF">
        <w:t>he publication reports the percentage PPV only and indicates the data represents “PPV for CIN</w:t>
      </w:r>
      <w:r>
        <w:t xml:space="preserve"> </w:t>
      </w:r>
      <w:r w:rsidR="007E4AAF">
        <w:t>2+</w:t>
      </w:r>
      <w:r>
        <w:t xml:space="preserve"> at referral” (Mac</w:t>
      </w:r>
      <w:r w:rsidR="007224EC">
        <w:t>c</w:t>
      </w:r>
      <w:r>
        <w:t xml:space="preserve">allini </w:t>
      </w:r>
      <w:r w:rsidR="007E4AAF">
        <w:t>2008, Table 4). It is uncertain what referral PPV means given all ASCUS+ patients were referred for colposcopy. In the overall series PPV was slightly,</w:t>
      </w:r>
      <w:r w:rsidR="00B44D34">
        <w:t xml:space="preserve"> not significantly higher with cell filtration</w:t>
      </w:r>
      <w:r w:rsidR="007E4AAF">
        <w:t xml:space="preserve"> LBC arm</w:t>
      </w:r>
      <w:r w:rsidR="00B44D34">
        <w:t xml:space="preserve"> compared with </w:t>
      </w:r>
      <w:r>
        <w:t>CC (P</w:t>
      </w:r>
      <w:r w:rsidR="00922DC3">
        <w:t>=0.20)</w:t>
      </w:r>
      <w:r w:rsidR="007224EC">
        <w:t xml:space="preserve"> </w:t>
      </w:r>
      <w:r w:rsidR="002C00BE">
        <w:t>(</w:t>
      </w:r>
      <w:r w:rsidR="00086C77">
        <w:fldChar w:fldCharType="begin"/>
      </w:r>
      <w:r w:rsidR="002C00BE">
        <w:instrText xml:space="preserve"> REF _Ref332747011 \h </w:instrText>
      </w:r>
      <w:r w:rsidR="00086C77">
        <w:fldChar w:fldCharType="separate"/>
      </w:r>
      <w:r w:rsidR="003361A8">
        <w:t xml:space="preserve">Table </w:t>
      </w:r>
      <w:r w:rsidR="003361A8">
        <w:rPr>
          <w:noProof/>
        </w:rPr>
        <w:t>64</w:t>
      </w:r>
      <w:r w:rsidR="00086C77">
        <w:fldChar w:fldCharType="end"/>
      </w:r>
      <w:r w:rsidR="002C00BE">
        <w:t>)</w:t>
      </w:r>
      <w:r w:rsidR="007E4AAF">
        <w:t xml:space="preserve">. There were three centres (Atri, Lanciano, </w:t>
      </w:r>
      <w:proofErr w:type="gramStart"/>
      <w:r w:rsidR="007E4AAF">
        <w:t>Avezzano</w:t>
      </w:r>
      <w:proofErr w:type="gramEnd"/>
      <w:r w:rsidR="007E4AAF">
        <w:t xml:space="preserve">-Sulmona) involved in the trial. When reviewed by centre there was a </w:t>
      </w:r>
      <w:r w:rsidR="007E4AAF">
        <w:lastRenderedPageBreak/>
        <w:t xml:space="preserve">significant difference in PPV in favour of </w:t>
      </w:r>
      <w:r w:rsidR="00B44D34">
        <w:t xml:space="preserve">cell filtration </w:t>
      </w:r>
      <w:r w:rsidR="007E4AAF">
        <w:t>LBC for the Avezzano-Sulmona centres (37.3% vs</w:t>
      </w:r>
      <w:r>
        <w:t>.</w:t>
      </w:r>
      <w:r w:rsidR="007E4AAF">
        <w:t xml:space="preserve"> 19.2%, p&lt;0.05)</w:t>
      </w:r>
      <w:r>
        <w:t xml:space="preserve"> (Maccallini </w:t>
      </w:r>
      <w:r w:rsidR="007E4AAF">
        <w:t xml:space="preserve">2008 p. 571). </w:t>
      </w:r>
    </w:p>
    <w:p w:rsidR="00854219" w:rsidRDefault="00854219" w:rsidP="00854219">
      <w:pPr>
        <w:rPr>
          <w:rFonts w:ascii="Arial Narrow" w:hAnsi="Arial Narrow"/>
          <w:sz w:val="16"/>
          <w:szCs w:val="22"/>
        </w:rPr>
      </w:pPr>
      <w:r>
        <w:t>T</w:t>
      </w:r>
      <w:r w:rsidR="00D46DE0">
        <w:t>he CIN</w:t>
      </w:r>
      <w:r w:rsidR="00914ADB">
        <w:t xml:space="preserve"> </w:t>
      </w:r>
      <w:r w:rsidR="00D46DE0">
        <w:t>2+ PPV</w:t>
      </w:r>
      <w:r>
        <w:t xml:space="preserve"> for the </w:t>
      </w:r>
      <w:r w:rsidR="00D46DE0">
        <w:t>ASCUS+</w:t>
      </w:r>
      <w:r>
        <w:t xml:space="preserve"> test threshold within the trial w</w:t>
      </w:r>
      <w:r w:rsidR="00D46DE0">
        <w:t>as</w:t>
      </w:r>
      <w:r>
        <w:t xml:space="preserve"> </w:t>
      </w:r>
      <w:r w:rsidR="00914ADB">
        <w:t xml:space="preserve">12% to </w:t>
      </w:r>
      <w:r w:rsidR="00D46DE0">
        <w:t>17%</w:t>
      </w:r>
      <w:r>
        <w:t>.</w:t>
      </w:r>
    </w:p>
    <w:p w:rsidR="007E4AAF" w:rsidRDefault="007E4AAF" w:rsidP="007E4AAF">
      <w:pPr>
        <w:pStyle w:val="Caption"/>
        <w:rPr>
          <w:rFonts w:ascii="Arial Narrow" w:hAnsi="Arial Narrow"/>
          <w:bCs w:val="0"/>
          <w:sz w:val="16"/>
          <w:szCs w:val="22"/>
        </w:rPr>
      </w:pPr>
      <w:bookmarkStart w:id="442" w:name="_Ref332747011"/>
      <w:bookmarkStart w:id="443" w:name="_Toc331766494"/>
      <w:bookmarkStart w:id="444" w:name="_Toc335666030"/>
      <w:bookmarkStart w:id="445" w:name="_Toc337547001"/>
      <w:r>
        <w:t xml:space="preserve">Table </w:t>
      </w:r>
      <w:fldSimple w:instr=" SEQ Table \* ARABIC ">
        <w:r w:rsidR="003361A8">
          <w:rPr>
            <w:noProof/>
          </w:rPr>
          <w:t>64</w:t>
        </w:r>
      </w:fldSimple>
      <w:bookmarkEnd w:id="442"/>
      <w:r>
        <w:tab/>
        <w:t>Positive predictive value for CIN</w:t>
      </w:r>
      <w:r w:rsidR="00D43B53">
        <w:t xml:space="preserve"> </w:t>
      </w:r>
      <w:r w:rsidR="0054583C">
        <w:t>2+—</w:t>
      </w:r>
      <w:r w:rsidR="00914ADB">
        <w:t>CC</w:t>
      </w:r>
      <w:r>
        <w:t xml:space="preserve"> versus </w:t>
      </w:r>
      <w:r w:rsidR="00B736EB">
        <w:t>cell filtration LBC</w:t>
      </w:r>
      <w:r w:rsidR="00914ADB">
        <w:t xml:space="preserve">: Maccallini </w:t>
      </w:r>
      <w:r>
        <w:t>2008</w:t>
      </w:r>
      <w:bookmarkEnd w:id="443"/>
      <w:bookmarkEnd w:id="444"/>
      <w:bookmarkEnd w:id="445"/>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3"/>
        <w:gridCol w:w="3026"/>
        <w:gridCol w:w="2118"/>
        <w:gridCol w:w="1664"/>
      </w:tblGrid>
      <w:tr w:rsidR="007E4AAF" w:rsidRPr="00914ADB" w:rsidTr="00914ADB">
        <w:tc>
          <w:tcPr>
            <w:tcW w:w="1171" w:type="pct"/>
            <w:shd w:val="clear" w:color="auto" w:fill="auto"/>
          </w:tcPr>
          <w:p w:rsidR="007E4AAF" w:rsidRPr="00914ADB" w:rsidRDefault="007E4AAF" w:rsidP="007E4AAF">
            <w:pPr>
              <w:pStyle w:val="Tabletext"/>
              <w:rPr>
                <w:b/>
              </w:rPr>
            </w:pPr>
          </w:p>
        </w:tc>
        <w:tc>
          <w:tcPr>
            <w:tcW w:w="1702" w:type="pct"/>
            <w:shd w:val="clear" w:color="auto" w:fill="auto"/>
          </w:tcPr>
          <w:p w:rsidR="007E4AAF" w:rsidRPr="00914ADB" w:rsidRDefault="007E4AAF" w:rsidP="007E4AAF">
            <w:pPr>
              <w:pStyle w:val="Tabletext"/>
              <w:rPr>
                <w:b/>
              </w:rPr>
            </w:pPr>
            <w:r w:rsidRPr="00914ADB">
              <w:rPr>
                <w:b/>
              </w:rPr>
              <w:t xml:space="preserve">Conventional </w:t>
            </w:r>
            <w:r w:rsidR="00F9074F" w:rsidRPr="00914ADB">
              <w:rPr>
                <w:b/>
              </w:rPr>
              <w:t>(N=4299</w:t>
            </w:r>
            <w:proofErr w:type="gramStart"/>
            <w:r w:rsidR="00F9074F" w:rsidRPr="00914ADB">
              <w:rPr>
                <w:b/>
              </w:rPr>
              <w:t>)</w:t>
            </w:r>
            <w:proofErr w:type="gramEnd"/>
            <w:r w:rsidRPr="00914ADB">
              <w:rPr>
                <w:b/>
              </w:rPr>
              <w:br/>
              <w:t>n/N(%)</w:t>
            </w:r>
          </w:p>
        </w:tc>
        <w:tc>
          <w:tcPr>
            <w:tcW w:w="1191" w:type="pct"/>
            <w:shd w:val="clear" w:color="auto" w:fill="auto"/>
          </w:tcPr>
          <w:p w:rsidR="007E4AAF" w:rsidRPr="00914ADB" w:rsidRDefault="007E4AAF" w:rsidP="007E4AAF">
            <w:pPr>
              <w:pStyle w:val="Tabletext"/>
              <w:rPr>
                <w:b/>
              </w:rPr>
            </w:pPr>
            <w:r w:rsidRPr="00914ADB">
              <w:rPr>
                <w:b/>
              </w:rPr>
              <w:t>LBC</w:t>
            </w:r>
            <w:r w:rsidR="00F9074F" w:rsidRPr="00914ADB">
              <w:rPr>
                <w:b/>
              </w:rPr>
              <w:t xml:space="preserve"> (N=4355</w:t>
            </w:r>
            <w:proofErr w:type="gramStart"/>
            <w:r w:rsidR="00F9074F" w:rsidRPr="00914ADB">
              <w:rPr>
                <w:b/>
              </w:rPr>
              <w:t>)</w:t>
            </w:r>
            <w:proofErr w:type="gramEnd"/>
            <w:r w:rsidRPr="00914ADB">
              <w:rPr>
                <w:b/>
              </w:rPr>
              <w:br/>
              <w:t>n/N(%)</w:t>
            </w:r>
          </w:p>
        </w:tc>
        <w:tc>
          <w:tcPr>
            <w:tcW w:w="936" w:type="pct"/>
            <w:shd w:val="clear" w:color="auto" w:fill="auto"/>
          </w:tcPr>
          <w:p w:rsidR="007E4AAF" w:rsidRPr="00914ADB" w:rsidRDefault="00914ADB" w:rsidP="007E4AAF">
            <w:pPr>
              <w:pStyle w:val="Tabletext"/>
              <w:rPr>
                <w:b/>
              </w:rPr>
            </w:pPr>
            <w:r>
              <w:rPr>
                <w:b/>
              </w:rPr>
              <w:t>P v</w:t>
            </w:r>
            <w:r w:rsidR="007E4AAF" w:rsidRPr="00914ADB">
              <w:rPr>
                <w:b/>
              </w:rPr>
              <w:t>alue</w:t>
            </w:r>
          </w:p>
        </w:tc>
      </w:tr>
      <w:tr w:rsidR="007E4AAF" w:rsidRPr="007C20F3" w:rsidTr="00914ADB">
        <w:tc>
          <w:tcPr>
            <w:tcW w:w="1171" w:type="pct"/>
            <w:shd w:val="clear" w:color="auto" w:fill="auto"/>
          </w:tcPr>
          <w:p w:rsidR="007E4AAF" w:rsidRPr="00AA3591" w:rsidRDefault="007E4AAF" w:rsidP="007E4AAF">
            <w:pPr>
              <w:pStyle w:val="Tabletext"/>
            </w:pPr>
            <w:r>
              <w:t>Test threshold</w:t>
            </w:r>
          </w:p>
        </w:tc>
        <w:tc>
          <w:tcPr>
            <w:tcW w:w="1702" w:type="pct"/>
            <w:shd w:val="clear" w:color="auto" w:fill="auto"/>
          </w:tcPr>
          <w:p w:rsidR="007E4AAF" w:rsidRDefault="007E4AAF" w:rsidP="007E4AAF">
            <w:pPr>
              <w:pStyle w:val="Tabletext"/>
            </w:pPr>
            <w:r>
              <w:t>Endpoint of CIN</w:t>
            </w:r>
            <w:r w:rsidR="00914ADB">
              <w:t xml:space="preserve"> </w:t>
            </w:r>
            <w:r>
              <w:t>2+ detection</w:t>
            </w:r>
          </w:p>
        </w:tc>
        <w:tc>
          <w:tcPr>
            <w:tcW w:w="1191" w:type="pct"/>
            <w:shd w:val="clear" w:color="auto" w:fill="auto"/>
          </w:tcPr>
          <w:p w:rsidR="007E4AAF" w:rsidRDefault="007E4AAF" w:rsidP="007E4AAF">
            <w:pPr>
              <w:pStyle w:val="Tabletext"/>
            </w:pPr>
          </w:p>
        </w:tc>
        <w:tc>
          <w:tcPr>
            <w:tcW w:w="936" w:type="pct"/>
            <w:shd w:val="clear" w:color="auto" w:fill="auto"/>
          </w:tcPr>
          <w:p w:rsidR="007E4AAF" w:rsidRDefault="007E4AAF" w:rsidP="007E4AAF">
            <w:pPr>
              <w:pStyle w:val="Tabletext"/>
            </w:pPr>
          </w:p>
        </w:tc>
      </w:tr>
      <w:tr w:rsidR="007E4AAF" w:rsidRPr="007C20F3" w:rsidTr="00914ADB">
        <w:tc>
          <w:tcPr>
            <w:tcW w:w="1171" w:type="pct"/>
            <w:shd w:val="clear" w:color="auto" w:fill="auto"/>
          </w:tcPr>
          <w:p w:rsidR="007E4AAF" w:rsidRPr="00B22FBE" w:rsidRDefault="007E4AAF" w:rsidP="007E4AAF">
            <w:pPr>
              <w:pStyle w:val="Tabletext"/>
            </w:pPr>
            <w:r>
              <w:t>ASCUS</w:t>
            </w:r>
            <w:r w:rsidRPr="00B22FBE">
              <w:t>+</w:t>
            </w:r>
          </w:p>
        </w:tc>
        <w:tc>
          <w:tcPr>
            <w:tcW w:w="1702" w:type="pct"/>
            <w:shd w:val="clear" w:color="auto" w:fill="auto"/>
          </w:tcPr>
          <w:p w:rsidR="007E4AAF" w:rsidRPr="00AA3591" w:rsidRDefault="007E4AAF" w:rsidP="007E4AAF">
            <w:pPr>
              <w:pStyle w:val="Tabletext"/>
            </w:pPr>
            <w:r>
              <w:t>NR/NR (12.2)</w:t>
            </w:r>
          </w:p>
        </w:tc>
        <w:tc>
          <w:tcPr>
            <w:tcW w:w="1191" w:type="pct"/>
            <w:shd w:val="clear" w:color="auto" w:fill="auto"/>
          </w:tcPr>
          <w:p w:rsidR="007E4AAF" w:rsidRPr="00AA3591" w:rsidRDefault="007E4AAF" w:rsidP="007E4AAF">
            <w:pPr>
              <w:pStyle w:val="Tabletext"/>
            </w:pPr>
            <w:r>
              <w:t>NR/NR (17.1)</w:t>
            </w:r>
          </w:p>
        </w:tc>
        <w:tc>
          <w:tcPr>
            <w:tcW w:w="936" w:type="pct"/>
            <w:shd w:val="clear" w:color="auto" w:fill="auto"/>
          </w:tcPr>
          <w:p w:rsidR="007E4AAF" w:rsidRPr="00AA3591" w:rsidRDefault="007E4AAF" w:rsidP="007E4AAF">
            <w:pPr>
              <w:pStyle w:val="Tabletext"/>
            </w:pPr>
            <w:r>
              <w:t>0.20</w:t>
            </w:r>
          </w:p>
        </w:tc>
      </w:tr>
      <w:tr w:rsidR="007E4AAF" w:rsidRPr="007C20F3" w:rsidTr="00914ADB">
        <w:tc>
          <w:tcPr>
            <w:tcW w:w="5000" w:type="pct"/>
            <w:gridSpan w:val="4"/>
            <w:shd w:val="clear" w:color="auto" w:fill="auto"/>
          </w:tcPr>
          <w:p w:rsidR="007E4AAF" w:rsidRPr="00AA3591" w:rsidRDefault="00914ADB" w:rsidP="007E4AAF">
            <w:pPr>
              <w:pStyle w:val="Tabletext"/>
            </w:pPr>
            <w:r>
              <w:t xml:space="preserve">Source: Maccallini </w:t>
            </w:r>
            <w:r w:rsidR="007E4AAF">
              <w:t>2008, Table 4 p.571</w:t>
            </w:r>
          </w:p>
        </w:tc>
      </w:tr>
    </w:tbl>
    <w:p w:rsidR="007E4AAF" w:rsidRDefault="007224EC" w:rsidP="007224EC">
      <w:pPr>
        <w:pStyle w:val="Tabletext"/>
      </w:pPr>
      <w:r>
        <w:t xml:space="preserve">Abbreviations: CIN, cervical intraepithelial neoplasia; LBC, liquid-based cytology; </w:t>
      </w:r>
      <w:r w:rsidRPr="00303D7C">
        <w:t>ASCUS+</w:t>
      </w:r>
      <w:r w:rsidR="00303D7C">
        <w:t xml:space="preserve">, </w:t>
      </w:r>
      <w:r w:rsidR="0054583C">
        <w:t>atypical squamous cells of undetermined significance grade or higher</w:t>
      </w:r>
      <w:r w:rsidRPr="00303D7C">
        <w:t>;</w:t>
      </w:r>
      <w:r>
        <w:t xml:space="preserve"> NR, not reported</w:t>
      </w:r>
    </w:p>
    <w:p w:rsidR="007224EC" w:rsidRDefault="007224EC" w:rsidP="002561B1"/>
    <w:p w:rsidR="009834AD" w:rsidRDefault="00FE4B6F" w:rsidP="002561B1">
      <w:r>
        <w:t>The RHINE-SAAR tr</w:t>
      </w:r>
      <w:r w:rsidR="008D1686">
        <w:t>ial (Ikenberg 20011) reported</w:t>
      </w:r>
      <w:r w:rsidR="001658EC">
        <w:t xml:space="preserve"> the detection of histologically confirmed CIN</w:t>
      </w:r>
      <w:r w:rsidR="008D1686">
        <w:t xml:space="preserve"> </w:t>
      </w:r>
      <w:r w:rsidR="001658EC">
        <w:t>2+ lesions</w:t>
      </w:r>
      <w:r w:rsidR="00B44D34">
        <w:t xml:space="preserve"> for screen positive patients (ASCUS+)</w:t>
      </w:r>
      <w:r w:rsidR="008D1686">
        <w:t>. Scant data were</w:t>
      </w:r>
      <w:r w:rsidR="001658EC">
        <w:t xml:space="preserve"> repo</w:t>
      </w:r>
      <w:r w:rsidR="008D1686">
        <w:t>rted and data were presented</w:t>
      </w:r>
      <w:r w:rsidR="00B44D34">
        <w:t xml:space="preserve"> in abstract form only</w:t>
      </w:r>
      <w:r w:rsidR="001658EC">
        <w:t>. However</w:t>
      </w:r>
      <w:r w:rsidR="008D1686">
        <w:t>,</w:t>
      </w:r>
      <w:r w:rsidR="001658EC">
        <w:t xml:space="preserve"> t</w:t>
      </w:r>
      <w:r>
        <w:t xml:space="preserve">he authors report that PPV for </w:t>
      </w:r>
      <w:r w:rsidR="0020241A">
        <w:t xml:space="preserve">cell filtration </w:t>
      </w:r>
      <w:r>
        <w:t xml:space="preserve">LBC and </w:t>
      </w:r>
      <w:r w:rsidR="008D1686">
        <w:t>CC</w:t>
      </w:r>
      <w:r>
        <w:t xml:space="preserve"> for CIN 2+ was 48% and 38%, respectively</w:t>
      </w:r>
      <w:r w:rsidR="002C00BE">
        <w:t xml:space="preserve"> (</w:t>
      </w:r>
      <w:r w:rsidR="00086C77">
        <w:fldChar w:fldCharType="begin"/>
      </w:r>
      <w:r w:rsidR="002C00BE">
        <w:instrText xml:space="preserve"> REF _Ref332833861 \h </w:instrText>
      </w:r>
      <w:r w:rsidR="00086C77">
        <w:fldChar w:fldCharType="separate"/>
      </w:r>
      <w:r w:rsidR="003361A8">
        <w:t xml:space="preserve">Table </w:t>
      </w:r>
      <w:r w:rsidR="003361A8">
        <w:rPr>
          <w:noProof/>
        </w:rPr>
        <w:t>65</w:t>
      </w:r>
      <w:r w:rsidR="00086C77">
        <w:fldChar w:fldCharType="end"/>
      </w:r>
      <w:r w:rsidR="002C00BE">
        <w:t>)</w:t>
      </w:r>
      <w:r w:rsidR="002C1BCA">
        <w:t xml:space="preserve">. The PPV for LBC analysed using the TIS and </w:t>
      </w:r>
      <w:r w:rsidR="008D1686">
        <w:t>CC</w:t>
      </w:r>
      <w:r w:rsidR="002C1BCA">
        <w:t xml:space="preserve"> for CIN 2+was 44% and 38%.</w:t>
      </w:r>
    </w:p>
    <w:p w:rsidR="00854219" w:rsidRDefault="00854219" w:rsidP="00854219">
      <w:pPr>
        <w:rPr>
          <w:rFonts w:ascii="Arial Narrow" w:hAnsi="Arial Narrow"/>
          <w:sz w:val="16"/>
          <w:szCs w:val="22"/>
        </w:rPr>
      </w:pPr>
      <w:r>
        <w:t>The CIN</w:t>
      </w:r>
      <w:r w:rsidR="008D1686">
        <w:t xml:space="preserve"> </w:t>
      </w:r>
      <w:r w:rsidR="00D46DE0">
        <w:t>2</w:t>
      </w:r>
      <w:r>
        <w:t xml:space="preserve">+ PPV for the </w:t>
      </w:r>
      <w:r w:rsidR="00D46DE0">
        <w:t>ASCUS+ test threshold</w:t>
      </w:r>
      <w:r>
        <w:t xml:space="preserve"> within the trial </w:t>
      </w:r>
      <w:r w:rsidR="00D46DE0">
        <w:t>was</w:t>
      </w:r>
      <w:r>
        <w:t xml:space="preserve"> </w:t>
      </w:r>
      <w:r w:rsidR="008D1686">
        <w:t xml:space="preserve">38% to </w:t>
      </w:r>
      <w:r w:rsidR="00D46DE0">
        <w:t>48%</w:t>
      </w:r>
      <w:r>
        <w:t>.</w:t>
      </w:r>
    </w:p>
    <w:p w:rsidR="009834AD" w:rsidRDefault="009834AD" w:rsidP="009834AD">
      <w:pPr>
        <w:pStyle w:val="Caption"/>
      </w:pPr>
      <w:bookmarkStart w:id="446" w:name="_Ref332833861"/>
      <w:bookmarkStart w:id="447" w:name="_Toc331766495"/>
      <w:bookmarkStart w:id="448" w:name="_Toc335666031"/>
      <w:bookmarkStart w:id="449" w:name="_Toc337547002"/>
      <w:r>
        <w:t xml:space="preserve">Table </w:t>
      </w:r>
      <w:fldSimple w:instr=" SEQ Table \* ARABIC ">
        <w:r w:rsidR="003361A8">
          <w:rPr>
            <w:noProof/>
          </w:rPr>
          <w:t>65</w:t>
        </w:r>
      </w:fldSimple>
      <w:bookmarkEnd w:id="446"/>
      <w:r>
        <w:tab/>
        <w:t>Positive predictive value for histologically confirmed CIN</w:t>
      </w:r>
      <w:r w:rsidR="008D1686">
        <w:t xml:space="preserve"> 2+ of CC</w:t>
      </w:r>
      <w:r>
        <w:t xml:space="preserve"> versus </w:t>
      </w:r>
      <w:r w:rsidR="00B736EB">
        <w:t>cell filtration LBC</w:t>
      </w:r>
      <w:r>
        <w:t xml:space="preserve"> (manual and automated</w:t>
      </w:r>
      <w:r w:rsidR="00B736EB">
        <w:t xml:space="preserve"> analysis</w:t>
      </w:r>
      <w:r w:rsidR="008D1686">
        <w:t>): RHINE-SAAR study 2010–</w:t>
      </w:r>
      <w:r>
        <w:t>2011</w:t>
      </w:r>
      <w:bookmarkEnd w:id="447"/>
      <w:bookmarkEnd w:id="448"/>
      <w:bookmarkEnd w:id="44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2"/>
        <w:gridCol w:w="1935"/>
        <w:gridCol w:w="2381"/>
        <w:gridCol w:w="2973"/>
      </w:tblGrid>
      <w:tr w:rsidR="00FC71BF" w:rsidRPr="008D1686" w:rsidTr="007224EC">
        <w:tc>
          <w:tcPr>
            <w:tcW w:w="901" w:type="pct"/>
            <w:tcBorders>
              <w:right w:val="single" w:sz="4" w:space="0" w:color="auto"/>
            </w:tcBorders>
          </w:tcPr>
          <w:p w:rsidR="00FC71BF" w:rsidRPr="008D1686" w:rsidRDefault="00FC71BF" w:rsidP="009834AD">
            <w:pPr>
              <w:pStyle w:val="Tabletext"/>
              <w:rPr>
                <w:b/>
              </w:rPr>
            </w:pPr>
          </w:p>
        </w:tc>
        <w:tc>
          <w:tcPr>
            <w:tcW w:w="1088" w:type="pct"/>
            <w:tcBorders>
              <w:left w:val="single" w:sz="4" w:space="0" w:color="auto"/>
            </w:tcBorders>
          </w:tcPr>
          <w:p w:rsidR="00FC71BF" w:rsidRPr="008D1686" w:rsidRDefault="00FC71BF" w:rsidP="00FC71BF">
            <w:pPr>
              <w:pStyle w:val="Tabletext"/>
              <w:rPr>
                <w:b/>
              </w:rPr>
            </w:pPr>
            <w:r w:rsidRPr="008D1686">
              <w:rPr>
                <w:b/>
              </w:rPr>
              <w:t>Conventional</w:t>
            </w:r>
            <w:r w:rsidR="00F9074F" w:rsidRPr="008D1686">
              <w:rPr>
                <w:b/>
              </w:rPr>
              <w:t xml:space="preserve"> (N=9293)</w:t>
            </w:r>
            <w:r w:rsidRPr="008D1686">
              <w:rPr>
                <w:b/>
              </w:rPr>
              <w:t xml:space="preserve"> </w:t>
            </w:r>
            <w:r w:rsidRPr="008D1686">
              <w:rPr>
                <w:b/>
              </w:rPr>
              <w:br/>
              <w:t>n/</w:t>
            </w:r>
            <w:proofErr w:type="gramStart"/>
            <w:r w:rsidRPr="008D1686">
              <w:rPr>
                <w:b/>
              </w:rPr>
              <w:t>N(</w:t>
            </w:r>
            <w:proofErr w:type="gramEnd"/>
            <w:r w:rsidRPr="008D1686">
              <w:rPr>
                <w:b/>
              </w:rPr>
              <w:t>%)</w:t>
            </w:r>
          </w:p>
        </w:tc>
        <w:tc>
          <w:tcPr>
            <w:tcW w:w="1339" w:type="pct"/>
          </w:tcPr>
          <w:p w:rsidR="00FC71BF" w:rsidRPr="008D1686" w:rsidRDefault="00FC71BF" w:rsidP="00FC71BF">
            <w:pPr>
              <w:pStyle w:val="Tabletext"/>
              <w:rPr>
                <w:b/>
              </w:rPr>
            </w:pPr>
            <w:r w:rsidRPr="008D1686">
              <w:rPr>
                <w:b/>
              </w:rPr>
              <w:t>LBC</w:t>
            </w:r>
            <w:r w:rsidR="00F9074F" w:rsidRPr="008D1686">
              <w:rPr>
                <w:b/>
              </w:rPr>
              <w:t xml:space="preserve"> (N=11331</w:t>
            </w:r>
            <w:proofErr w:type="gramStart"/>
            <w:r w:rsidR="00F9074F" w:rsidRPr="008D1686">
              <w:rPr>
                <w:b/>
              </w:rPr>
              <w:t>)</w:t>
            </w:r>
            <w:proofErr w:type="gramEnd"/>
            <w:r w:rsidRPr="008D1686">
              <w:rPr>
                <w:b/>
              </w:rPr>
              <w:br/>
              <w:t>n/N(%)</w:t>
            </w:r>
          </w:p>
        </w:tc>
        <w:tc>
          <w:tcPr>
            <w:tcW w:w="1672" w:type="pct"/>
          </w:tcPr>
          <w:p w:rsidR="00FC71BF" w:rsidRPr="008D1686" w:rsidRDefault="00FC71BF" w:rsidP="009834AD">
            <w:pPr>
              <w:pStyle w:val="Tabletext"/>
              <w:rPr>
                <w:b/>
              </w:rPr>
            </w:pPr>
            <w:r w:rsidRPr="008D1686">
              <w:rPr>
                <w:b/>
              </w:rPr>
              <w:t>LBC (ThinPrep Imaging System</w:t>
            </w:r>
            <w:proofErr w:type="gramStart"/>
            <w:r w:rsidRPr="008D1686">
              <w:rPr>
                <w:b/>
              </w:rPr>
              <w:t>)</w:t>
            </w:r>
            <w:proofErr w:type="gramEnd"/>
            <w:r w:rsidRPr="008D1686">
              <w:rPr>
                <w:b/>
              </w:rPr>
              <w:br/>
              <w:t>n/N(%)</w:t>
            </w:r>
          </w:p>
        </w:tc>
      </w:tr>
      <w:tr w:rsidR="00FC71BF" w:rsidRPr="00767F7A" w:rsidTr="007224EC">
        <w:tc>
          <w:tcPr>
            <w:tcW w:w="901" w:type="pct"/>
            <w:tcBorders>
              <w:right w:val="single" w:sz="4" w:space="0" w:color="auto"/>
            </w:tcBorders>
          </w:tcPr>
          <w:p w:rsidR="00FC71BF" w:rsidRPr="00AA3591" w:rsidRDefault="00FC71BF" w:rsidP="00FC71BF">
            <w:pPr>
              <w:pStyle w:val="Tabletext"/>
            </w:pPr>
            <w:r>
              <w:t>Test threshold</w:t>
            </w:r>
          </w:p>
        </w:tc>
        <w:tc>
          <w:tcPr>
            <w:tcW w:w="1088" w:type="pct"/>
            <w:tcBorders>
              <w:left w:val="single" w:sz="4" w:space="0" w:color="auto"/>
            </w:tcBorders>
          </w:tcPr>
          <w:p w:rsidR="00FC71BF" w:rsidRDefault="00FC71BF" w:rsidP="00FC71BF">
            <w:pPr>
              <w:pStyle w:val="Tabletext"/>
            </w:pPr>
            <w:r>
              <w:t>Endpoint of CIN</w:t>
            </w:r>
            <w:r w:rsidR="007224EC">
              <w:t xml:space="preserve"> </w:t>
            </w:r>
            <w:r>
              <w:t>2+ detection</w:t>
            </w:r>
          </w:p>
        </w:tc>
        <w:tc>
          <w:tcPr>
            <w:tcW w:w="1339" w:type="pct"/>
          </w:tcPr>
          <w:p w:rsidR="00FC71BF" w:rsidRDefault="00FC71BF" w:rsidP="00FC71BF">
            <w:pPr>
              <w:pStyle w:val="Tabletext"/>
            </w:pPr>
          </w:p>
        </w:tc>
        <w:tc>
          <w:tcPr>
            <w:tcW w:w="1672" w:type="pct"/>
          </w:tcPr>
          <w:p w:rsidR="00FC71BF" w:rsidRDefault="00FC71BF" w:rsidP="009834AD">
            <w:pPr>
              <w:pStyle w:val="Tabletext"/>
            </w:pPr>
          </w:p>
        </w:tc>
      </w:tr>
      <w:tr w:rsidR="00FC71BF" w:rsidRPr="00767F7A" w:rsidTr="007224EC">
        <w:tc>
          <w:tcPr>
            <w:tcW w:w="901" w:type="pct"/>
            <w:tcBorders>
              <w:right w:val="single" w:sz="4" w:space="0" w:color="auto"/>
            </w:tcBorders>
          </w:tcPr>
          <w:p w:rsidR="00FC71BF" w:rsidRPr="00B22FBE" w:rsidRDefault="00FC71BF" w:rsidP="00FC71BF">
            <w:pPr>
              <w:pStyle w:val="Tabletext"/>
            </w:pPr>
            <w:r>
              <w:t>ASCUS</w:t>
            </w:r>
            <w:r w:rsidRPr="00B22FBE">
              <w:t>+</w:t>
            </w:r>
          </w:p>
        </w:tc>
        <w:tc>
          <w:tcPr>
            <w:tcW w:w="1088" w:type="pct"/>
            <w:tcBorders>
              <w:left w:val="single" w:sz="4" w:space="0" w:color="auto"/>
            </w:tcBorders>
          </w:tcPr>
          <w:p w:rsidR="00FC71BF" w:rsidRDefault="001658EC" w:rsidP="00F9074F">
            <w:pPr>
              <w:pStyle w:val="Tabletext"/>
            </w:pPr>
            <w:r>
              <w:t>NR/</w:t>
            </w:r>
            <w:r w:rsidR="00F9074F">
              <w:t xml:space="preserve">NR </w:t>
            </w:r>
            <w:r>
              <w:t>(</w:t>
            </w:r>
            <w:r w:rsidR="00FC71BF">
              <w:t>38</w:t>
            </w:r>
            <w:r>
              <w:t>)</w:t>
            </w:r>
          </w:p>
        </w:tc>
        <w:tc>
          <w:tcPr>
            <w:tcW w:w="1339" w:type="pct"/>
          </w:tcPr>
          <w:p w:rsidR="00FC71BF" w:rsidRDefault="001658EC" w:rsidP="009834AD">
            <w:pPr>
              <w:pStyle w:val="Tabletext"/>
            </w:pPr>
            <w:r>
              <w:t>NR/</w:t>
            </w:r>
            <w:r w:rsidR="00F9074F">
              <w:t xml:space="preserve"> NR </w:t>
            </w:r>
            <w:r>
              <w:t>(</w:t>
            </w:r>
            <w:r w:rsidR="00FC71BF">
              <w:t>48</w:t>
            </w:r>
            <w:r>
              <w:t>)</w:t>
            </w:r>
          </w:p>
        </w:tc>
        <w:tc>
          <w:tcPr>
            <w:tcW w:w="1672" w:type="pct"/>
          </w:tcPr>
          <w:p w:rsidR="00FC71BF" w:rsidRDefault="001658EC" w:rsidP="009834AD">
            <w:pPr>
              <w:pStyle w:val="Tabletext"/>
            </w:pPr>
            <w:r>
              <w:t>NR/NR (</w:t>
            </w:r>
            <w:r w:rsidR="00FC71BF">
              <w:t>44</w:t>
            </w:r>
            <w:r>
              <w:t>)</w:t>
            </w:r>
          </w:p>
        </w:tc>
      </w:tr>
      <w:tr w:rsidR="009834AD" w:rsidRPr="00767F7A" w:rsidTr="008D1686">
        <w:tc>
          <w:tcPr>
            <w:tcW w:w="5000" w:type="pct"/>
            <w:gridSpan w:val="4"/>
          </w:tcPr>
          <w:p w:rsidR="009834AD" w:rsidRDefault="009834AD" w:rsidP="009834AD">
            <w:pPr>
              <w:pStyle w:val="Tabletext"/>
            </w:pPr>
            <w:r>
              <w:t>Source: Ikenberg 2011b</w:t>
            </w:r>
          </w:p>
        </w:tc>
      </w:tr>
    </w:tbl>
    <w:p w:rsidR="007224EC" w:rsidRDefault="007224EC" w:rsidP="007224EC">
      <w:pPr>
        <w:pStyle w:val="Tabletext"/>
      </w:pPr>
      <w:r>
        <w:t xml:space="preserve">Abbreviations: CIN, cervical intraepithelial neoplasia; LBC, liquid-based cytology; </w:t>
      </w:r>
      <w:r w:rsidRPr="00303D7C">
        <w:t>ASCUS+</w:t>
      </w:r>
      <w:r w:rsidR="00303D7C" w:rsidRPr="00303D7C">
        <w:t>, atypical squamous cells undetermined significance</w:t>
      </w:r>
      <w:r w:rsidR="0054583C">
        <w:t xml:space="preserve"> or higher</w:t>
      </w:r>
      <w:r w:rsidRPr="00303D7C">
        <w:t>; NR, not reported</w:t>
      </w:r>
    </w:p>
    <w:p w:rsidR="00794D1F" w:rsidRDefault="00794D1F" w:rsidP="007224EC"/>
    <w:p w:rsidR="002E35E3" w:rsidRDefault="002E35E3" w:rsidP="002E35E3">
      <w:pPr>
        <w:pStyle w:val="Heading50"/>
      </w:pPr>
      <w:r>
        <w:t xml:space="preserve">Summary of results </w:t>
      </w:r>
    </w:p>
    <w:p w:rsidR="002E35E3" w:rsidRPr="00015B26" w:rsidRDefault="002E35E3" w:rsidP="002E35E3">
      <w:r>
        <w:t>It was reported that the colposcopic examination and histologic reading of the biopsy was blinded to the cytology sampling modality in three trials—NETHCON (Siebers 2008), Strander 2007 and Maccallini 2008. Blinding to the sampling modality was not reported for the remaining trials. The reference standard applied in Beerman 2009 is unknown.</w:t>
      </w:r>
    </w:p>
    <w:p w:rsidR="002E35E3" w:rsidRDefault="002E35E3" w:rsidP="002E35E3">
      <w:r>
        <w:lastRenderedPageBreak/>
        <w:t>It should be noted that comparisons based on histologic follow-up of cytologic reports of ASCUS (pLSIL) and LSIL are subject to bias because of the selective nature of the subset biopsied. By comparison,</w:t>
      </w:r>
      <w:r w:rsidRPr="00CA302F">
        <w:t xml:space="preserve"> </w:t>
      </w:r>
      <w:r>
        <w:t>the accepted procedure for cytologic reports of HSIL, as occurs in Australian guidelines, is referral for biopsy</w:t>
      </w:r>
      <w:r w:rsidR="004C112A">
        <w:t xml:space="preserve"> and is less prone to selectivity bias</w:t>
      </w:r>
      <w:r>
        <w:t>. Any</w:t>
      </w:r>
      <w:r w:rsidRPr="00D02467">
        <w:t xml:space="preserve"> differences in the PPV at various test thresholds across the three alternative histological reference standard</w:t>
      </w:r>
      <w:r>
        <w:t xml:space="preserve"> may in part be due to </w:t>
      </w:r>
      <w:r w:rsidRPr="00D02467">
        <w:t xml:space="preserve">differences in terminology and classification </w:t>
      </w:r>
      <w:r>
        <w:t>between trials</w:t>
      </w:r>
      <w:r w:rsidRPr="00D02467">
        <w:t>.</w:t>
      </w:r>
      <w:r>
        <w:t xml:space="preserve"> </w:t>
      </w:r>
    </w:p>
    <w:p w:rsidR="002E35E3" w:rsidRDefault="002E35E3" w:rsidP="002E35E3">
      <w:r>
        <w:t xml:space="preserve">It should also be noted that only </w:t>
      </w:r>
      <w:r w:rsidRPr="001A312F">
        <w:t>CIN detected by cytology</w:t>
      </w:r>
      <w:r>
        <w:t xml:space="preserve"> were considered in the LBC arm of the NTCC trial. Results from this trial are therefore viewed with </w:t>
      </w:r>
      <w:proofErr w:type="gramStart"/>
      <w:r>
        <w:t>caution .</w:t>
      </w:r>
      <w:proofErr w:type="gramEnd"/>
    </w:p>
    <w:p w:rsidR="002E35E3" w:rsidRDefault="002E35E3" w:rsidP="002E35E3">
      <w:r>
        <w:t xml:space="preserve">Overall, for reference outcome CIN 1+ the PPV percentage for test threshold ASCUS+ and LSIL+ varied among the four trials (Beerman 2009, NTCC, NETHCON and Strander 2007), ranging from 23% to 48% and 36% to 74%, respectively. However all trials, except NTCC, showed no significant difference between LBC </w:t>
      </w:r>
      <w:r w:rsidR="004C112A">
        <w:t xml:space="preserve">(cell enrichment or cell filtration) </w:t>
      </w:r>
      <w:r>
        <w:t>and CC. All trials except the NTCC trial reported the PPV percentage for test threshold HSIL+. The PPV percentage was generally similar between the trials (84%to 94% PPV) and none demonstrated any significant difference between LBC (cell enrichment or cell filtration) and CC.</w:t>
      </w:r>
    </w:p>
    <w:p w:rsidR="002E35E3" w:rsidRDefault="002E35E3" w:rsidP="002E35E3">
      <w:r>
        <w:t>Overall for reference outcome CIN 2+</w:t>
      </w:r>
      <w:r w:rsidR="00322FCF">
        <w:t xml:space="preserve"> </w:t>
      </w:r>
      <w:r>
        <w:t xml:space="preserve">the PPV percentage for test threshold ASCUS+ and LSIL+ was </w:t>
      </w:r>
      <w:r w:rsidR="004C112A">
        <w:t xml:space="preserve">only </w:t>
      </w:r>
      <w:r>
        <w:t>available for six cell filtration LBC trials. The PPV percentage varied between the trials, ranging from 7% to 48% and 12% to 63%, respectively. However all trials, except NTCC, showed no significant difference between cell filtration LBC and conventional cytology. PPV percentage for test threshold HSIL+ was generally similar between the three trials for which data were available (81% to 100% PPV) and all trials showed no significant difference between cell filtration LBC and CC.</w:t>
      </w:r>
    </w:p>
    <w:p w:rsidR="002E35E3" w:rsidRDefault="002E35E3" w:rsidP="002E35E3">
      <w:r>
        <w:t xml:space="preserve">Only two trials—NTCC and the NETHCON trial—reported the reference outcome for CIN 3+, again the PPV percentage for test threshold ASCUS+ and LSIL+ varied between the trials, ranging from 3.37% to 20.63% and 13.88% to 48.21%, respectively. The NTCC trial found significantly reduced PPV for CIN 3+ based on test threshold ASCUS+ and LSIL+ but this was not the case in the NETHCON trial. The correlation between the reference outcome CIN 3+ and the HSIL+ test threshold was reported in the NETHCON trial only. The PPV percentage ranged from 59% to 67% with no significant difference calculated between </w:t>
      </w:r>
      <w:r w:rsidR="004C112A">
        <w:t xml:space="preserve">cell filtration </w:t>
      </w:r>
      <w:r>
        <w:t>LBC and CC.</w:t>
      </w:r>
    </w:p>
    <w:p w:rsidR="002E35E3" w:rsidRDefault="002E35E3" w:rsidP="002E35E3">
      <w:r>
        <w:t>All trials, with the exception of the NTCC trial, showed no significant difference in PPV between LBC (cell enrichment or cell filtration) and CC. As the test positivity threshold improved from ASCUS+ to HSIL+ the PPV for the detection of CIN 1+, CIN 2+ and CIN 3+ increased for both test preparation methods.</w:t>
      </w:r>
    </w:p>
    <w:p w:rsidR="002E35E3" w:rsidRDefault="002E35E3" w:rsidP="007224EC"/>
    <w:p w:rsidR="002561B1" w:rsidRDefault="007602AE" w:rsidP="007602AE">
      <w:pPr>
        <w:pStyle w:val="Heading30"/>
      </w:pPr>
      <w:bookmarkStart w:id="450" w:name="_Toc337546899"/>
      <w:r>
        <w:rPr>
          <w:lang w:val="en-AU"/>
        </w:rPr>
        <w:t xml:space="preserve">B.6.4 </w:t>
      </w:r>
      <w:r w:rsidR="002561B1">
        <w:t>Impact of screening on clinical management</w:t>
      </w:r>
      <w:bookmarkEnd w:id="450"/>
    </w:p>
    <w:p w:rsidR="00A826EF" w:rsidRDefault="00A826EF" w:rsidP="002561B1">
      <w:r>
        <w:t xml:space="preserve">The impact of screening on clinical management was documented in four cell filtration LBC trials only. </w:t>
      </w:r>
      <w:r w:rsidR="00AD7DAA">
        <w:t>Overall</w:t>
      </w:r>
      <w:r w:rsidR="009945E4">
        <w:t>,</w:t>
      </w:r>
      <w:r w:rsidR="00AD7DAA">
        <w:t xml:space="preserve"> three trials report</w:t>
      </w:r>
      <w:r w:rsidR="009945E4">
        <w:t>ed</w:t>
      </w:r>
      <w:r w:rsidR="00AD7DAA">
        <w:t xml:space="preserve"> no significant differences in clinical management between cell filtration LBC and </w:t>
      </w:r>
      <w:r w:rsidR="009945E4">
        <w:t>CC. Maccallini 2008</w:t>
      </w:r>
      <w:r w:rsidR="00AD7DAA">
        <w:t xml:space="preserve"> reported</w:t>
      </w:r>
      <w:r w:rsidR="009945E4">
        <w:t xml:space="preserve"> that</w:t>
      </w:r>
      <w:r w:rsidR="00AD7DAA">
        <w:t xml:space="preserve"> significantly more patients were referred for colposcopy after </w:t>
      </w:r>
      <w:r w:rsidR="009945E4">
        <w:t>CC</w:t>
      </w:r>
      <w:r w:rsidR="00AD7DAA">
        <w:t xml:space="preserve"> compared with cell filtration LBC although the rates of CIN</w:t>
      </w:r>
      <w:r w:rsidR="009945E4">
        <w:t xml:space="preserve"> </w:t>
      </w:r>
      <w:r w:rsidR="00AD7DAA">
        <w:t>2+ detection were no different between the arms.</w:t>
      </w:r>
    </w:p>
    <w:p w:rsidR="002561B1" w:rsidRDefault="002561B1" w:rsidP="002561B1">
      <w:r>
        <w:t>Ronco 2007</w:t>
      </w:r>
      <w:r w:rsidR="009945E4">
        <w:t>, reporting the</w:t>
      </w:r>
      <w:r>
        <w:t xml:space="preserve"> NTCC trial</w:t>
      </w:r>
      <w:r w:rsidR="009945E4">
        <w:t>,</w:t>
      </w:r>
      <w:r w:rsidR="00A712E4">
        <w:t xml:space="preserve"> quan</w:t>
      </w:r>
      <w:r w:rsidR="009945E4">
        <w:t>tifies</w:t>
      </w:r>
      <w:r w:rsidR="00A712E4">
        <w:t xml:space="preserve"> the number of colposcopies and biopsies performed for each arm of the trial. Refer</w:t>
      </w:r>
      <w:r w:rsidR="009945E4">
        <w:t>r</w:t>
      </w:r>
      <w:r w:rsidR="00A712E4">
        <w:t xml:space="preserve">als </w:t>
      </w:r>
      <w:r w:rsidR="009945E4">
        <w:t>were</w:t>
      </w:r>
      <w:r w:rsidR="00A712E4">
        <w:t xml:space="preserve"> </w:t>
      </w:r>
      <w:r w:rsidR="00A826EF">
        <w:t>also</w:t>
      </w:r>
      <w:r w:rsidR="009945E4">
        <w:t xml:space="preserve"> based on </w:t>
      </w:r>
      <w:r w:rsidR="00A712E4">
        <w:t>HPV testing result</w:t>
      </w:r>
      <w:r w:rsidR="009945E4">
        <w:t>s which were</w:t>
      </w:r>
      <w:r w:rsidR="00A712E4">
        <w:t xml:space="preserve"> only performed in the LBC arm. </w:t>
      </w:r>
      <w:r>
        <w:t>Among women attending for colposcopy</w:t>
      </w:r>
      <w:r w:rsidR="009945E4">
        <w:t>,</w:t>
      </w:r>
      <w:r>
        <w:t xml:space="preserve"> the mean number of colposcopies and mean number of biopsies in the </w:t>
      </w:r>
      <w:r w:rsidR="009945E4">
        <w:t>CC</w:t>
      </w:r>
      <w:r>
        <w:t xml:space="preserve"> arm were 1.33 (</w:t>
      </w:r>
      <w:r w:rsidR="007224EC">
        <w:t>standard deviation</w:t>
      </w:r>
      <w:r w:rsidR="00A826EF">
        <w:t xml:space="preserve"> </w:t>
      </w:r>
      <w:r w:rsidR="007224EC">
        <w:t>[</w:t>
      </w:r>
      <w:r>
        <w:t>SD</w:t>
      </w:r>
      <w:r w:rsidR="007224EC">
        <w:t>]</w:t>
      </w:r>
      <w:r>
        <w:t xml:space="preserve"> 0.53) and 0.76 (</w:t>
      </w:r>
      <w:r w:rsidR="00A826EF">
        <w:t xml:space="preserve">SD </w:t>
      </w:r>
      <w:r>
        <w:t xml:space="preserve">0.90) and in the </w:t>
      </w:r>
      <w:r w:rsidR="00A826EF">
        <w:t xml:space="preserve">cell filtration </w:t>
      </w:r>
      <w:r w:rsidR="008C42CB">
        <w:t>LBC</w:t>
      </w:r>
      <w:r>
        <w:t xml:space="preserve"> arm were 1.33 (</w:t>
      </w:r>
      <w:r w:rsidR="00A826EF">
        <w:t xml:space="preserve">SD </w:t>
      </w:r>
      <w:r>
        <w:t>0.52) and 0.74 (</w:t>
      </w:r>
      <w:r w:rsidR="00A826EF">
        <w:t xml:space="preserve">SD </w:t>
      </w:r>
      <w:r>
        <w:t>0.94).</w:t>
      </w:r>
      <w:r w:rsidR="001703A4">
        <w:t xml:space="preserve"> </w:t>
      </w:r>
      <w:r>
        <w:t>Colposcopists were not blinded to type of cytology, but the number of biopsies per woman undergoing c</w:t>
      </w:r>
      <w:r w:rsidR="009945E4">
        <w:t>olposcopy was similar in both</w:t>
      </w:r>
      <w:r>
        <w:t xml:space="preserve"> arms. Histology was independently reviewed, with reviewers blinded to trial arm and cytology result. </w:t>
      </w:r>
      <w:r w:rsidR="00A826EF">
        <w:t>Again</w:t>
      </w:r>
      <w:r w:rsidR="009945E4">
        <w:t>,</w:t>
      </w:r>
      <w:r w:rsidR="00A826EF">
        <w:t xml:space="preserve"> a similar proportion of women underwent a biopsy in the two arms.</w:t>
      </w:r>
    </w:p>
    <w:p w:rsidR="000B27AB" w:rsidRDefault="000B27AB" w:rsidP="000B27AB">
      <w:pPr>
        <w:pStyle w:val="Tablenotes"/>
        <w:spacing w:before="0" w:after="240" w:line="360" w:lineRule="auto"/>
        <w:rPr>
          <w:rFonts w:ascii="Californian FB" w:hAnsi="Californian FB"/>
          <w:sz w:val="22"/>
          <w:szCs w:val="24"/>
        </w:rPr>
      </w:pPr>
      <w:r>
        <w:rPr>
          <w:rFonts w:ascii="Californian FB" w:hAnsi="Californian FB"/>
          <w:sz w:val="22"/>
          <w:szCs w:val="24"/>
        </w:rPr>
        <w:t>Siebers</w:t>
      </w:r>
      <w:r w:rsidR="009945E4">
        <w:rPr>
          <w:rFonts w:ascii="Californian FB" w:hAnsi="Californian FB"/>
          <w:sz w:val="22"/>
          <w:szCs w:val="24"/>
        </w:rPr>
        <w:t xml:space="preserve"> 2009, reporting</w:t>
      </w:r>
      <w:r w:rsidR="00A826EF">
        <w:rPr>
          <w:rFonts w:ascii="Californian FB" w:hAnsi="Californian FB"/>
          <w:sz w:val="22"/>
          <w:szCs w:val="24"/>
        </w:rPr>
        <w:t xml:space="preserve"> the NETHCON trial</w:t>
      </w:r>
      <w:r w:rsidR="009945E4">
        <w:rPr>
          <w:rFonts w:ascii="Californian FB" w:hAnsi="Californian FB"/>
          <w:sz w:val="22"/>
          <w:szCs w:val="24"/>
        </w:rPr>
        <w:t>,</w:t>
      </w:r>
      <w:r w:rsidR="00A826EF">
        <w:rPr>
          <w:rFonts w:ascii="Californian FB" w:hAnsi="Californian FB"/>
          <w:sz w:val="22"/>
          <w:szCs w:val="24"/>
        </w:rPr>
        <w:t xml:space="preserve"> </w:t>
      </w:r>
      <w:r w:rsidR="009945E4">
        <w:rPr>
          <w:rFonts w:ascii="Californian FB" w:hAnsi="Californian FB"/>
          <w:sz w:val="22"/>
          <w:szCs w:val="24"/>
        </w:rPr>
        <w:t>reported</w:t>
      </w:r>
      <w:r>
        <w:rPr>
          <w:rFonts w:ascii="Californian FB" w:hAnsi="Californian FB"/>
          <w:sz w:val="22"/>
          <w:szCs w:val="24"/>
        </w:rPr>
        <w:t xml:space="preserve"> </w:t>
      </w:r>
      <w:r w:rsidR="009945E4">
        <w:rPr>
          <w:rFonts w:ascii="Californian FB" w:hAnsi="Californian FB"/>
          <w:sz w:val="22"/>
          <w:szCs w:val="24"/>
        </w:rPr>
        <w:t>the proportion of women who</w:t>
      </w:r>
      <w:r w:rsidR="00AD7DAA">
        <w:rPr>
          <w:rFonts w:ascii="Californian FB" w:hAnsi="Californian FB"/>
          <w:sz w:val="22"/>
          <w:szCs w:val="24"/>
        </w:rPr>
        <w:t xml:space="preserve"> underwent repeat cytology due to an ASCUS or LSIL cytological abnormality in the initial screen. Across both arms of the trial approximately 71% of women were followed up cytol</w:t>
      </w:r>
      <w:r w:rsidR="009945E4">
        <w:rPr>
          <w:rFonts w:ascii="Californian FB" w:hAnsi="Californian FB"/>
          <w:sz w:val="22"/>
          <w:szCs w:val="24"/>
        </w:rPr>
        <w:t>ogically and six women</w:t>
      </w:r>
      <w:r w:rsidR="00AD7DAA">
        <w:rPr>
          <w:rFonts w:ascii="Californian FB" w:hAnsi="Californian FB"/>
          <w:sz w:val="22"/>
          <w:szCs w:val="24"/>
        </w:rPr>
        <w:t xml:space="preserve"> </w:t>
      </w:r>
      <w:r w:rsidR="00AD7DAA" w:rsidRPr="00903FDB">
        <w:rPr>
          <w:rFonts w:ascii="Californian FB" w:hAnsi="Californian FB"/>
          <w:sz w:val="22"/>
          <w:szCs w:val="24"/>
        </w:rPr>
        <w:t>had only colposcopy</w:t>
      </w:r>
      <w:r w:rsidR="009945E4">
        <w:rPr>
          <w:rFonts w:ascii="Californian FB" w:hAnsi="Californian FB"/>
          <w:sz w:val="22"/>
          <w:szCs w:val="24"/>
        </w:rPr>
        <w:t xml:space="preserve"> (P</w:t>
      </w:r>
      <w:r w:rsidR="00B21043">
        <w:rPr>
          <w:rFonts w:ascii="Californian FB" w:hAnsi="Californian FB"/>
          <w:sz w:val="22"/>
          <w:szCs w:val="24"/>
        </w:rPr>
        <w:t xml:space="preserve">=0.343). For those with </w:t>
      </w:r>
      <w:r w:rsidR="00AD7DAA">
        <w:rPr>
          <w:rFonts w:ascii="Californian FB" w:hAnsi="Californian FB"/>
          <w:sz w:val="22"/>
          <w:szCs w:val="24"/>
        </w:rPr>
        <w:t>HSIL cytological abnormality</w:t>
      </w:r>
      <w:r w:rsidR="00B21043">
        <w:rPr>
          <w:rFonts w:ascii="Californian FB" w:hAnsi="Californian FB"/>
          <w:sz w:val="22"/>
          <w:szCs w:val="24"/>
        </w:rPr>
        <w:t>,</w:t>
      </w:r>
      <w:r w:rsidR="00AD7DAA">
        <w:rPr>
          <w:rFonts w:ascii="Californian FB" w:hAnsi="Californian FB"/>
          <w:sz w:val="22"/>
          <w:szCs w:val="24"/>
        </w:rPr>
        <w:t xml:space="preserve"> </w:t>
      </w:r>
      <w:r>
        <w:rPr>
          <w:rFonts w:ascii="Californian FB" w:hAnsi="Californian FB"/>
          <w:sz w:val="22"/>
          <w:szCs w:val="24"/>
        </w:rPr>
        <w:t>h</w:t>
      </w:r>
      <w:r w:rsidRPr="00903FDB">
        <w:rPr>
          <w:rFonts w:ascii="Californian FB" w:hAnsi="Californian FB"/>
          <w:sz w:val="22"/>
          <w:szCs w:val="24"/>
        </w:rPr>
        <w:t>istology was performed</w:t>
      </w:r>
      <w:r w:rsidR="00AD7DAA">
        <w:rPr>
          <w:rFonts w:ascii="Californian FB" w:hAnsi="Californian FB"/>
          <w:sz w:val="22"/>
          <w:szCs w:val="24"/>
        </w:rPr>
        <w:t xml:space="preserve"> across both arms of the trial</w:t>
      </w:r>
      <w:r w:rsidRPr="00903FDB">
        <w:rPr>
          <w:rFonts w:ascii="Californian FB" w:hAnsi="Californian FB"/>
          <w:sz w:val="22"/>
          <w:szCs w:val="24"/>
        </w:rPr>
        <w:t xml:space="preserve"> in</w:t>
      </w:r>
      <w:r>
        <w:rPr>
          <w:rFonts w:ascii="Californian FB" w:hAnsi="Californian FB"/>
          <w:sz w:val="22"/>
          <w:szCs w:val="24"/>
        </w:rPr>
        <w:t xml:space="preserve"> </w:t>
      </w:r>
      <w:r w:rsidR="00AD7DAA">
        <w:rPr>
          <w:rFonts w:ascii="Californian FB" w:hAnsi="Californian FB"/>
          <w:sz w:val="22"/>
          <w:szCs w:val="24"/>
        </w:rPr>
        <w:t>over 90%</w:t>
      </w:r>
      <w:r w:rsidRPr="00903FDB">
        <w:rPr>
          <w:rFonts w:ascii="Californian FB" w:hAnsi="Californian FB"/>
          <w:sz w:val="22"/>
          <w:szCs w:val="24"/>
        </w:rPr>
        <w:t xml:space="preserve"> of the cases</w:t>
      </w:r>
      <w:r w:rsidR="009945E4">
        <w:rPr>
          <w:rFonts w:ascii="Californian FB" w:hAnsi="Californian FB"/>
          <w:sz w:val="22"/>
          <w:szCs w:val="24"/>
        </w:rPr>
        <w:t xml:space="preserve"> (P</w:t>
      </w:r>
      <w:r w:rsidR="00AD7DAA">
        <w:rPr>
          <w:rFonts w:ascii="Californian FB" w:hAnsi="Californian FB"/>
          <w:sz w:val="22"/>
          <w:szCs w:val="24"/>
        </w:rPr>
        <w:t>=0.145)</w:t>
      </w:r>
      <w:r w:rsidRPr="00903FDB">
        <w:rPr>
          <w:rFonts w:ascii="Californian FB" w:hAnsi="Californian FB"/>
          <w:sz w:val="22"/>
          <w:szCs w:val="24"/>
        </w:rPr>
        <w:t xml:space="preserve">. </w:t>
      </w:r>
    </w:p>
    <w:p w:rsidR="00AF5D38" w:rsidRDefault="00AF5D38" w:rsidP="00AF5D38">
      <w:r>
        <w:t>Strander</w:t>
      </w:r>
      <w:r w:rsidR="009945E4">
        <w:t xml:space="preserve"> 2007</w:t>
      </w:r>
      <w:r>
        <w:t xml:space="preserve"> </w:t>
      </w:r>
      <w:r w:rsidR="00B21043">
        <w:t>reported</w:t>
      </w:r>
      <w:r w:rsidR="00AD7DAA">
        <w:t xml:space="preserve"> that t</w:t>
      </w:r>
      <w:r w:rsidR="00B21043">
        <w:t>here were</w:t>
      </w:r>
      <w:r>
        <w:t xml:space="preserve"> no significant difference</w:t>
      </w:r>
      <w:r w:rsidR="00B21043">
        <w:t>s</w:t>
      </w:r>
      <w:r>
        <w:t xml:space="preserve"> in the proportion of smears that were</w:t>
      </w:r>
      <w:r w:rsidR="009945E4">
        <w:t xml:space="preserve"> followed with histopathology (P</w:t>
      </w:r>
      <w:r>
        <w:t xml:space="preserve">=0.71). </w:t>
      </w:r>
    </w:p>
    <w:p w:rsidR="00DD17C8" w:rsidRDefault="001703A4" w:rsidP="00DD17C8">
      <w:r>
        <w:t xml:space="preserve">In </w:t>
      </w:r>
      <w:r w:rsidR="00E30CD7">
        <w:t>Mac</w:t>
      </w:r>
      <w:r w:rsidR="007224EC">
        <w:t>c</w:t>
      </w:r>
      <w:r w:rsidR="00E30CD7">
        <w:t xml:space="preserve">allini </w:t>
      </w:r>
      <w:r w:rsidR="009945E4">
        <w:t>2008</w:t>
      </w:r>
      <w:r w:rsidR="00B21043">
        <w:t>,</w:t>
      </w:r>
      <w:r>
        <w:t xml:space="preserve"> </w:t>
      </w:r>
      <w:r w:rsidR="00AD7DAA">
        <w:t>ASCUS+AGUS reports we</w:t>
      </w:r>
      <w:r w:rsidR="00E30CD7">
        <w:t xml:space="preserve">re more frequent </w:t>
      </w:r>
      <w:r>
        <w:t xml:space="preserve">with </w:t>
      </w:r>
      <w:r w:rsidR="009945E4">
        <w:t>CC</w:t>
      </w:r>
      <w:r w:rsidR="00E30CD7">
        <w:t xml:space="preserve"> as compared to </w:t>
      </w:r>
      <w:r w:rsidR="00AD7DAA">
        <w:t xml:space="preserve">cell filtration </w:t>
      </w:r>
      <w:r w:rsidR="00E30CD7">
        <w:t>LBC, and this caused a higher referral rate</w:t>
      </w:r>
      <w:r w:rsidR="00AD7DAA">
        <w:t xml:space="preserve"> </w:t>
      </w:r>
      <w:r w:rsidR="004C112A">
        <w:t xml:space="preserve">for </w:t>
      </w:r>
      <w:r w:rsidR="00AD7DAA">
        <w:t>colposcopy</w:t>
      </w:r>
      <w:r w:rsidR="00E30CD7">
        <w:t xml:space="preserve"> in the </w:t>
      </w:r>
      <w:r w:rsidR="009945E4">
        <w:t xml:space="preserve">CC </w:t>
      </w:r>
      <w:r w:rsidR="00E30CD7">
        <w:t>arm (5.0% vs</w:t>
      </w:r>
      <w:r w:rsidR="009945E4">
        <w:t>.</w:t>
      </w:r>
      <w:r w:rsidR="00E30CD7">
        <w:t xml:space="preserve"> 4.1%, </w:t>
      </w:r>
      <w:r w:rsidR="009945E4">
        <w:t>P</w:t>
      </w:r>
      <w:r w:rsidR="00E30CD7">
        <w:t>=0.04).</w:t>
      </w:r>
      <w:r w:rsidR="00AF5D38">
        <w:t>The CIN</w:t>
      </w:r>
      <w:r w:rsidR="00B21043">
        <w:t xml:space="preserve"> </w:t>
      </w:r>
      <w:r w:rsidR="00AF5D38">
        <w:t xml:space="preserve">2+detection rate was not </w:t>
      </w:r>
      <w:r w:rsidR="00B21043">
        <w:t>statistically different in both</w:t>
      </w:r>
      <w:r w:rsidR="00AF5D38">
        <w:t xml:space="preserve"> arms (</w:t>
      </w:r>
      <w:r w:rsidR="009945E4">
        <w:t>CC</w:t>
      </w:r>
      <w:r w:rsidR="00AF5D38">
        <w:t xml:space="preserve">=0.54%, cell filtration LBC=0.66%, </w:t>
      </w:r>
      <w:r w:rsidR="009945E4">
        <w:t>P</w:t>
      </w:r>
      <w:r w:rsidR="00AF5D38">
        <w:t xml:space="preserve">=0.45), despite the higher referral for colposcopy in the </w:t>
      </w:r>
      <w:r w:rsidR="009945E4">
        <w:t>CC</w:t>
      </w:r>
      <w:r w:rsidR="00AF5D38">
        <w:t xml:space="preserve"> arm</w:t>
      </w:r>
      <w:r w:rsidR="00D43B53">
        <w:t>.</w:t>
      </w:r>
    </w:p>
    <w:p w:rsidR="008E43AB" w:rsidRPr="008E43AB" w:rsidRDefault="008E43AB" w:rsidP="008E43AB">
      <w:pPr>
        <w:pStyle w:val="Heading30"/>
      </w:pPr>
      <w:bookmarkStart w:id="451" w:name="_Toc337546900"/>
      <w:r>
        <w:t>B.6.</w:t>
      </w:r>
      <w:r w:rsidR="007602AE">
        <w:rPr>
          <w:lang w:val="en-AU"/>
        </w:rPr>
        <w:t>5</w:t>
      </w:r>
      <w:r w:rsidRPr="00274021">
        <w:tab/>
      </w:r>
      <w:r w:rsidR="009945E4">
        <w:t>Secondary comparison automated versus m</w:t>
      </w:r>
      <w:r>
        <w:t>anual reading of slides</w:t>
      </w:r>
      <w:bookmarkEnd w:id="451"/>
      <w:r>
        <w:t xml:space="preserve"> </w:t>
      </w:r>
    </w:p>
    <w:p w:rsidR="008E43AB" w:rsidRDefault="008E43AB" w:rsidP="008E43AB">
      <w:r w:rsidRPr="00BA4EBB">
        <w:t xml:space="preserve">No studies were identified that assessed the impact of LBC with manual or automated slide reading on the incidence of invasive cervical cancer or consequent mortality rates compared to </w:t>
      </w:r>
      <w:r w:rsidRPr="00BA4EBB">
        <w:lastRenderedPageBreak/>
        <w:t>conventional cytology. The evidence</w:t>
      </w:r>
      <w:r>
        <w:t xml:space="preserve"> that is available is </w:t>
      </w:r>
      <w:r w:rsidRPr="00BA4EBB">
        <w:t>the relative accuracy of manual or automated LBC for detecting precancerous cervical lesions.</w:t>
      </w:r>
      <w:r>
        <w:t xml:space="preserve"> </w:t>
      </w:r>
    </w:p>
    <w:p w:rsidR="008E43AB" w:rsidRPr="009945E4" w:rsidRDefault="008E43AB" w:rsidP="008E43AB">
      <w:pPr>
        <w:pStyle w:val="Heading40"/>
      </w:pPr>
      <w:r>
        <w:t>Kitch</w:t>
      </w:r>
      <w:r w:rsidR="009945E4">
        <w:t>ener 2011</w:t>
      </w:r>
    </w:p>
    <w:p w:rsidR="008E43AB" w:rsidRDefault="008E43AB" w:rsidP="008E43AB">
      <w:r>
        <w:t>The Manual Asses</w:t>
      </w:r>
      <w:r w:rsidR="00D43B53">
        <w:t>sment Versus Automated Reading i</w:t>
      </w:r>
      <w:r>
        <w:t>n Cytology (MAVARIC) trial compared the accuracy of the two techniques for the detection of underlying disease.</w:t>
      </w:r>
      <w:r w:rsidRPr="00463AB8">
        <w:t xml:space="preserve"> </w:t>
      </w:r>
      <w:r>
        <w:t>Women aged 25–64 years undergoing routine screenin</w:t>
      </w:r>
      <w:r w:rsidR="006577BA">
        <w:t xml:space="preserve">g or who had been referred for  conventional </w:t>
      </w:r>
      <w:r w:rsidR="00743935">
        <w:t>Pap</w:t>
      </w:r>
      <w:r>
        <w:t xml:space="preserve"> </w:t>
      </w:r>
      <w:r w:rsidR="004D5A34">
        <w:t>smear</w:t>
      </w:r>
      <w:r>
        <w:t xml:space="preserve"> or colposcopy following a recent cervical abnormality in Manchester, UK, were randomly assigned (1:2) to receive either manual reading only or paired reading (automation</w:t>
      </w:r>
      <w:r w:rsidR="00127975">
        <w:t xml:space="preserve"> </w:t>
      </w:r>
      <w:r>
        <w:t xml:space="preserve">assisted  reading and manual reading), between </w:t>
      </w:r>
      <w:r w:rsidR="007224EC">
        <w:t>1 March</w:t>
      </w:r>
      <w:r>
        <w:t xml:space="preserve"> 2006, and </w:t>
      </w:r>
      <w:r w:rsidR="007224EC">
        <w:t>28 February</w:t>
      </w:r>
      <w:r>
        <w:t xml:space="preserve"> 2009. In the paired arm, two automated systems were used—the ThinPrep Imaging System and the FocalPoint GS Imaging System. </w:t>
      </w:r>
    </w:p>
    <w:p w:rsidR="008E43AB" w:rsidRDefault="008E43AB" w:rsidP="008E43AB">
      <w:r>
        <w:t xml:space="preserve">General practices and community clinics were randomised to either ThinPrep or to SurePath (for the FocalPoint system) </w:t>
      </w:r>
      <w:r w:rsidR="00743935">
        <w:t>LBC</w:t>
      </w:r>
      <w:r>
        <w:t xml:space="preserve"> with block randomisation stratified by deprivation index.</w:t>
      </w:r>
    </w:p>
    <w:p w:rsidR="008E43AB" w:rsidRDefault="008E43AB" w:rsidP="008E43AB">
      <w:r>
        <w:t>Samples were then individually randomised to manual reading only or paired reading only</w:t>
      </w:r>
      <w:r w:rsidR="00127975">
        <w:t xml:space="preserve"> at a single laboratory</w:t>
      </w:r>
      <w:r>
        <w:t xml:space="preserve">. Laboratory staff </w:t>
      </w:r>
      <w:r w:rsidR="00D43B53">
        <w:t xml:space="preserve">members </w:t>
      </w:r>
      <w:r>
        <w:t xml:space="preserve">were unaware of the allocation of each slide and concealment was maintained until the end of the reporting process. </w:t>
      </w:r>
    </w:p>
    <w:p w:rsidR="00D47BB4" w:rsidRDefault="008E43AB" w:rsidP="008E43AB">
      <w:r>
        <w:t xml:space="preserve">Manual screening (in both arms) was done according to routine laboratory protocols. In the paired arm, automated reading was undertaken first, followed by the manual read. </w:t>
      </w:r>
    </w:p>
    <w:p w:rsidR="008E43AB" w:rsidRDefault="008E43AB" w:rsidP="008E43AB">
      <w:r>
        <w:t>High</w:t>
      </w:r>
      <w:r w:rsidR="009945E4">
        <w:t xml:space="preserve"> </w:t>
      </w:r>
      <w:r>
        <w:t xml:space="preserve">grade cytological abnormality prompted referral to colposcopy, </w:t>
      </w:r>
      <w:r w:rsidRPr="00827512">
        <w:rPr>
          <w:b/>
        </w:rPr>
        <w:t xml:space="preserve">and low-grade abnormalities </w:t>
      </w:r>
      <w:r w:rsidR="00D47BB4" w:rsidRPr="00827512">
        <w:rPr>
          <w:b/>
        </w:rPr>
        <w:t xml:space="preserve">(borderline/ASCUS and mild dyskaryosis/LSIL) </w:t>
      </w:r>
      <w:r w:rsidRPr="00827512">
        <w:rPr>
          <w:b/>
        </w:rPr>
        <w:t xml:space="preserve">were triaged by </w:t>
      </w:r>
      <w:r w:rsidR="007224EC" w:rsidRPr="00827512">
        <w:rPr>
          <w:b/>
        </w:rPr>
        <w:t>human papillomavirus (</w:t>
      </w:r>
      <w:r w:rsidRPr="00827512">
        <w:rPr>
          <w:b/>
        </w:rPr>
        <w:t>HPV</w:t>
      </w:r>
      <w:r w:rsidR="007224EC" w:rsidRPr="00827512">
        <w:rPr>
          <w:b/>
        </w:rPr>
        <w:t>)</w:t>
      </w:r>
      <w:r w:rsidRPr="00827512">
        <w:rPr>
          <w:b/>
        </w:rPr>
        <w:t xml:space="preserve"> testing, with HPV-positive cases referred to colposcopy</w:t>
      </w:r>
      <w:r>
        <w:t>. Women with negative cytology and those with HPV-negative low-grade abnormalities were returned to routine recall. The reference standard was histopathology obtained at colposcopy from either a colposcopically directed punch biopsy or loop excision. Abnormalities were examined by specialist gynaecological pathologists who were blinded to the arm of the study.</w:t>
      </w:r>
    </w:p>
    <w:p w:rsidR="008E43AB" w:rsidRDefault="008E43AB" w:rsidP="008E43AB">
      <w:r>
        <w:t xml:space="preserve">The primary outcome was sensitivity of automation-assisted reading relative to manual reading for the detection of underlying </w:t>
      </w:r>
      <w:r w:rsidR="001B4D68">
        <w:t>CIN</w:t>
      </w:r>
      <w:r>
        <w:t xml:space="preserve"> grade 2 or worse (CIN</w:t>
      </w:r>
      <w:r w:rsidR="009945E4">
        <w:t xml:space="preserve"> </w:t>
      </w:r>
      <w:r>
        <w:t xml:space="preserve">2+) in the paired arm. </w:t>
      </w:r>
    </w:p>
    <w:p w:rsidR="008E43AB" w:rsidRPr="00127975" w:rsidRDefault="00127975" w:rsidP="009945E4">
      <w:pPr>
        <w:pStyle w:val="Heading50"/>
      </w:pPr>
      <w:r w:rsidRPr="00127975">
        <w:t>Results</w:t>
      </w:r>
    </w:p>
    <w:p w:rsidR="008E43AB" w:rsidRDefault="0054583C" w:rsidP="008E43AB">
      <w:r>
        <w:t>There were 73,</w:t>
      </w:r>
      <w:r w:rsidR="00743935">
        <w:t>266 LBC</w:t>
      </w:r>
      <w:r w:rsidR="008519DA">
        <w:t xml:space="preserve"> </w:t>
      </w:r>
      <w:r>
        <w:t xml:space="preserve">samples </w:t>
      </w:r>
      <w:r w:rsidR="008E43AB">
        <w:t>obtained from women undergoing</w:t>
      </w:r>
      <w:r w:rsidR="009945E4">
        <w:t xml:space="preserve"> primary cervical screening; 24,</w:t>
      </w:r>
      <w:r w:rsidR="008E43AB">
        <w:t>688 allocate</w:t>
      </w:r>
      <w:r w:rsidR="009945E4">
        <w:t>d to the manual-only arm and 48,</w:t>
      </w:r>
      <w:r w:rsidR="008E43AB">
        <w:t xml:space="preserve">578 to the paired-reading arm. Most of the samples (82.5%) were derived from routine cervical screening, 10.6% were repeat samples </w:t>
      </w:r>
      <w:r w:rsidR="008E43AB">
        <w:lastRenderedPageBreak/>
        <w:t>requested following a low-grade cytological abnormality and 6.2% were taken at a colposcopy clinic where there had not been a prior study sample from that woman (</w:t>
      </w:r>
      <w:r w:rsidR="00086C77">
        <w:fldChar w:fldCharType="begin"/>
      </w:r>
      <w:r w:rsidR="008E43AB">
        <w:instrText xml:space="preserve"> REF _Ref330986615 \h </w:instrText>
      </w:r>
      <w:r w:rsidR="00086C77">
        <w:fldChar w:fldCharType="separate"/>
      </w:r>
      <w:r w:rsidR="003361A8">
        <w:t xml:space="preserve">Table </w:t>
      </w:r>
      <w:r w:rsidR="003361A8">
        <w:rPr>
          <w:noProof/>
        </w:rPr>
        <w:t>66</w:t>
      </w:r>
      <w:r w:rsidR="00086C77">
        <w:fldChar w:fldCharType="end"/>
      </w:r>
      <w:r w:rsidR="008E43AB">
        <w:t xml:space="preserve">). </w:t>
      </w:r>
    </w:p>
    <w:p w:rsidR="008E43AB" w:rsidRDefault="008E43AB" w:rsidP="008E43AB">
      <w:pPr>
        <w:pStyle w:val="Caption"/>
      </w:pPr>
      <w:bookmarkStart w:id="452" w:name="_Ref330986615"/>
      <w:bookmarkStart w:id="453" w:name="_Toc331766504"/>
      <w:bookmarkStart w:id="454" w:name="_Toc335666038"/>
      <w:bookmarkStart w:id="455" w:name="_Toc337547003"/>
      <w:r>
        <w:t xml:space="preserve">Table </w:t>
      </w:r>
      <w:fldSimple w:instr=" SEQ Table \* ARABIC ">
        <w:r w:rsidR="003361A8">
          <w:rPr>
            <w:noProof/>
          </w:rPr>
          <w:t>66</w:t>
        </w:r>
      </w:fldSimple>
      <w:bookmarkEnd w:id="452"/>
      <w:r>
        <w:tab/>
        <w:t>Source of the randomised samples</w:t>
      </w:r>
      <w:bookmarkEnd w:id="453"/>
      <w:bookmarkEnd w:id="454"/>
      <w:bookmarkEnd w:id="45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1"/>
        <w:gridCol w:w="1417"/>
        <w:gridCol w:w="1298"/>
        <w:gridCol w:w="1289"/>
        <w:gridCol w:w="1183"/>
        <w:gridCol w:w="1383"/>
      </w:tblGrid>
      <w:tr w:rsidR="00127975" w:rsidRPr="00EE2D08" w:rsidTr="00D43B53">
        <w:tc>
          <w:tcPr>
            <w:tcW w:w="1305" w:type="pct"/>
          </w:tcPr>
          <w:p w:rsidR="00127975" w:rsidRDefault="00127975" w:rsidP="00AD51F5">
            <w:pPr>
              <w:pStyle w:val="Tabletext"/>
            </w:pPr>
          </w:p>
        </w:tc>
        <w:tc>
          <w:tcPr>
            <w:tcW w:w="1527" w:type="pct"/>
            <w:gridSpan w:val="2"/>
          </w:tcPr>
          <w:p w:rsidR="00127975" w:rsidRPr="00127975" w:rsidRDefault="008519DA" w:rsidP="00AD51F5">
            <w:pPr>
              <w:pStyle w:val="Tabletext"/>
              <w:rPr>
                <w:b/>
              </w:rPr>
            </w:pPr>
            <w:r>
              <w:rPr>
                <w:b/>
              </w:rPr>
              <w:t>Cell Enrichment</w:t>
            </w:r>
            <w:r w:rsidR="00127975" w:rsidRPr="00127975">
              <w:rPr>
                <w:b/>
              </w:rPr>
              <w:t xml:space="preserve"> </w:t>
            </w:r>
            <w:r>
              <w:rPr>
                <w:b/>
              </w:rPr>
              <w:t>(</w:t>
            </w:r>
            <w:r w:rsidR="00127975" w:rsidRPr="00127975">
              <w:rPr>
                <w:b/>
              </w:rPr>
              <w:t>SurePath</w:t>
            </w:r>
            <w:r>
              <w:rPr>
                <w:b/>
              </w:rPr>
              <w:t>)</w:t>
            </w:r>
          </w:p>
        </w:tc>
        <w:tc>
          <w:tcPr>
            <w:tcW w:w="1390" w:type="pct"/>
            <w:gridSpan w:val="2"/>
          </w:tcPr>
          <w:p w:rsidR="00127975" w:rsidRPr="00127975" w:rsidRDefault="008519DA" w:rsidP="008519DA">
            <w:pPr>
              <w:pStyle w:val="Tabletext"/>
              <w:rPr>
                <w:b/>
              </w:rPr>
            </w:pPr>
            <w:r>
              <w:rPr>
                <w:b/>
              </w:rPr>
              <w:t>Cell Filtration</w:t>
            </w:r>
            <w:r w:rsidRPr="00127975">
              <w:rPr>
                <w:b/>
              </w:rPr>
              <w:t xml:space="preserve"> </w:t>
            </w:r>
            <w:r>
              <w:rPr>
                <w:b/>
              </w:rPr>
              <w:t>(</w:t>
            </w:r>
            <w:r w:rsidR="00127975" w:rsidRPr="00127975">
              <w:rPr>
                <w:b/>
              </w:rPr>
              <w:t>ThinPrep</w:t>
            </w:r>
            <w:r>
              <w:rPr>
                <w:b/>
              </w:rPr>
              <w:t>)</w:t>
            </w:r>
          </w:p>
        </w:tc>
        <w:tc>
          <w:tcPr>
            <w:tcW w:w="778" w:type="pct"/>
            <w:vMerge w:val="restart"/>
          </w:tcPr>
          <w:p w:rsidR="00127975" w:rsidRPr="00127975" w:rsidRDefault="00127975" w:rsidP="00AD51F5">
            <w:pPr>
              <w:pStyle w:val="Tabletext"/>
              <w:rPr>
                <w:b/>
              </w:rPr>
            </w:pPr>
            <w:r w:rsidRPr="00127975">
              <w:rPr>
                <w:b/>
              </w:rPr>
              <w:t>Total (%)</w:t>
            </w:r>
          </w:p>
        </w:tc>
      </w:tr>
      <w:tr w:rsidR="00127975" w:rsidRPr="00EE2D08" w:rsidTr="00D43B53">
        <w:tc>
          <w:tcPr>
            <w:tcW w:w="1305" w:type="pct"/>
          </w:tcPr>
          <w:p w:rsidR="00127975" w:rsidRDefault="00127975" w:rsidP="00AD51F5">
            <w:pPr>
              <w:pStyle w:val="Tabletext"/>
            </w:pPr>
          </w:p>
        </w:tc>
        <w:tc>
          <w:tcPr>
            <w:tcW w:w="797" w:type="pct"/>
          </w:tcPr>
          <w:p w:rsidR="00127975" w:rsidRDefault="00127975" w:rsidP="00AD51F5">
            <w:pPr>
              <w:pStyle w:val="Tabletext"/>
            </w:pPr>
            <w:r>
              <w:t>Manual</w:t>
            </w:r>
          </w:p>
        </w:tc>
        <w:tc>
          <w:tcPr>
            <w:tcW w:w="730" w:type="pct"/>
          </w:tcPr>
          <w:p w:rsidR="00127975" w:rsidRDefault="00127975" w:rsidP="00AD51F5">
            <w:pPr>
              <w:pStyle w:val="Tabletext"/>
            </w:pPr>
            <w:r>
              <w:t>Paired</w:t>
            </w:r>
          </w:p>
        </w:tc>
        <w:tc>
          <w:tcPr>
            <w:tcW w:w="725" w:type="pct"/>
          </w:tcPr>
          <w:p w:rsidR="00127975" w:rsidRDefault="00127975" w:rsidP="00AD51F5">
            <w:pPr>
              <w:pStyle w:val="Tabletext"/>
            </w:pPr>
            <w:r>
              <w:t>Manual</w:t>
            </w:r>
          </w:p>
        </w:tc>
        <w:tc>
          <w:tcPr>
            <w:tcW w:w="665" w:type="pct"/>
          </w:tcPr>
          <w:p w:rsidR="00127975" w:rsidRDefault="00127975" w:rsidP="00AD51F5">
            <w:pPr>
              <w:pStyle w:val="Tabletext"/>
            </w:pPr>
            <w:r>
              <w:t>Paired</w:t>
            </w:r>
          </w:p>
        </w:tc>
        <w:tc>
          <w:tcPr>
            <w:tcW w:w="778" w:type="pct"/>
            <w:vMerge/>
          </w:tcPr>
          <w:p w:rsidR="00127975" w:rsidRDefault="00127975" w:rsidP="00AD51F5">
            <w:pPr>
              <w:pStyle w:val="Tabletext"/>
            </w:pPr>
          </w:p>
        </w:tc>
      </w:tr>
      <w:tr w:rsidR="00127975" w:rsidRPr="00EE2D08" w:rsidTr="00D43B53">
        <w:tc>
          <w:tcPr>
            <w:tcW w:w="1305" w:type="pct"/>
          </w:tcPr>
          <w:p w:rsidR="00127975" w:rsidRDefault="00127975" w:rsidP="00AD51F5">
            <w:pPr>
              <w:pStyle w:val="Tabletext"/>
            </w:pPr>
            <w:r>
              <w:t>Routine</w:t>
            </w:r>
            <w:r w:rsidRPr="00EE2D08">
              <w:rPr>
                <w:vertAlign w:val="superscript"/>
              </w:rPr>
              <w:t>a</w:t>
            </w:r>
          </w:p>
        </w:tc>
        <w:tc>
          <w:tcPr>
            <w:tcW w:w="797" w:type="pct"/>
          </w:tcPr>
          <w:p w:rsidR="00127975" w:rsidRPr="00C812CB" w:rsidRDefault="00127975" w:rsidP="00127975">
            <w:pPr>
              <w:pStyle w:val="Tabletext"/>
            </w:pPr>
            <w:r w:rsidRPr="00C812CB">
              <w:t xml:space="preserve">9765 </w:t>
            </w:r>
          </w:p>
        </w:tc>
        <w:tc>
          <w:tcPr>
            <w:tcW w:w="730" w:type="pct"/>
          </w:tcPr>
          <w:p w:rsidR="00127975" w:rsidRPr="00C812CB" w:rsidRDefault="00127975" w:rsidP="00127975">
            <w:pPr>
              <w:pStyle w:val="Tabletext"/>
            </w:pPr>
            <w:r>
              <w:t>19</w:t>
            </w:r>
            <w:r w:rsidRPr="00C812CB">
              <w:t>331</w:t>
            </w:r>
          </w:p>
        </w:tc>
        <w:tc>
          <w:tcPr>
            <w:tcW w:w="725" w:type="pct"/>
          </w:tcPr>
          <w:p w:rsidR="00127975" w:rsidRPr="00C812CB" w:rsidRDefault="00127975" w:rsidP="00127975">
            <w:pPr>
              <w:pStyle w:val="Tabletext"/>
            </w:pPr>
            <w:r>
              <w:t>10</w:t>
            </w:r>
            <w:r w:rsidRPr="00C812CB">
              <w:t>207</w:t>
            </w:r>
          </w:p>
        </w:tc>
        <w:tc>
          <w:tcPr>
            <w:tcW w:w="665" w:type="pct"/>
          </w:tcPr>
          <w:p w:rsidR="00127975" w:rsidRPr="00C812CB" w:rsidRDefault="00127975" w:rsidP="00127975">
            <w:pPr>
              <w:pStyle w:val="Tabletext"/>
            </w:pPr>
            <w:r>
              <w:t>20</w:t>
            </w:r>
            <w:r w:rsidRPr="00C812CB">
              <w:t xml:space="preserve">799 </w:t>
            </w:r>
          </w:p>
        </w:tc>
        <w:tc>
          <w:tcPr>
            <w:tcW w:w="778" w:type="pct"/>
          </w:tcPr>
          <w:p w:rsidR="00127975" w:rsidRPr="00C812CB" w:rsidRDefault="00127975" w:rsidP="00AD51F5">
            <w:pPr>
              <w:pStyle w:val="Tabletext"/>
            </w:pPr>
            <w:r>
              <w:t>60</w:t>
            </w:r>
            <w:r w:rsidRPr="00C812CB">
              <w:t xml:space="preserve">102 </w:t>
            </w:r>
            <w:r>
              <w:t>(</w:t>
            </w:r>
            <w:r w:rsidRPr="00C812CB">
              <w:t>82.5</w:t>
            </w:r>
            <w:r>
              <w:t>)</w:t>
            </w:r>
          </w:p>
        </w:tc>
      </w:tr>
      <w:tr w:rsidR="00127975" w:rsidRPr="00EE2D08" w:rsidTr="00D43B53">
        <w:tc>
          <w:tcPr>
            <w:tcW w:w="1305" w:type="pct"/>
          </w:tcPr>
          <w:p w:rsidR="00127975" w:rsidRDefault="00DC5888" w:rsidP="00AD51F5">
            <w:pPr>
              <w:pStyle w:val="Tabletext"/>
            </w:pPr>
            <w:r>
              <w:t xml:space="preserve">Other/colposcopic </w:t>
            </w:r>
            <w:r w:rsidR="00127975">
              <w:t>clinic</w:t>
            </w:r>
            <w:r w:rsidR="00127975" w:rsidRPr="00EE2D08">
              <w:rPr>
                <w:vertAlign w:val="superscript"/>
              </w:rPr>
              <w:t>b</w:t>
            </w:r>
          </w:p>
        </w:tc>
        <w:tc>
          <w:tcPr>
            <w:tcW w:w="797" w:type="pct"/>
          </w:tcPr>
          <w:p w:rsidR="00127975" w:rsidRPr="00C812CB" w:rsidRDefault="00127975" w:rsidP="00AD51F5">
            <w:pPr>
              <w:pStyle w:val="Tabletext"/>
            </w:pPr>
            <w:r w:rsidRPr="00C812CB">
              <w:t xml:space="preserve">988 </w:t>
            </w:r>
          </w:p>
        </w:tc>
        <w:tc>
          <w:tcPr>
            <w:tcW w:w="730" w:type="pct"/>
          </w:tcPr>
          <w:p w:rsidR="00127975" w:rsidRPr="00C812CB" w:rsidRDefault="00127975" w:rsidP="00AD51F5">
            <w:pPr>
              <w:pStyle w:val="Tabletext"/>
            </w:pPr>
            <w:r w:rsidRPr="00C812CB">
              <w:t xml:space="preserve">1576 </w:t>
            </w:r>
          </w:p>
        </w:tc>
        <w:tc>
          <w:tcPr>
            <w:tcW w:w="725" w:type="pct"/>
          </w:tcPr>
          <w:p w:rsidR="00127975" w:rsidRPr="00C812CB" w:rsidRDefault="00127975" w:rsidP="00AD51F5">
            <w:pPr>
              <w:pStyle w:val="Tabletext"/>
            </w:pPr>
            <w:r w:rsidRPr="00C812CB">
              <w:t xml:space="preserve">657 </w:t>
            </w:r>
          </w:p>
        </w:tc>
        <w:tc>
          <w:tcPr>
            <w:tcW w:w="665" w:type="pct"/>
          </w:tcPr>
          <w:p w:rsidR="00127975" w:rsidRPr="00C812CB" w:rsidRDefault="00127975" w:rsidP="00AD51F5">
            <w:pPr>
              <w:pStyle w:val="Tabletext"/>
            </w:pPr>
            <w:r w:rsidRPr="00C812CB">
              <w:t xml:space="preserve">1320 </w:t>
            </w:r>
          </w:p>
        </w:tc>
        <w:tc>
          <w:tcPr>
            <w:tcW w:w="778" w:type="pct"/>
          </w:tcPr>
          <w:p w:rsidR="00127975" w:rsidRPr="00C812CB" w:rsidRDefault="00127975" w:rsidP="00AD51F5">
            <w:pPr>
              <w:pStyle w:val="Tabletext"/>
            </w:pPr>
            <w:r w:rsidRPr="00C812CB">
              <w:t xml:space="preserve">4541 </w:t>
            </w:r>
            <w:r>
              <w:t>(</w:t>
            </w:r>
            <w:r w:rsidRPr="00C812CB">
              <w:t>6.2</w:t>
            </w:r>
            <w:r>
              <w:t>)</w:t>
            </w:r>
          </w:p>
        </w:tc>
      </w:tr>
      <w:tr w:rsidR="00127975" w:rsidRPr="00EE2D08" w:rsidTr="00D43B53">
        <w:tc>
          <w:tcPr>
            <w:tcW w:w="1305" w:type="pct"/>
          </w:tcPr>
          <w:p w:rsidR="00127975" w:rsidRDefault="00127975" w:rsidP="00AD51F5">
            <w:pPr>
              <w:pStyle w:val="Tabletext"/>
            </w:pPr>
            <w:r>
              <w:t>Other</w:t>
            </w:r>
            <w:r w:rsidRPr="00EE2D08">
              <w:rPr>
                <w:vertAlign w:val="superscript"/>
              </w:rPr>
              <w:t>c</w:t>
            </w:r>
          </w:p>
        </w:tc>
        <w:tc>
          <w:tcPr>
            <w:tcW w:w="797" w:type="pct"/>
          </w:tcPr>
          <w:p w:rsidR="00127975" w:rsidRPr="00C812CB" w:rsidRDefault="00127975" w:rsidP="00AD51F5">
            <w:pPr>
              <w:pStyle w:val="Tabletext"/>
            </w:pPr>
            <w:r w:rsidRPr="00C812CB">
              <w:t xml:space="preserve">1363 </w:t>
            </w:r>
          </w:p>
        </w:tc>
        <w:tc>
          <w:tcPr>
            <w:tcW w:w="730" w:type="pct"/>
          </w:tcPr>
          <w:p w:rsidR="00127975" w:rsidRPr="00C812CB" w:rsidRDefault="00127975" w:rsidP="00AD51F5">
            <w:pPr>
              <w:pStyle w:val="Tabletext"/>
            </w:pPr>
            <w:r w:rsidRPr="00C812CB">
              <w:t xml:space="preserve">2327 </w:t>
            </w:r>
          </w:p>
        </w:tc>
        <w:tc>
          <w:tcPr>
            <w:tcW w:w="725" w:type="pct"/>
          </w:tcPr>
          <w:p w:rsidR="00127975" w:rsidRPr="00C812CB" w:rsidRDefault="00127975" w:rsidP="00AD51F5">
            <w:pPr>
              <w:pStyle w:val="Tabletext"/>
            </w:pPr>
            <w:r w:rsidRPr="00C812CB">
              <w:t xml:space="preserve">1440 </w:t>
            </w:r>
          </w:p>
        </w:tc>
        <w:tc>
          <w:tcPr>
            <w:tcW w:w="665" w:type="pct"/>
          </w:tcPr>
          <w:p w:rsidR="00127975" w:rsidRPr="00C812CB" w:rsidRDefault="00127975" w:rsidP="00AD51F5">
            <w:pPr>
              <w:pStyle w:val="Tabletext"/>
            </w:pPr>
            <w:r w:rsidRPr="00C812CB">
              <w:t xml:space="preserve">2556 </w:t>
            </w:r>
          </w:p>
        </w:tc>
        <w:tc>
          <w:tcPr>
            <w:tcW w:w="778" w:type="pct"/>
          </w:tcPr>
          <w:p w:rsidR="00127975" w:rsidRPr="00C812CB" w:rsidRDefault="00127975" w:rsidP="00AD51F5">
            <w:pPr>
              <w:pStyle w:val="Tabletext"/>
            </w:pPr>
            <w:r w:rsidRPr="00C812CB">
              <w:t xml:space="preserve">7686 </w:t>
            </w:r>
            <w:r>
              <w:t>(</w:t>
            </w:r>
            <w:r w:rsidRPr="00C812CB">
              <w:t>10.6</w:t>
            </w:r>
            <w:r>
              <w:t>)</w:t>
            </w:r>
          </w:p>
        </w:tc>
      </w:tr>
      <w:tr w:rsidR="00127975" w:rsidRPr="00EE2D08" w:rsidTr="00D43B53">
        <w:tc>
          <w:tcPr>
            <w:tcW w:w="1305" w:type="pct"/>
          </w:tcPr>
          <w:p w:rsidR="00127975" w:rsidRDefault="00127975" w:rsidP="00AD51F5">
            <w:pPr>
              <w:pStyle w:val="Tabletext"/>
            </w:pPr>
            <w:r>
              <w:t>Missing</w:t>
            </w:r>
          </w:p>
        </w:tc>
        <w:tc>
          <w:tcPr>
            <w:tcW w:w="797" w:type="pct"/>
          </w:tcPr>
          <w:p w:rsidR="00127975" w:rsidRPr="00C812CB" w:rsidRDefault="00127975" w:rsidP="00AD51F5">
            <w:pPr>
              <w:pStyle w:val="Tabletext"/>
            </w:pPr>
            <w:r w:rsidRPr="00C812CB">
              <w:t xml:space="preserve">79 </w:t>
            </w:r>
          </w:p>
        </w:tc>
        <w:tc>
          <w:tcPr>
            <w:tcW w:w="730" w:type="pct"/>
          </w:tcPr>
          <w:p w:rsidR="00127975" w:rsidRPr="00C812CB" w:rsidRDefault="00127975" w:rsidP="00AD51F5">
            <w:pPr>
              <w:pStyle w:val="Tabletext"/>
            </w:pPr>
            <w:r w:rsidRPr="00C812CB">
              <w:t xml:space="preserve">170 </w:t>
            </w:r>
          </w:p>
        </w:tc>
        <w:tc>
          <w:tcPr>
            <w:tcW w:w="725" w:type="pct"/>
          </w:tcPr>
          <w:p w:rsidR="00127975" w:rsidRPr="00C812CB" w:rsidRDefault="00127975" w:rsidP="00AD51F5">
            <w:pPr>
              <w:pStyle w:val="Tabletext"/>
            </w:pPr>
            <w:r w:rsidRPr="00C812CB">
              <w:t xml:space="preserve">67 </w:t>
            </w:r>
          </w:p>
        </w:tc>
        <w:tc>
          <w:tcPr>
            <w:tcW w:w="665" w:type="pct"/>
          </w:tcPr>
          <w:p w:rsidR="00127975" w:rsidRPr="00C812CB" w:rsidRDefault="00127975" w:rsidP="00AD51F5">
            <w:pPr>
              <w:pStyle w:val="Tabletext"/>
            </w:pPr>
            <w:r w:rsidRPr="00C812CB">
              <w:t xml:space="preserve">192 </w:t>
            </w:r>
          </w:p>
        </w:tc>
        <w:tc>
          <w:tcPr>
            <w:tcW w:w="778" w:type="pct"/>
          </w:tcPr>
          <w:p w:rsidR="00127975" w:rsidRPr="00C812CB" w:rsidRDefault="00127975" w:rsidP="00AD51F5">
            <w:pPr>
              <w:pStyle w:val="Tabletext"/>
            </w:pPr>
            <w:r w:rsidRPr="00C812CB">
              <w:t xml:space="preserve">508 </w:t>
            </w:r>
            <w:r>
              <w:t>(</w:t>
            </w:r>
            <w:r w:rsidRPr="00C812CB">
              <w:t>0.7</w:t>
            </w:r>
            <w:r>
              <w:t>)</w:t>
            </w:r>
          </w:p>
        </w:tc>
      </w:tr>
      <w:tr w:rsidR="00127975" w:rsidRPr="00EE2D08" w:rsidTr="00D43B53">
        <w:tc>
          <w:tcPr>
            <w:tcW w:w="1305" w:type="pct"/>
          </w:tcPr>
          <w:p w:rsidR="00127975" w:rsidRDefault="00127975" w:rsidP="00AD51F5">
            <w:pPr>
              <w:pStyle w:val="Tabletext"/>
            </w:pPr>
            <w:r>
              <w:t>Total</w:t>
            </w:r>
          </w:p>
        </w:tc>
        <w:tc>
          <w:tcPr>
            <w:tcW w:w="797" w:type="pct"/>
          </w:tcPr>
          <w:p w:rsidR="00127975" w:rsidRPr="00C812CB" w:rsidRDefault="00127975" w:rsidP="00AD51F5">
            <w:pPr>
              <w:pStyle w:val="Tabletext"/>
            </w:pPr>
            <w:r w:rsidRPr="00C812CB">
              <w:t>12195</w:t>
            </w:r>
          </w:p>
        </w:tc>
        <w:tc>
          <w:tcPr>
            <w:tcW w:w="730" w:type="pct"/>
          </w:tcPr>
          <w:p w:rsidR="00127975" w:rsidRPr="00C812CB" w:rsidRDefault="00127975" w:rsidP="00AD51F5">
            <w:pPr>
              <w:pStyle w:val="Tabletext"/>
            </w:pPr>
            <w:r w:rsidRPr="00C812CB">
              <w:t>23404</w:t>
            </w:r>
          </w:p>
        </w:tc>
        <w:tc>
          <w:tcPr>
            <w:tcW w:w="725" w:type="pct"/>
          </w:tcPr>
          <w:p w:rsidR="00127975" w:rsidRPr="00C812CB" w:rsidRDefault="00127975" w:rsidP="00AD51F5">
            <w:pPr>
              <w:pStyle w:val="Tabletext"/>
            </w:pPr>
            <w:r w:rsidRPr="00C812CB">
              <w:t>12371</w:t>
            </w:r>
          </w:p>
        </w:tc>
        <w:tc>
          <w:tcPr>
            <w:tcW w:w="665" w:type="pct"/>
          </w:tcPr>
          <w:p w:rsidR="00127975" w:rsidRPr="00C812CB" w:rsidRDefault="00127975" w:rsidP="00AD51F5">
            <w:pPr>
              <w:pStyle w:val="Tabletext"/>
            </w:pPr>
            <w:r w:rsidRPr="00C812CB">
              <w:t>24867</w:t>
            </w:r>
          </w:p>
        </w:tc>
        <w:tc>
          <w:tcPr>
            <w:tcW w:w="778" w:type="pct"/>
          </w:tcPr>
          <w:p w:rsidR="00127975" w:rsidRPr="00C812CB" w:rsidRDefault="00127975" w:rsidP="00AD51F5">
            <w:pPr>
              <w:pStyle w:val="Tabletext"/>
            </w:pPr>
            <w:r w:rsidRPr="00C812CB">
              <w:t>72837</w:t>
            </w:r>
            <w:r>
              <w:t>(</w:t>
            </w:r>
            <w:r w:rsidRPr="00C812CB">
              <w:t>100.0</w:t>
            </w:r>
            <w:r>
              <w:t>)</w:t>
            </w:r>
          </w:p>
        </w:tc>
      </w:tr>
    </w:tbl>
    <w:p w:rsidR="008E43AB" w:rsidRDefault="008E43AB" w:rsidP="009945E4">
      <w:pPr>
        <w:pStyle w:val="Tabletext"/>
      </w:pPr>
      <w:proofErr w:type="gramStart"/>
      <w:r>
        <w:t>a</w:t>
      </w:r>
      <w:proofErr w:type="gramEnd"/>
      <w:r>
        <w:t xml:space="preserve"> Defined as: routine call, </w:t>
      </w:r>
      <w:r w:rsidRPr="00C812CB">
        <w:t>routine recall, previous inadequate, opportunistic.</w:t>
      </w:r>
      <w:r>
        <w:br/>
      </w:r>
      <w:proofErr w:type="gramStart"/>
      <w:r w:rsidRPr="00C812CB">
        <w:t>b</w:t>
      </w:r>
      <w:proofErr w:type="gramEnd"/>
      <w:r w:rsidRPr="00C812CB">
        <w:t xml:space="preserve"> Defined as</w:t>
      </w:r>
      <w:r>
        <w:t>:</w:t>
      </w:r>
      <w:r w:rsidRPr="00C812CB">
        <w:t xml:space="preserve"> </w:t>
      </w:r>
      <w:r>
        <w:t xml:space="preserve">previous biopsy/treatment, </w:t>
      </w:r>
      <w:r w:rsidRPr="00C812CB">
        <w:t>annual tests.</w:t>
      </w:r>
      <w:r>
        <w:br/>
      </w:r>
      <w:proofErr w:type="gramStart"/>
      <w:r w:rsidRPr="00C812CB">
        <w:t>c</w:t>
      </w:r>
      <w:proofErr w:type="gramEnd"/>
      <w:r w:rsidRPr="00C812CB">
        <w:t xml:space="preserve"> Defined as</w:t>
      </w:r>
      <w:r>
        <w:t>:</w:t>
      </w:r>
      <w:r w:rsidRPr="00C812CB">
        <w:t xml:space="preserve"> clinically indicated, previously abnormal, other.</w:t>
      </w:r>
      <w:r>
        <w:br/>
        <w:t>Source: Kitchener 2011</w:t>
      </w:r>
      <w:r w:rsidR="000C1751">
        <w:t>a</w:t>
      </w:r>
      <w:r>
        <w:t xml:space="preserve"> Table 14</w:t>
      </w:r>
    </w:p>
    <w:p w:rsidR="009945E4" w:rsidRDefault="009945E4" w:rsidP="008E43AB"/>
    <w:p w:rsidR="008E43AB" w:rsidRDefault="008E43AB" w:rsidP="008E43AB">
      <w:r>
        <w:t>Comparisons between results in the manual-only arm and those from the manual reading in the paired arm were restricted to routin</w:t>
      </w:r>
      <w:r w:rsidR="00D43B53">
        <w:t>e screening samples as there were</w:t>
      </w:r>
      <w:r>
        <w:t xml:space="preserve"> a larger proportion of non-routine samples in the manual-only arm.</w:t>
      </w:r>
    </w:p>
    <w:p w:rsidR="008E43AB" w:rsidRDefault="008E43AB" w:rsidP="008E43AB">
      <w:r>
        <w:t xml:space="preserve">All results were reported using the British Society for Clinical Cytology (BSCC) 1986 classification. A comparison between the BSCC 1986 classification and the Bethesda system 2001 is provided </w:t>
      </w:r>
      <w:r w:rsidR="0054583C">
        <w:t>(</w:t>
      </w:r>
      <w:r w:rsidR="00086C77">
        <w:fldChar w:fldCharType="begin"/>
      </w:r>
      <w:r>
        <w:instrText xml:space="preserve"> REF _Ref330987978 \h </w:instrText>
      </w:r>
      <w:r w:rsidR="00086C77">
        <w:fldChar w:fldCharType="separate"/>
      </w:r>
      <w:r w:rsidR="003361A8">
        <w:t xml:space="preserve">Table </w:t>
      </w:r>
      <w:r w:rsidR="003361A8">
        <w:rPr>
          <w:noProof/>
        </w:rPr>
        <w:t>67</w:t>
      </w:r>
      <w:r w:rsidR="00086C77">
        <w:fldChar w:fldCharType="end"/>
      </w:r>
      <w:r w:rsidR="0054583C">
        <w:t>)</w:t>
      </w:r>
      <w:r>
        <w:t>.</w:t>
      </w:r>
    </w:p>
    <w:p w:rsidR="008E43AB" w:rsidRDefault="008E43AB" w:rsidP="008E43AB">
      <w:pPr>
        <w:pStyle w:val="Caption"/>
      </w:pPr>
      <w:bookmarkStart w:id="456" w:name="_Ref330987978"/>
      <w:bookmarkStart w:id="457" w:name="_Toc331766505"/>
      <w:bookmarkStart w:id="458" w:name="_Toc335666039"/>
      <w:bookmarkStart w:id="459" w:name="_Toc337547004"/>
      <w:r>
        <w:t xml:space="preserve">Table </w:t>
      </w:r>
      <w:fldSimple w:instr=" SEQ Table \* ARABIC ">
        <w:r w:rsidR="003361A8">
          <w:rPr>
            <w:noProof/>
          </w:rPr>
          <w:t>67</w:t>
        </w:r>
      </w:fldSimple>
      <w:bookmarkEnd w:id="456"/>
      <w:r>
        <w:tab/>
        <w:t>Cytology classification</w:t>
      </w:r>
      <w:bookmarkEnd w:id="457"/>
      <w:r w:rsidR="00D43B53">
        <w:t xml:space="preserve">: Kitchener </w:t>
      </w:r>
      <w:r w:rsidR="003D1B93">
        <w:t>2011a</w:t>
      </w:r>
      <w:bookmarkEnd w:id="458"/>
      <w:bookmarkEnd w:id="45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2"/>
        <w:gridCol w:w="5749"/>
      </w:tblGrid>
      <w:tr w:rsidR="008E43AB" w:rsidTr="00D43B53">
        <w:tc>
          <w:tcPr>
            <w:tcW w:w="1767" w:type="pct"/>
          </w:tcPr>
          <w:p w:rsidR="008E43AB" w:rsidRPr="00EE2D08" w:rsidRDefault="008E43AB" w:rsidP="00AD51F5">
            <w:pPr>
              <w:pStyle w:val="Tabletext"/>
              <w:rPr>
                <w:b/>
              </w:rPr>
            </w:pPr>
            <w:r w:rsidRPr="00EE2D08">
              <w:rPr>
                <w:b/>
              </w:rPr>
              <w:t>BSCC 1986</w:t>
            </w:r>
          </w:p>
        </w:tc>
        <w:tc>
          <w:tcPr>
            <w:tcW w:w="3233" w:type="pct"/>
          </w:tcPr>
          <w:p w:rsidR="008E43AB" w:rsidRPr="00EE2D08" w:rsidRDefault="008E43AB" w:rsidP="00AD51F5">
            <w:pPr>
              <w:pStyle w:val="Tabletext"/>
              <w:rPr>
                <w:b/>
              </w:rPr>
            </w:pPr>
            <w:r w:rsidRPr="00EE2D08">
              <w:rPr>
                <w:b/>
              </w:rPr>
              <w:t>Bethesda System 2001</w:t>
            </w:r>
          </w:p>
        </w:tc>
      </w:tr>
      <w:tr w:rsidR="008E43AB" w:rsidTr="00D43B53">
        <w:tc>
          <w:tcPr>
            <w:tcW w:w="1767" w:type="pct"/>
          </w:tcPr>
          <w:p w:rsidR="008E43AB" w:rsidRDefault="008E43AB" w:rsidP="00AD51F5">
            <w:pPr>
              <w:pStyle w:val="Tabletext"/>
            </w:pPr>
            <w:r>
              <w:t>Negative</w:t>
            </w:r>
          </w:p>
        </w:tc>
        <w:tc>
          <w:tcPr>
            <w:tcW w:w="3233" w:type="pct"/>
          </w:tcPr>
          <w:p w:rsidR="008E43AB" w:rsidRDefault="008E43AB" w:rsidP="00AD51F5">
            <w:pPr>
              <w:pStyle w:val="Tabletext"/>
              <w:jc w:val="both"/>
            </w:pPr>
            <w:r w:rsidRPr="005B46BB">
              <w:t>Negative for intraepithelial lesion or malignancy</w:t>
            </w:r>
          </w:p>
        </w:tc>
      </w:tr>
      <w:tr w:rsidR="008E43AB" w:rsidTr="00D43B53">
        <w:tc>
          <w:tcPr>
            <w:tcW w:w="1767" w:type="pct"/>
          </w:tcPr>
          <w:p w:rsidR="008E43AB" w:rsidRDefault="008E43AB" w:rsidP="00AD51F5">
            <w:pPr>
              <w:pStyle w:val="Tabletext"/>
            </w:pPr>
            <w:r>
              <w:t>Inadequate</w:t>
            </w:r>
          </w:p>
        </w:tc>
        <w:tc>
          <w:tcPr>
            <w:tcW w:w="3233" w:type="pct"/>
          </w:tcPr>
          <w:p w:rsidR="008E43AB" w:rsidRDefault="008E43AB" w:rsidP="00AD51F5">
            <w:pPr>
              <w:pStyle w:val="Tabletext"/>
            </w:pPr>
            <w:r>
              <w:t>Unsatisfactory for evaluation</w:t>
            </w:r>
          </w:p>
        </w:tc>
      </w:tr>
      <w:tr w:rsidR="008E43AB" w:rsidTr="00D43B53">
        <w:tc>
          <w:tcPr>
            <w:tcW w:w="1767" w:type="pct"/>
          </w:tcPr>
          <w:p w:rsidR="008E43AB" w:rsidRDefault="008E43AB" w:rsidP="00AD51F5">
            <w:pPr>
              <w:pStyle w:val="Tabletext"/>
            </w:pPr>
            <w:r>
              <w:t>Borderline nuclear change (include koilocytosis)</w:t>
            </w:r>
          </w:p>
        </w:tc>
        <w:tc>
          <w:tcPr>
            <w:tcW w:w="3233" w:type="pct"/>
          </w:tcPr>
          <w:p w:rsidR="008E43AB" w:rsidRDefault="008E43AB" w:rsidP="002D28E4">
            <w:pPr>
              <w:pStyle w:val="Tabletext"/>
            </w:pPr>
            <w:r>
              <w:t>ASCUS</w:t>
            </w:r>
            <w:r w:rsidR="002D28E4">
              <w:t>/</w:t>
            </w:r>
            <w:r>
              <w:t>Aty</w:t>
            </w:r>
            <w:r w:rsidR="00181166">
              <w:t>pical endocervical/endometrial/</w:t>
            </w:r>
            <w:r>
              <w:t>glandular cells: NOS or favour neoplastic</w:t>
            </w:r>
          </w:p>
        </w:tc>
      </w:tr>
      <w:tr w:rsidR="008E43AB" w:rsidTr="00D43B53">
        <w:tc>
          <w:tcPr>
            <w:tcW w:w="1767" w:type="pct"/>
          </w:tcPr>
          <w:p w:rsidR="008E43AB" w:rsidRDefault="008E43AB" w:rsidP="00AD51F5">
            <w:pPr>
              <w:pStyle w:val="Tabletext"/>
            </w:pPr>
            <w:r>
              <w:t>Mild dyskaryosis</w:t>
            </w:r>
          </w:p>
        </w:tc>
        <w:tc>
          <w:tcPr>
            <w:tcW w:w="3233" w:type="pct"/>
          </w:tcPr>
          <w:p w:rsidR="008E43AB" w:rsidRDefault="008E43AB" w:rsidP="00AD51F5">
            <w:pPr>
              <w:pStyle w:val="Tabletext"/>
            </w:pPr>
            <w:r>
              <w:t>LSIL</w:t>
            </w:r>
          </w:p>
        </w:tc>
      </w:tr>
      <w:tr w:rsidR="008E43AB" w:rsidTr="00D43B53">
        <w:tc>
          <w:tcPr>
            <w:tcW w:w="1767" w:type="pct"/>
          </w:tcPr>
          <w:p w:rsidR="008E43AB" w:rsidRDefault="008E43AB" w:rsidP="00AD51F5">
            <w:pPr>
              <w:pStyle w:val="Tabletext"/>
            </w:pPr>
            <w:r>
              <w:t>Moderate dyskaryosis</w:t>
            </w:r>
          </w:p>
        </w:tc>
        <w:tc>
          <w:tcPr>
            <w:tcW w:w="3233" w:type="pct"/>
          </w:tcPr>
          <w:p w:rsidR="008E43AB" w:rsidRDefault="008E43AB" w:rsidP="00AD51F5">
            <w:pPr>
              <w:pStyle w:val="Tabletext"/>
            </w:pPr>
            <w:r>
              <w:t>HSIL</w:t>
            </w:r>
          </w:p>
        </w:tc>
      </w:tr>
      <w:tr w:rsidR="008E43AB" w:rsidTr="00D43B53">
        <w:tc>
          <w:tcPr>
            <w:tcW w:w="1767" w:type="pct"/>
          </w:tcPr>
          <w:p w:rsidR="008E43AB" w:rsidRDefault="008E43AB" w:rsidP="00AD51F5">
            <w:pPr>
              <w:pStyle w:val="Tabletext"/>
            </w:pPr>
            <w:r>
              <w:t>Severe dyskaryosis</w:t>
            </w:r>
          </w:p>
        </w:tc>
        <w:tc>
          <w:tcPr>
            <w:tcW w:w="3233" w:type="pct"/>
          </w:tcPr>
          <w:p w:rsidR="008E43AB" w:rsidRDefault="008E43AB" w:rsidP="00AD51F5">
            <w:pPr>
              <w:pStyle w:val="Tabletext"/>
            </w:pPr>
            <w:r>
              <w:t>HSIL</w:t>
            </w:r>
          </w:p>
        </w:tc>
      </w:tr>
      <w:tr w:rsidR="008E43AB" w:rsidTr="00D43B53">
        <w:tc>
          <w:tcPr>
            <w:tcW w:w="1767" w:type="pct"/>
          </w:tcPr>
          <w:p w:rsidR="008E43AB" w:rsidRDefault="008E43AB" w:rsidP="00AD51F5">
            <w:pPr>
              <w:pStyle w:val="Tabletext"/>
            </w:pPr>
            <w:r>
              <w:t>Severe dyskaryosis query invasive</w:t>
            </w:r>
          </w:p>
        </w:tc>
        <w:tc>
          <w:tcPr>
            <w:tcW w:w="3233" w:type="pct"/>
          </w:tcPr>
          <w:p w:rsidR="008E43AB" w:rsidRDefault="008E43AB" w:rsidP="00AD51F5">
            <w:pPr>
              <w:pStyle w:val="Tabletext"/>
            </w:pPr>
            <w:r>
              <w:t>Squamous cell carcinoma</w:t>
            </w:r>
          </w:p>
        </w:tc>
      </w:tr>
      <w:tr w:rsidR="008E43AB" w:rsidTr="00D43B53">
        <w:tc>
          <w:tcPr>
            <w:tcW w:w="1767" w:type="pct"/>
          </w:tcPr>
          <w:p w:rsidR="008E43AB" w:rsidRDefault="008E43AB" w:rsidP="00AD51F5">
            <w:pPr>
              <w:pStyle w:val="Tabletext"/>
            </w:pPr>
            <w:r>
              <w:t>Query glandular neoplasia</w:t>
            </w:r>
          </w:p>
        </w:tc>
        <w:tc>
          <w:tcPr>
            <w:tcW w:w="3233" w:type="pct"/>
          </w:tcPr>
          <w:p w:rsidR="008E43AB" w:rsidRDefault="008E43AB" w:rsidP="00AD51F5">
            <w:pPr>
              <w:pStyle w:val="Tabletext"/>
            </w:pPr>
            <w:r>
              <w:t>Endocervical carcinoma in situ, adenocarcinoma, endocervical, endometrial, extra</w:t>
            </w:r>
            <w:r w:rsidR="00303D7C">
              <w:t>-</w:t>
            </w:r>
            <w:r>
              <w:t>uterine, NOS</w:t>
            </w:r>
          </w:p>
        </w:tc>
      </w:tr>
    </w:tbl>
    <w:p w:rsidR="00D43B53" w:rsidRDefault="008E43AB" w:rsidP="00D43B53">
      <w:pPr>
        <w:pStyle w:val="Tabletext"/>
      </w:pPr>
      <w:r>
        <w:t>Abbreviations:</w:t>
      </w:r>
      <w:r w:rsidRPr="005B46BB">
        <w:t xml:space="preserve"> </w:t>
      </w:r>
      <w:r>
        <w:t>HSIL, high-grade squamous intraepithelial lesion; LSIL, low-grade squamous intraepithelial lesio</w:t>
      </w:r>
      <w:r w:rsidR="00181166">
        <w:t>n; NOS, not otherwise specified</w:t>
      </w:r>
    </w:p>
    <w:p w:rsidR="008E43AB" w:rsidRDefault="00181166" w:rsidP="00D43B53">
      <w:pPr>
        <w:pStyle w:val="Tabletext"/>
      </w:pPr>
      <w:r>
        <w:t xml:space="preserve">Source: Kitchener </w:t>
      </w:r>
      <w:r w:rsidR="008E43AB">
        <w:t>2011</w:t>
      </w:r>
      <w:r w:rsidR="000C1751">
        <w:t>a</w:t>
      </w:r>
      <w:r w:rsidR="008E43AB">
        <w:t xml:space="preserve"> Table 6</w:t>
      </w:r>
    </w:p>
    <w:p w:rsidR="00D43B53" w:rsidRDefault="00D43B53" w:rsidP="008E43AB"/>
    <w:p w:rsidR="008E43AB" w:rsidRDefault="0054583C" w:rsidP="008E43AB">
      <w:r>
        <w:lastRenderedPageBreak/>
        <w:t>D</w:t>
      </w:r>
      <w:r w:rsidR="008E43AB">
        <w:t xml:space="preserve">ata received from the cytology laboratory consisted of the manual reading results, the automated reading results and </w:t>
      </w:r>
      <w:r w:rsidR="00D43B53">
        <w:t>the final management result</w:t>
      </w:r>
      <w:r w:rsidR="008E43AB">
        <w:t xml:space="preserve">. The final </w:t>
      </w:r>
      <w:r w:rsidR="00D43B53">
        <w:t xml:space="preserve">management result </w:t>
      </w:r>
      <w:r w:rsidR="008E43AB">
        <w:t>was the result that determined clinical management (routine recall, triage by HPV test or direct colposcopy referral).</w:t>
      </w:r>
    </w:p>
    <w:p w:rsidR="008E43AB" w:rsidRPr="00216EFB" w:rsidRDefault="008E43AB" w:rsidP="00D43B53">
      <w:pPr>
        <w:pStyle w:val="Heading40"/>
      </w:pPr>
      <w:r w:rsidRPr="00216EFB">
        <w:t>Comparison of manual results (manual arm) versus manual results (paired arm)</w:t>
      </w:r>
    </w:p>
    <w:p w:rsidR="008E43AB" w:rsidRDefault="008E43AB" w:rsidP="008E43AB">
      <w:r>
        <w:t xml:space="preserve">The actual </w:t>
      </w:r>
      <w:r w:rsidR="00181166">
        <w:t>management result</w:t>
      </w:r>
      <w:r>
        <w:t>s were almost identical between the arms, with slightly fewer mild and moderate dyskaryosis and slightly more borderline in the paired arm (</w:t>
      </w:r>
      <w:r w:rsidR="00086C77">
        <w:fldChar w:fldCharType="begin"/>
      </w:r>
      <w:r>
        <w:instrText xml:space="preserve"> REF _Ref331057313 \h </w:instrText>
      </w:r>
      <w:r w:rsidR="00086C77">
        <w:fldChar w:fldCharType="separate"/>
      </w:r>
      <w:r w:rsidR="003361A8">
        <w:t xml:space="preserve">Table </w:t>
      </w:r>
      <w:r w:rsidR="003361A8">
        <w:rPr>
          <w:noProof/>
        </w:rPr>
        <w:t>68</w:t>
      </w:r>
      <w:r w:rsidR="00086C77">
        <w:fldChar w:fldCharType="end"/>
      </w:r>
      <w:r>
        <w:t xml:space="preserve">). The comparison of </w:t>
      </w:r>
      <w:r w:rsidR="00127975">
        <w:t>final manual results (</w:t>
      </w:r>
      <w:r>
        <w:t>FMRs</w:t>
      </w:r>
      <w:r w:rsidR="00127975">
        <w:t>)</w:t>
      </w:r>
      <w:r>
        <w:t xml:space="preserve"> between the arms is important in indicating </w:t>
      </w:r>
      <w:r w:rsidR="00D47BB4">
        <w:t xml:space="preserve">whether </w:t>
      </w:r>
      <w:r>
        <w:t>the manual reading in the paired arm was similar to ‘real-life’ manual reading in the manual-only arm which serves as a control. For routine samples, the rates of abnormality are very similar. The non-negative rates of cytology (as a percentage of all adequate samples) are 5.48% (2046/37,369) in the paired arm and 5.52% (1021/18,507) in the manual-only arm.</w:t>
      </w:r>
    </w:p>
    <w:p w:rsidR="008E43AB" w:rsidRDefault="008E43AB" w:rsidP="008E43AB">
      <w:pPr>
        <w:pStyle w:val="Caption"/>
      </w:pPr>
      <w:bookmarkStart w:id="460" w:name="_Ref331057313"/>
      <w:bookmarkStart w:id="461" w:name="_Toc331766506"/>
      <w:bookmarkStart w:id="462" w:name="_Toc335666040"/>
      <w:bookmarkStart w:id="463" w:name="_Toc337547005"/>
      <w:r>
        <w:t xml:space="preserve">Table </w:t>
      </w:r>
      <w:fldSimple w:instr=" SEQ Table \* ARABIC ">
        <w:r w:rsidR="003361A8">
          <w:rPr>
            <w:noProof/>
          </w:rPr>
          <w:t>68</w:t>
        </w:r>
      </w:fldSimple>
      <w:bookmarkEnd w:id="460"/>
      <w:r>
        <w:tab/>
      </w:r>
      <w:r w:rsidR="0072244B">
        <w:t>Test y</w:t>
      </w:r>
      <w:r w:rsidRPr="00932B53">
        <w:t>ield comparison</w:t>
      </w:r>
      <w:r w:rsidR="0072244B">
        <w:t xml:space="preserve"> (by c</w:t>
      </w:r>
      <w:r w:rsidR="0054583C">
        <w:t>ytology)—</w:t>
      </w:r>
      <w:r>
        <w:t>Automated review</w:t>
      </w:r>
      <w:r w:rsidRPr="00932B53">
        <w:t xml:space="preserve"> versus </w:t>
      </w:r>
      <w:r w:rsidR="0072244B">
        <w:t>m</w:t>
      </w:r>
      <w:r>
        <w:t xml:space="preserve">anual review </w:t>
      </w:r>
      <w:r w:rsidRPr="00932B53">
        <w:t>(SurePath</w:t>
      </w:r>
      <w:r>
        <w:t xml:space="preserve"> and ThinPrep</w:t>
      </w:r>
      <w:r w:rsidR="0072244B">
        <w:t xml:space="preserve">): </w:t>
      </w:r>
      <w:r>
        <w:t>Kitchener</w:t>
      </w:r>
      <w:r w:rsidR="0072244B">
        <w:t xml:space="preserve"> </w:t>
      </w:r>
      <w:r w:rsidRPr="00932B53">
        <w:t>20</w:t>
      </w:r>
      <w:r>
        <w:t>11</w:t>
      </w:r>
      <w:r w:rsidR="000C1751">
        <w:t>a</w:t>
      </w:r>
      <w:bookmarkEnd w:id="461"/>
      <w:bookmarkEnd w:id="462"/>
      <w:bookmarkEnd w:id="46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1"/>
        <w:gridCol w:w="1534"/>
        <w:gridCol w:w="1547"/>
        <w:gridCol w:w="1410"/>
        <w:gridCol w:w="1411"/>
        <w:gridCol w:w="1678"/>
      </w:tblGrid>
      <w:tr w:rsidR="00216EFB" w:rsidTr="00216EFB">
        <w:tc>
          <w:tcPr>
            <w:tcW w:w="1257" w:type="dxa"/>
          </w:tcPr>
          <w:p w:rsidR="00216EFB" w:rsidRDefault="00216EFB" w:rsidP="00AD51F5">
            <w:pPr>
              <w:pStyle w:val="Tabletext"/>
            </w:pPr>
          </w:p>
        </w:tc>
        <w:tc>
          <w:tcPr>
            <w:tcW w:w="5939" w:type="dxa"/>
            <w:gridSpan w:val="4"/>
          </w:tcPr>
          <w:p w:rsidR="00216EFB" w:rsidRPr="00216EFB" w:rsidRDefault="00216EFB" w:rsidP="00216EFB">
            <w:pPr>
              <w:pStyle w:val="Tabletext"/>
              <w:jc w:val="center"/>
              <w:rPr>
                <w:b/>
              </w:rPr>
            </w:pPr>
            <w:r w:rsidRPr="00216EFB">
              <w:rPr>
                <w:b/>
              </w:rPr>
              <w:t>Paired sample</w:t>
            </w:r>
          </w:p>
        </w:tc>
        <w:tc>
          <w:tcPr>
            <w:tcW w:w="1695" w:type="dxa"/>
          </w:tcPr>
          <w:p w:rsidR="00216EFB" w:rsidRPr="00216EFB" w:rsidRDefault="00216EFB" w:rsidP="00AD51F5">
            <w:pPr>
              <w:pStyle w:val="Tabletext"/>
              <w:rPr>
                <w:b/>
              </w:rPr>
            </w:pPr>
            <w:r w:rsidRPr="00216EFB">
              <w:rPr>
                <w:b/>
              </w:rPr>
              <w:t>Manual only</w:t>
            </w:r>
          </w:p>
        </w:tc>
      </w:tr>
      <w:tr w:rsidR="00216EFB" w:rsidTr="00216EFB">
        <w:tc>
          <w:tcPr>
            <w:tcW w:w="1257" w:type="dxa"/>
          </w:tcPr>
          <w:p w:rsidR="00216EFB" w:rsidRDefault="00216EFB" w:rsidP="00AD51F5">
            <w:pPr>
              <w:pStyle w:val="Tabletext"/>
            </w:pPr>
          </w:p>
        </w:tc>
        <w:tc>
          <w:tcPr>
            <w:tcW w:w="3104" w:type="dxa"/>
            <w:gridSpan w:val="2"/>
          </w:tcPr>
          <w:p w:rsidR="00216EFB" w:rsidRDefault="00216EFB" w:rsidP="00AD51F5">
            <w:pPr>
              <w:pStyle w:val="Tabletext"/>
            </w:pPr>
            <w:r>
              <w:t xml:space="preserve">Final </w:t>
            </w:r>
            <w:r w:rsidR="0072244B">
              <w:t>automated review</w:t>
            </w:r>
          </w:p>
        </w:tc>
        <w:tc>
          <w:tcPr>
            <w:tcW w:w="2835" w:type="dxa"/>
            <w:gridSpan w:val="2"/>
          </w:tcPr>
          <w:p w:rsidR="00216EFB" w:rsidRDefault="00216EFB" w:rsidP="00AD51F5">
            <w:pPr>
              <w:pStyle w:val="Tabletext"/>
            </w:pPr>
            <w:r>
              <w:t xml:space="preserve">Final </w:t>
            </w:r>
            <w:r w:rsidR="0072244B">
              <w:t>manual review</w:t>
            </w:r>
          </w:p>
        </w:tc>
        <w:tc>
          <w:tcPr>
            <w:tcW w:w="1695" w:type="dxa"/>
          </w:tcPr>
          <w:p w:rsidR="00216EFB" w:rsidRDefault="00216EFB" w:rsidP="00AD51F5">
            <w:pPr>
              <w:pStyle w:val="Tabletext"/>
            </w:pPr>
            <w:r>
              <w:t xml:space="preserve">Final </w:t>
            </w:r>
            <w:r w:rsidR="0072244B">
              <w:t>manual review</w:t>
            </w:r>
          </w:p>
        </w:tc>
      </w:tr>
      <w:tr w:rsidR="008E43AB" w:rsidTr="00216EFB">
        <w:tc>
          <w:tcPr>
            <w:tcW w:w="1257" w:type="dxa"/>
          </w:tcPr>
          <w:p w:rsidR="008E43AB" w:rsidRDefault="008E43AB" w:rsidP="00AD51F5">
            <w:pPr>
              <w:pStyle w:val="Tabletext"/>
            </w:pPr>
          </w:p>
        </w:tc>
        <w:tc>
          <w:tcPr>
            <w:tcW w:w="1545" w:type="dxa"/>
          </w:tcPr>
          <w:p w:rsidR="008E43AB" w:rsidRDefault="008E43AB" w:rsidP="00AD51F5">
            <w:pPr>
              <w:pStyle w:val="Tabletext"/>
            </w:pPr>
            <w:r>
              <w:t>BD Fo</w:t>
            </w:r>
            <w:r w:rsidR="0054583C">
              <w:t>cal</w:t>
            </w:r>
            <w:r>
              <w:t xml:space="preserve">Point GS Imaging system of </w:t>
            </w:r>
            <w:r w:rsidRPr="00303D7C">
              <w:t>SP</w:t>
            </w:r>
            <w:r>
              <w:t xml:space="preserve"> smears</w:t>
            </w:r>
          </w:p>
        </w:tc>
        <w:tc>
          <w:tcPr>
            <w:tcW w:w="1559" w:type="dxa"/>
          </w:tcPr>
          <w:p w:rsidR="008E43AB" w:rsidRDefault="008E43AB" w:rsidP="00AD51F5">
            <w:pPr>
              <w:pStyle w:val="Tabletext"/>
            </w:pPr>
            <w:r>
              <w:t>ThinPrep Imaging System of TP smears</w:t>
            </w:r>
          </w:p>
        </w:tc>
        <w:tc>
          <w:tcPr>
            <w:tcW w:w="1417" w:type="dxa"/>
          </w:tcPr>
          <w:p w:rsidR="008E43AB" w:rsidRDefault="0054583C" w:rsidP="00AD51F5">
            <w:pPr>
              <w:pStyle w:val="Tabletext"/>
            </w:pPr>
            <w:r>
              <w:t>BD Focal</w:t>
            </w:r>
            <w:r w:rsidR="008E43AB">
              <w:t xml:space="preserve">Point GS Imaging system of </w:t>
            </w:r>
            <w:r w:rsidR="008E43AB" w:rsidRPr="00303D7C">
              <w:t>SP</w:t>
            </w:r>
            <w:r w:rsidR="008E43AB">
              <w:t xml:space="preserve"> smears</w:t>
            </w:r>
          </w:p>
        </w:tc>
        <w:tc>
          <w:tcPr>
            <w:tcW w:w="1418" w:type="dxa"/>
          </w:tcPr>
          <w:p w:rsidR="008E43AB" w:rsidRDefault="008E43AB" w:rsidP="00AD51F5">
            <w:pPr>
              <w:pStyle w:val="Tabletext"/>
            </w:pPr>
            <w:r>
              <w:t>ThinPrep Imaging System of TP smears</w:t>
            </w:r>
          </w:p>
        </w:tc>
        <w:tc>
          <w:tcPr>
            <w:tcW w:w="1695" w:type="dxa"/>
          </w:tcPr>
          <w:p w:rsidR="008E43AB" w:rsidRDefault="008E43AB" w:rsidP="00AD51F5">
            <w:pPr>
              <w:pStyle w:val="Tabletext"/>
            </w:pPr>
            <w:r>
              <w:t xml:space="preserve">TP and </w:t>
            </w:r>
            <w:r w:rsidRPr="00303D7C">
              <w:t>SP</w:t>
            </w:r>
            <w:r>
              <w:t xml:space="preserve"> smears</w:t>
            </w:r>
          </w:p>
        </w:tc>
      </w:tr>
      <w:tr w:rsidR="008E43AB" w:rsidTr="00216EFB">
        <w:tc>
          <w:tcPr>
            <w:tcW w:w="1257" w:type="dxa"/>
          </w:tcPr>
          <w:p w:rsidR="008E43AB" w:rsidRDefault="008E43AB" w:rsidP="00AD51F5">
            <w:pPr>
              <w:pStyle w:val="Tabletext"/>
            </w:pPr>
            <w:r>
              <w:t>Inadequate</w:t>
            </w:r>
          </w:p>
        </w:tc>
        <w:tc>
          <w:tcPr>
            <w:tcW w:w="1545" w:type="dxa"/>
          </w:tcPr>
          <w:p w:rsidR="008E43AB" w:rsidRDefault="008E43AB" w:rsidP="00AD51F5">
            <w:pPr>
              <w:pStyle w:val="Tabletext"/>
            </w:pPr>
            <w:r>
              <w:t>397(1.70)</w:t>
            </w:r>
          </w:p>
        </w:tc>
        <w:tc>
          <w:tcPr>
            <w:tcW w:w="1559" w:type="dxa"/>
          </w:tcPr>
          <w:p w:rsidR="008E43AB" w:rsidRDefault="008E43AB" w:rsidP="00AD51F5">
            <w:pPr>
              <w:pStyle w:val="Tabletext"/>
            </w:pPr>
            <w:r>
              <w:t>482(1.94)</w:t>
            </w:r>
          </w:p>
        </w:tc>
        <w:tc>
          <w:tcPr>
            <w:tcW w:w="1417" w:type="dxa"/>
          </w:tcPr>
          <w:p w:rsidR="008E43AB" w:rsidRDefault="008E43AB" w:rsidP="00AD51F5">
            <w:pPr>
              <w:pStyle w:val="Tabletext"/>
            </w:pPr>
            <w:r>
              <w:t>626(2.67)</w:t>
            </w:r>
          </w:p>
        </w:tc>
        <w:tc>
          <w:tcPr>
            <w:tcW w:w="1418" w:type="dxa"/>
          </w:tcPr>
          <w:p w:rsidR="008E43AB" w:rsidRDefault="008E43AB" w:rsidP="00AD51F5">
            <w:pPr>
              <w:pStyle w:val="Tabletext"/>
            </w:pPr>
            <w:r>
              <w:t>740(2.98)</w:t>
            </w:r>
          </w:p>
        </w:tc>
        <w:tc>
          <w:tcPr>
            <w:tcW w:w="1695" w:type="dxa"/>
          </w:tcPr>
          <w:p w:rsidR="008E43AB" w:rsidRDefault="008E43AB" w:rsidP="00AD51F5">
            <w:pPr>
              <w:pStyle w:val="Tabletext"/>
            </w:pPr>
            <w:r>
              <w:t>639(2.60)</w:t>
            </w:r>
          </w:p>
        </w:tc>
      </w:tr>
      <w:tr w:rsidR="008E43AB" w:rsidTr="00216EFB">
        <w:tc>
          <w:tcPr>
            <w:tcW w:w="1257" w:type="dxa"/>
          </w:tcPr>
          <w:p w:rsidR="008E43AB" w:rsidRDefault="008E43AB" w:rsidP="00AD51F5">
            <w:pPr>
              <w:pStyle w:val="Tabletext"/>
            </w:pPr>
            <w:r>
              <w:t>Negative</w:t>
            </w:r>
          </w:p>
        </w:tc>
        <w:tc>
          <w:tcPr>
            <w:tcW w:w="1545" w:type="dxa"/>
          </w:tcPr>
          <w:p w:rsidR="008E43AB" w:rsidRDefault="008E43AB" w:rsidP="00AD51F5">
            <w:pPr>
              <w:pStyle w:val="Tabletext"/>
            </w:pPr>
            <w:r>
              <w:t>21,791(93.11)</w:t>
            </w:r>
          </w:p>
        </w:tc>
        <w:tc>
          <w:tcPr>
            <w:tcW w:w="1559" w:type="dxa"/>
          </w:tcPr>
          <w:p w:rsidR="008E43AB" w:rsidRDefault="008E43AB" w:rsidP="00AD51F5">
            <w:pPr>
              <w:pStyle w:val="Tabletext"/>
            </w:pPr>
            <w:r>
              <w:t>22,980(92.41)</w:t>
            </w:r>
          </w:p>
        </w:tc>
        <w:tc>
          <w:tcPr>
            <w:tcW w:w="1417" w:type="dxa"/>
          </w:tcPr>
          <w:p w:rsidR="008E43AB" w:rsidRDefault="008E43AB" w:rsidP="00AD51F5">
            <w:pPr>
              <w:pStyle w:val="Tabletext"/>
            </w:pPr>
            <w:r>
              <w:t>21,176(90.48)</w:t>
            </w:r>
          </w:p>
        </w:tc>
        <w:tc>
          <w:tcPr>
            <w:tcW w:w="1418" w:type="dxa"/>
          </w:tcPr>
          <w:p w:rsidR="008E43AB" w:rsidRDefault="008E43AB" w:rsidP="00AD51F5">
            <w:pPr>
              <w:pStyle w:val="Tabletext"/>
            </w:pPr>
            <w:r>
              <w:t>22,471(90.36)</w:t>
            </w:r>
          </w:p>
        </w:tc>
        <w:tc>
          <w:tcPr>
            <w:tcW w:w="1695" w:type="dxa"/>
          </w:tcPr>
          <w:p w:rsidR="008E43AB" w:rsidRDefault="008E43AB" w:rsidP="00AD51F5">
            <w:pPr>
              <w:pStyle w:val="Tabletext"/>
            </w:pPr>
            <w:r>
              <w:t>22,118(90.04)</w:t>
            </w:r>
          </w:p>
        </w:tc>
      </w:tr>
      <w:tr w:rsidR="008E43AB" w:rsidTr="00216EFB">
        <w:tc>
          <w:tcPr>
            <w:tcW w:w="1257" w:type="dxa"/>
          </w:tcPr>
          <w:p w:rsidR="008E43AB" w:rsidRDefault="008E43AB" w:rsidP="00AD51F5">
            <w:pPr>
              <w:pStyle w:val="Tabletext"/>
            </w:pPr>
            <w:r>
              <w:t>Borde</w:t>
            </w:r>
            <w:r w:rsidR="0072244B">
              <w:t>r</w:t>
            </w:r>
            <w:r>
              <w:t>line/mild</w:t>
            </w:r>
          </w:p>
        </w:tc>
        <w:tc>
          <w:tcPr>
            <w:tcW w:w="1545" w:type="dxa"/>
          </w:tcPr>
          <w:p w:rsidR="008E43AB" w:rsidRDefault="008E43AB" w:rsidP="00AD51F5">
            <w:pPr>
              <w:pStyle w:val="Tabletext"/>
            </w:pPr>
            <w:r>
              <w:t>917(3.92)</w:t>
            </w:r>
          </w:p>
        </w:tc>
        <w:tc>
          <w:tcPr>
            <w:tcW w:w="1559" w:type="dxa"/>
          </w:tcPr>
          <w:p w:rsidR="008E43AB" w:rsidRDefault="008E43AB" w:rsidP="00AD51F5">
            <w:pPr>
              <w:pStyle w:val="Tabletext"/>
            </w:pPr>
            <w:r>
              <w:t>1122(4.5)</w:t>
            </w:r>
          </w:p>
        </w:tc>
        <w:tc>
          <w:tcPr>
            <w:tcW w:w="1417" w:type="dxa"/>
          </w:tcPr>
          <w:p w:rsidR="008E43AB" w:rsidRDefault="008E43AB" w:rsidP="00AD51F5">
            <w:pPr>
              <w:pStyle w:val="Tabletext"/>
            </w:pPr>
            <w:r>
              <w:t>1277(5.5)</w:t>
            </w:r>
          </w:p>
        </w:tc>
        <w:tc>
          <w:tcPr>
            <w:tcW w:w="1418" w:type="dxa"/>
          </w:tcPr>
          <w:p w:rsidR="008E43AB" w:rsidRDefault="008E43AB" w:rsidP="00AD51F5">
            <w:pPr>
              <w:pStyle w:val="Tabletext"/>
            </w:pPr>
            <w:r>
              <w:t>1364(5.49)</w:t>
            </w:r>
          </w:p>
        </w:tc>
        <w:tc>
          <w:tcPr>
            <w:tcW w:w="1695" w:type="dxa"/>
          </w:tcPr>
          <w:p w:rsidR="008E43AB" w:rsidRDefault="008E43AB" w:rsidP="00AD51F5">
            <w:pPr>
              <w:pStyle w:val="Tabletext"/>
            </w:pPr>
            <w:r>
              <w:t>1476(6.01)</w:t>
            </w:r>
          </w:p>
        </w:tc>
      </w:tr>
      <w:tr w:rsidR="008E43AB" w:rsidTr="00216EFB">
        <w:tc>
          <w:tcPr>
            <w:tcW w:w="1257" w:type="dxa"/>
          </w:tcPr>
          <w:p w:rsidR="008E43AB" w:rsidRDefault="008E43AB" w:rsidP="00AD51F5">
            <w:pPr>
              <w:pStyle w:val="Tabletext"/>
            </w:pPr>
            <w:r>
              <w:t>Moderate</w:t>
            </w:r>
          </w:p>
        </w:tc>
        <w:tc>
          <w:tcPr>
            <w:tcW w:w="1545" w:type="dxa"/>
          </w:tcPr>
          <w:p w:rsidR="008E43AB" w:rsidRDefault="008E43AB" w:rsidP="00AD51F5">
            <w:pPr>
              <w:pStyle w:val="Tabletext"/>
            </w:pPr>
            <w:r>
              <w:t>118(0.50)</w:t>
            </w:r>
          </w:p>
        </w:tc>
        <w:tc>
          <w:tcPr>
            <w:tcW w:w="1559" w:type="dxa"/>
          </w:tcPr>
          <w:p w:rsidR="008E43AB" w:rsidRDefault="008E43AB" w:rsidP="00AD51F5">
            <w:pPr>
              <w:pStyle w:val="Tabletext"/>
            </w:pPr>
            <w:r>
              <w:t>120(0.48)</w:t>
            </w:r>
          </w:p>
        </w:tc>
        <w:tc>
          <w:tcPr>
            <w:tcW w:w="1417" w:type="dxa"/>
          </w:tcPr>
          <w:p w:rsidR="008E43AB" w:rsidRDefault="008E43AB" w:rsidP="00AD51F5">
            <w:pPr>
              <w:pStyle w:val="Tabletext"/>
            </w:pPr>
            <w:r>
              <w:t>130(0.56)</w:t>
            </w:r>
          </w:p>
        </w:tc>
        <w:tc>
          <w:tcPr>
            <w:tcW w:w="1418" w:type="dxa"/>
          </w:tcPr>
          <w:p w:rsidR="008E43AB" w:rsidRDefault="008E43AB" w:rsidP="00AD51F5">
            <w:pPr>
              <w:pStyle w:val="Tabletext"/>
            </w:pPr>
            <w:r>
              <w:t>122(0.49)</w:t>
            </w:r>
          </w:p>
        </w:tc>
        <w:tc>
          <w:tcPr>
            <w:tcW w:w="1695" w:type="dxa"/>
          </w:tcPr>
          <w:p w:rsidR="008E43AB" w:rsidRDefault="008E43AB" w:rsidP="00AD51F5">
            <w:pPr>
              <w:pStyle w:val="Tabletext"/>
            </w:pPr>
            <w:r>
              <w:t>158(0.64)</w:t>
            </w:r>
          </w:p>
        </w:tc>
      </w:tr>
      <w:tr w:rsidR="008E43AB" w:rsidTr="00216EFB">
        <w:tc>
          <w:tcPr>
            <w:tcW w:w="1257" w:type="dxa"/>
          </w:tcPr>
          <w:p w:rsidR="008E43AB" w:rsidRDefault="008E43AB" w:rsidP="00AD51F5">
            <w:pPr>
              <w:pStyle w:val="Tabletext"/>
            </w:pPr>
            <w:r>
              <w:t>Severe</w:t>
            </w:r>
          </w:p>
        </w:tc>
        <w:tc>
          <w:tcPr>
            <w:tcW w:w="1545" w:type="dxa"/>
          </w:tcPr>
          <w:p w:rsidR="008E43AB" w:rsidRDefault="008E43AB" w:rsidP="00AD51F5">
            <w:pPr>
              <w:pStyle w:val="Tabletext"/>
            </w:pPr>
            <w:r>
              <w:t>181(0.77)</w:t>
            </w:r>
          </w:p>
        </w:tc>
        <w:tc>
          <w:tcPr>
            <w:tcW w:w="1559" w:type="dxa"/>
          </w:tcPr>
          <w:p w:rsidR="008E43AB" w:rsidRDefault="008E43AB" w:rsidP="00AD51F5">
            <w:pPr>
              <w:pStyle w:val="Tabletext"/>
            </w:pPr>
            <w:r>
              <w:t>163(0.66)</w:t>
            </w:r>
          </w:p>
        </w:tc>
        <w:tc>
          <w:tcPr>
            <w:tcW w:w="1417" w:type="dxa"/>
          </w:tcPr>
          <w:p w:rsidR="008E43AB" w:rsidRDefault="008E43AB" w:rsidP="00AD51F5">
            <w:pPr>
              <w:pStyle w:val="Tabletext"/>
            </w:pPr>
            <w:r>
              <w:t>195(0.83)</w:t>
            </w:r>
          </w:p>
        </w:tc>
        <w:tc>
          <w:tcPr>
            <w:tcW w:w="1418" w:type="dxa"/>
          </w:tcPr>
          <w:p w:rsidR="008E43AB" w:rsidRDefault="008E43AB" w:rsidP="00AD51F5">
            <w:pPr>
              <w:pStyle w:val="Tabletext"/>
            </w:pPr>
            <w:r>
              <w:t>170(0.68)</w:t>
            </w:r>
          </w:p>
        </w:tc>
        <w:tc>
          <w:tcPr>
            <w:tcW w:w="1695" w:type="dxa"/>
          </w:tcPr>
          <w:p w:rsidR="008E43AB" w:rsidRDefault="008E43AB" w:rsidP="00AD51F5">
            <w:pPr>
              <w:pStyle w:val="Tabletext"/>
            </w:pPr>
            <w:r>
              <w:t>175(0.72)</w:t>
            </w:r>
          </w:p>
        </w:tc>
      </w:tr>
      <w:tr w:rsidR="008E43AB" w:rsidTr="00216EFB">
        <w:tc>
          <w:tcPr>
            <w:tcW w:w="1257" w:type="dxa"/>
          </w:tcPr>
          <w:p w:rsidR="008E43AB" w:rsidRDefault="008E43AB" w:rsidP="00AD51F5">
            <w:pPr>
              <w:pStyle w:val="Tabletext"/>
            </w:pPr>
            <w:r>
              <w:t>Total</w:t>
            </w:r>
          </w:p>
        </w:tc>
        <w:tc>
          <w:tcPr>
            <w:tcW w:w="1545" w:type="dxa"/>
          </w:tcPr>
          <w:p w:rsidR="008E43AB" w:rsidRDefault="008E43AB" w:rsidP="00AD51F5">
            <w:pPr>
              <w:pStyle w:val="Tabletext"/>
            </w:pPr>
            <w:r>
              <w:t>23,404(100)</w:t>
            </w:r>
          </w:p>
        </w:tc>
        <w:tc>
          <w:tcPr>
            <w:tcW w:w="1559" w:type="dxa"/>
          </w:tcPr>
          <w:p w:rsidR="008E43AB" w:rsidRDefault="008E43AB" w:rsidP="00AD51F5">
            <w:pPr>
              <w:pStyle w:val="Tabletext"/>
            </w:pPr>
            <w:r>
              <w:t>24,867(100)</w:t>
            </w:r>
          </w:p>
        </w:tc>
        <w:tc>
          <w:tcPr>
            <w:tcW w:w="1417" w:type="dxa"/>
          </w:tcPr>
          <w:p w:rsidR="008E43AB" w:rsidRDefault="008E43AB" w:rsidP="00AD51F5">
            <w:pPr>
              <w:pStyle w:val="Tabletext"/>
            </w:pPr>
            <w:r>
              <w:t>23,404(100)</w:t>
            </w:r>
          </w:p>
        </w:tc>
        <w:tc>
          <w:tcPr>
            <w:tcW w:w="1418" w:type="dxa"/>
          </w:tcPr>
          <w:p w:rsidR="008E43AB" w:rsidRDefault="008E43AB" w:rsidP="00AD51F5">
            <w:pPr>
              <w:pStyle w:val="Tabletext"/>
            </w:pPr>
            <w:r>
              <w:t>24,867(100)</w:t>
            </w:r>
          </w:p>
        </w:tc>
        <w:tc>
          <w:tcPr>
            <w:tcW w:w="1695" w:type="dxa"/>
          </w:tcPr>
          <w:p w:rsidR="008E43AB" w:rsidRDefault="008E43AB" w:rsidP="00AD51F5">
            <w:pPr>
              <w:pStyle w:val="Tabletext"/>
            </w:pPr>
            <w:r>
              <w:t>24,566(100)</w:t>
            </w:r>
          </w:p>
        </w:tc>
      </w:tr>
    </w:tbl>
    <w:p w:rsidR="0054583C" w:rsidRDefault="00181166" w:rsidP="00303D7C">
      <w:pPr>
        <w:pStyle w:val="Tabletext"/>
      </w:pPr>
      <w:r>
        <w:t xml:space="preserve">Abbreviations: BD, Becker Dickenson; </w:t>
      </w:r>
      <w:r w:rsidRPr="0054583C">
        <w:t xml:space="preserve">GS, </w:t>
      </w:r>
      <w:r w:rsidR="0054583C" w:rsidRPr="0054583C">
        <w:t xml:space="preserve">guided system; </w:t>
      </w:r>
      <w:r w:rsidRPr="0054583C">
        <w:t xml:space="preserve">SP, </w:t>
      </w:r>
      <w:r w:rsidR="0054583C" w:rsidRPr="0054583C">
        <w:t xml:space="preserve">SurePath; </w:t>
      </w:r>
      <w:r w:rsidRPr="0054583C">
        <w:t>TP,</w:t>
      </w:r>
      <w:r>
        <w:t xml:space="preserve"> </w:t>
      </w:r>
      <w:r w:rsidR="0054583C">
        <w:t>ThinPrep</w:t>
      </w:r>
    </w:p>
    <w:p w:rsidR="00181166" w:rsidRDefault="0072244B" w:rsidP="00303D7C">
      <w:pPr>
        <w:pStyle w:val="Tabletext"/>
      </w:pPr>
      <w:r>
        <w:t xml:space="preserve">Source: Kitchener </w:t>
      </w:r>
      <w:r w:rsidR="008E43AB">
        <w:t>2011</w:t>
      </w:r>
      <w:r w:rsidR="000C1751">
        <w:t>a</w:t>
      </w:r>
      <w:r w:rsidR="008E43AB">
        <w:t xml:space="preserve"> Table 18 and Table 19</w:t>
      </w:r>
    </w:p>
    <w:p w:rsidR="008E43AB" w:rsidRPr="00216EFB" w:rsidRDefault="008E43AB" w:rsidP="0072244B">
      <w:pPr>
        <w:pStyle w:val="Heading40"/>
      </w:pPr>
      <w:r w:rsidRPr="00216EFB">
        <w:t>Comparison between manual readings in manual-only arm</w:t>
      </w:r>
    </w:p>
    <w:p w:rsidR="008E43AB" w:rsidRDefault="008E43AB" w:rsidP="008E43AB">
      <w:r>
        <w:t xml:space="preserve">Upon reviewing the association between </w:t>
      </w:r>
      <w:r w:rsidR="00127975">
        <w:t>manual result 1 (</w:t>
      </w:r>
      <w:r>
        <w:t>MR1</w:t>
      </w:r>
      <w:r w:rsidR="00127975">
        <w:t>)</w:t>
      </w:r>
      <w:r w:rsidR="0072244B">
        <w:t xml:space="preserve"> and final management result</w:t>
      </w:r>
      <w:r>
        <w:t xml:space="preserve"> there was discordance in 5.1% of cases, half of which were due to borderline/negative mismatches; most were borderline MR1s downgraded to negative in checking</w:t>
      </w:r>
      <w:r w:rsidR="00127975">
        <w:t xml:space="preserve"> (</w:t>
      </w:r>
      <w:r w:rsidR="00086C77">
        <w:fldChar w:fldCharType="begin"/>
      </w:r>
      <w:r w:rsidR="00127975">
        <w:instrText xml:space="preserve"> REF _Ref331752357 \h </w:instrText>
      </w:r>
      <w:r w:rsidR="00086C77">
        <w:fldChar w:fldCharType="separate"/>
      </w:r>
      <w:r w:rsidR="003361A8">
        <w:t xml:space="preserve">Table </w:t>
      </w:r>
      <w:r w:rsidR="003361A8">
        <w:rPr>
          <w:noProof/>
        </w:rPr>
        <w:t>69</w:t>
      </w:r>
      <w:r w:rsidR="00086C77">
        <w:fldChar w:fldCharType="end"/>
      </w:r>
      <w:r w:rsidR="00127975">
        <w:t>)</w:t>
      </w:r>
      <w:r>
        <w:t>.</w:t>
      </w:r>
      <w:r w:rsidRPr="00962CF6">
        <w:t xml:space="preserve"> </w:t>
      </w:r>
    </w:p>
    <w:p w:rsidR="008E43AB" w:rsidRDefault="008E43AB" w:rsidP="008E43AB">
      <w:pPr>
        <w:pStyle w:val="Caption"/>
      </w:pPr>
      <w:bookmarkStart w:id="464" w:name="_Ref331752357"/>
      <w:bookmarkStart w:id="465" w:name="_Toc331766507"/>
      <w:bookmarkStart w:id="466" w:name="_Toc335666041"/>
      <w:bookmarkStart w:id="467" w:name="_Toc337547006"/>
      <w:r>
        <w:lastRenderedPageBreak/>
        <w:t xml:space="preserve">Table </w:t>
      </w:r>
      <w:fldSimple w:instr=" SEQ Table \* ARABIC ">
        <w:r w:rsidR="003361A8">
          <w:rPr>
            <w:noProof/>
          </w:rPr>
          <w:t>69</w:t>
        </w:r>
      </w:fldSimple>
      <w:bookmarkEnd w:id="464"/>
      <w:r>
        <w:tab/>
        <w:t>Manual review</w:t>
      </w:r>
      <w:r w:rsidRPr="002320DA">
        <w:t xml:space="preserve"> </w:t>
      </w:r>
      <w:r w:rsidR="0054583C">
        <w:t>concordance—</w:t>
      </w:r>
      <w:r>
        <w:t xml:space="preserve">First manual result versus </w:t>
      </w:r>
      <w:r w:rsidR="0072244B">
        <w:t xml:space="preserve">final manual </w:t>
      </w:r>
      <w:r>
        <w:t xml:space="preserve">result </w:t>
      </w:r>
      <w:r w:rsidRPr="00932B53">
        <w:t>(SurePath</w:t>
      </w:r>
      <w:r>
        <w:t xml:space="preserve"> and ThinPrep smears</w:t>
      </w:r>
      <w:r w:rsidR="0072244B">
        <w:t xml:space="preserve">): </w:t>
      </w:r>
      <w:r>
        <w:t>Kitchener</w:t>
      </w:r>
      <w:r w:rsidR="0072244B">
        <w:t xml:space="preserve"> </w:t>
      </w:r>
      <w:r w:rsidRPr="00932B53">
        <w:t>20</w:t>
      </w:r>
      <w:r>
        <w:t>11</w:t>
      </w:r>
      <w:r w:rsidR="000C1751">
        <w:t>a</w:t>
      </w:r>
      <w:bookmarkEnd w:id="465"/>
      <w:bookmarkEnd w:id="466"/>
      <w:bookmarkEnd w:id="46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8"/>
        <w:gridCol w:w="1037"/>
        <w:gridCol w:w="876"/>
        <w:gridCol w:w="964"/>
        <w:gridCol w:w="721"/>
        <w:gridCol w:w="909"/>
        <w:gridCol w:w="819"/>
        <w:gridCol w:w="742"/>
        <w:gridCol w:w="855"/>
        <w:gridCol w:w="810"/>
      </w:tblGrid>
      <w:tr w:rsidR="00216EFB" w:rsidTr="00216EFB">
        <w:tc>
          <w:tcPr>
            <w:tcW w:w="1168" w:type="dxa"/>
          </w:tcPr>
          <w:p w:rsidR="00216EFB" w:rsidRDefault="00216EFB" w:rsidP="00AD51F5">
            <w:pPr>
              <w:pStyle w:val="Tabletext"/>
            </w:pPr>
          </w:p>
        </w:tc>
        <w:tc>
          <w:tcPr>
            <w:tcW w:w="7723" w:type="dxa"/>
            <w:gridSpan w:val="9"/>
          </w:tcPr>
          <w:p w:rsidR="00216EFB" w:rsidRPr="0072244B" w:rsidRDefault="0072244B" w:rsidP="00181166">
            <w:pPr>
              <w:pStyle w:val="Tabletext"/>
              <w:jc w:val="center"/>
              <w:rPr>
                <w:b/>
              </w:rPr>
            </w:pPr>
            <w:r w:rsidRPr="0072244B">
              <w:rPr>
                <w:b/>
              </w:rPr>
              <w:t>Management result 1</w:t>
            </w:r>
          </w:p>
        </w:tc>
      </w:tr>
      <w:tr w:rsidR="008E43AB" w:rsidTr="00082522">
        <w:tc>
          <w:tcPr>
            <w:tcW w:w="1168" w:type="dxa"/>
          </w:tcPr>
          <w:p w:rsidR="008E43AB" w:rsidRPr="00216EFB" w:rsidRDefault="0072244B" w:rsidP="00AD51F5">
            <w:pPr>
              <w:pStyle w:val="Tabletext"/>
              <w:rPr>
                <w:b/>
              </w:rPr>
            </w:pPr>
            <w:r>
              <w:rPr>
                <w:b/>
              </w:rPr>
              <w:t>Final manual</w:t>
            </w:r>
            <w:r w:rsidRPr="0072244B">
              <w:rPr>
                <w:b/>
              </w:rPr>
              <w:t xml:space="preserve"> result</w:t>
            </w:r>
          </w:p>
        </w:tc>
        <w:tc>
          <w:tcPr>
            <w:tcW w:w="1037" w:type="dxa"/>
          </w:tcPr>
          <w:p w:rsidR="008E43AB" w:rsidRDefault="008E43AB" w:rsidP="00AD51F5">
            <w:pPr>
              <w:pStyle w:val="Tabletext"/>
            </w:pPr>
            <w:r>
              <w:t>Inadequate</w:t>
            </w:r>
          </w:p>
        </w:tc>
        <w:tc>
          <w:tcPr>
            <w:tcW w:w="877" w:type="dxa"/>
          </w:tcPr>
          <w:p w:rsidR="008E43AB" w:rsidRDefault="008E43AB" w:rsidP="00AD51F5">
            <w:pPr>
              <w:pStyle w:val="Tabletext"/>
            </w:pPr>
            <w:r>
              <w:t>Negative</w:t>
            </w:r>
          </w:p>
        </w:tc>
        <w:tc>
          <w:tcPr>
            <w:tcW w:w="909" w:type="dxa"/>
          </w:tcPr>
          <w:p w:rsidR="008E43AB" w:rsidRDefault="008E43AB" w:rsidP="00AD51F5">
            <w:pPr>
              <w:pStyle w:val="Tabletext"/>
            </w:pPr>
            <w:r>
              <w:t>Borde</w:t>
            </w:r>
            <w:r w:rsidR="0072244B">
              <w:t>r</w:t>
            </w:r>
            <w:r>
              <w:t>line</w:t>
            </w:r>
          </w:p>
        </w:tc>
        <w:tc>
          <w:tcPr>
            <w:tcW w:w="736" w:type="dxa"/>
          </w:tcPr>
          <w:p w:rsidR="008E43AB" w:rsidRDefault="008E43AB" w:rsidP="00AD51F5">
            <w:pPr>
              <w:pStyle w:val="Tabletext"/>
            </w:pPr>
            <w:r>
              <w:t>Mild</w:t>
            </w:r>
          </w:p>
        </w:tc>
        <w:tc>
          <w:tcPr>
            <w:tcW w:w="909" w:type="dxa"/>
          </w:tcPr>
          <w:p w:rsidR="008E43AB" w:rsidRDefault="008E43AB" w:rsidP="00AD51F5">
            <w:pPr>
              <w:pStyle w:val="Tabletext"/>
            </w:pPr>
            <w:r>
              <w:t>Moderate</w:t>
            </w:r>
          </w:p>
        </w:tc>
        <w:tc>
          <w:tcPr>
            <w:tcW w:w="825" w:type="dxa"/>
          </w:tcPr>
          <w:p w:rsidR="008E43AB" w:rsidRDefault="008E43AB" w:rsidP="00AD51F5">
            <w:pPr>
              <w:pStyle w:val="Tabletext"/>
            </w:pPr>
            <w:r>
              <w:t>Severe</w:t>
            </w:r>
          </w:p>
        </w:tc>
        <w:tc>
          <w:tcPr>
            <w:tcW w:w="755" w:type="dxa"/>
          </w:tcPr>
          <w:p w:rsidR="008E43AB" w:rsidRDefault="008E43AB" w:rsidP="00AD51F5">
            <w:pPr>
              <w:pStyle w:val="Tabletext"/>
            </w:pPr>
            <w:r>
              <w:t>Glan Neo</w:t>
            </w:r>
          </w:p>
        </w:tc>
        <w:tc>
          <w:tcPr>
            <w:tcW w:w="858" w:type="dxa"/>
          </w:tcPr>
          <w:p w:rsidR="008E43AB" w:rsidRDefault="00181166" w:rsidP="00AD51F5">
            <w:pPr>
              <w:pStyle w:val="Tabletext"/>
            </w:pPr>
            <w:r>
              <w:t>Q i</w:t>
            </w:r>
            <w:r w:rsidR="008E43AB">
              <w:t>nvasive</w:t>
            </w:r>
          </w:p>
        </w:tc>
        <w:tc>
          <w:tcPr>
            <w:tcW w:w="817" w:type="dxa"/>
          </w:tcPr>
          <w:p w:rsidR="008E43AB" w:rsidRDefault="008E43AB" w:rsidP="00AD51F5">
            <w:pPr>
              <w:pStyle w:val="Tabletext"/>
            </w:pPr>
            <w:r>
              <w:t>Total</w:t>
            </w:r>
          </w:p>
        </w:tc>
      </w:tr>
      <w:tr w:rsidR="008E43AB" w:rsidTr="00082522">
        <w:tc>
          <w:tcPr>
            <w:tcW w:w="1168" w:type="dxa"/>
          </w:tcPr>
          <w:p w:rsidR="008E43AB" w:rsidRDefault="008E43AB" w:rsidP="00AD51F5">
            <w:pPr>
              <w:pStyle w:val="Tabletext"/>
            </w:pPr>
            <w:r>
              <w:t>Inadequate</w:t>
            </w:r>
          </w:p>
        </w:tc>
        <w:tc>
          <w:tcPr>
            <w:tcW w:w="1037" w:type="dxa"/>
          </w:tcPr>
          <w:p w:rsidR="008E43AB" w:rsidRPr="00216EFB" w:rsidRDefault="008E43AB" w:rsidP="00AD51F5">
            <w:pPr>
              <w:pStyle w:val="Tabletext"/>
              <w:rPr>
                <w:b/>
              </w:rPr>
            </w:pPr>
            <w:r w:rsidRPr="00216EFB">
              <w:rPr>
                <w:b/>
              </w:rPr>
              <w:t>564</w:t>
            </w:r>
          </w:p>
        </w:tc>
        <w:tc>
          <w:tcPr>
            <w:tcW w:w="877" w:type="dxa"/>
          </w:tcPr>
          <w:p w:rsidR="008E43AB" w:rsidRDefault="008E43AB" w:rsidP="00AD51F5">
            <w:pPr>
              <w:pStyle w:val="Tabletext"/>
            </w:pPr>
            <w:r>
              <w:t>52</w:t>
            </w:r>
          </w:p>
        </w:tc>
        <w:tc>
          <w:tcPr>
            <w:tcW w:w="909" w:type="dxa"/>
          </w:tcPr>
          <w:p w:rsidR="008E43AB" w:rsidRDefault="008E43AB" w:rsidP="00AD51F5">
            <w:pPr>
              <w:pStyle w:val="Tabletext"/>
            </w:pPr>
            <w:r>
              <w:t>20</w:t>
            </w:r>
          </w:p>
        </w:tc>
        <w:tc>
          <w:tcPr>
            <w:tcW w:w="736" w:type="dxa"/>
          </w:tcPr>
          <w:p w:rsidR="008E43AB" w:rsidRDefault="008E43AB" w:rsidP="00AD51F5">
            <w:pPr>
              <w:pStyle w:val="Tabletext"/>
            </w:pPr>
            <w:r>
              <w:t>2</w:t>
            </w:r>
          </w:p>
        </w:tc>
        <w:tc>
          <w:tcPr>
            <w:tcW w:w="909" w:type="dxa"/>
          </w:tcPr>
          <w:p w:rsidR="008E43AB" w:rsidRDefault="008E43AB" w:rsidP="00AD51F5">
            <w:pPr>
              <w:pStyle w:val="Tabletext"/>
            </w:pPr>
            <w:r>
              <w:t>1</w:t>
            </w:r>
          </w:p>
        </w:tc>
        <w:tc>
          <w:tcPr>
            <w:tcW w:w="825" w:type="dxa"/>
          </w:tcPr>
          <w:p w:rsidR="008E43AB" w:rsidRDefault="008E43AB" w:rsidP="00AD51F5">
            <w:pPr>
              <w:pStyle w:val="Tabletext"/>
            </w:pPr>
          </w:p>
        </w:tc>
        <w:tc>
          <w:tcPr>
            <w:tcW w:w="755" w:type="dxa"/>
          </w:tcPr>
          <w:p w:rsidR="008E43AB" w:rsidRDefault="008E43AB" w:rsidP="00AD51F5">
            <w:pPr>
              <w:pStyle w:val="Tabletext"/>
            </w:pPr>
          </w:p>
        </w:tc>
        <w:tc>
          <w:tcPr>
            <w:tcW w:w="858" w:type="dxa"/>
          </w:tcPr>
          <w:p w:rsidR="008E43AB" w:rsidRDefault="008E43AB" w:rsidP="00AD51F5">
            <w:pPr>
              <w:pStyle w:val="Tabletext"/>
            </w:pPr>
          </w:p>
        </w:tc>
        <w:tc>
          <w:tcPr>
            <w:tcW w:w="817" w:type="dxa"/>
          </w:tcPr>
          <w:p w:rsidR="008E43AB" w:rsidRDefault="008E43AB" w:rsidP="00AD51F5">
            <w:pPr>
              <w:pStyle w:val="Tabletext"/>
            </w:pPr>
            <w:r>
              <w:t>639</w:t>
            </w:r>
          </w:p>
        </w:tc>
      </w:tr>
      <w:tr w:rsidR="008E43AB" w:rsidTr="00082522">
        <w:tc>
          <w:tcPr>
            <w:tcW w:w="1168" w:type="dxa"/>
          </w:tcPr>
          <w:p w:rsidR="008E43AB" w:rsidRDefault="008E43AB" w:rsidP="00AD51F5">
            <w:pPr>
              <w:pStyle w:val="Tabletext"/>
            </w:pPr>
            <w:r>
              <w:t>Negative</w:t>
            </w:r>
          </w:p>
        </w:tc>
        <w:tc>
          <w:tcPr>
            <w:tcW w:w="1037" w:type="dxa"/>
          </w:tcPr>
          <w:p w:rsidR="008E43AB" w:rsidRDefault="008E43AB" w:rsidP="00AD51F5">
            <w:pPr>
              <w:pStyle w:val="Tabletext"/>
            </w:pPr>
            <w:r>
              <w:t>18</w:t>
            </w:r>
          </w:p>
        </w:tc>
        <w:tc>
          <w:tcPr>
            <w:tcW w:w="877" w:type="dxa"/>
          </w:tcPr>
          <w:p w:rsidR="008E43AB" w:rsidRPr="00216EFB" w:rsidRDefault="008E43AB" w:rsidP="00AD51F5">
            <w:pPr>
              <w:pStyle w:val="Tabletext"/>
              <w:rPr>
                <w:b/>
              </w:rPr>
            </w:pPr>
            <w:r w:rsidRPr="00216EFB">
              <w:rPr>
                <w:b/>
              </w:rPr>
              <w:t>21,528</w:t>
            </w:r>
          </w:p>
        </w:tc>
        <w:tc>
          <w:tcPr>
            <w:tcW w:w="909" w:type="dxa"/>
          </w:tcPr>
          <w:p w:rsidR="008E43AB" w:rsidRDefault="008E43AB" w:rsidP="00AD51F5">
            <w:pPr>
              <w:pStyle w:val="Tabletext"/>
            </w:pPr>
            <w:r>
              <w:t>542</w:t>
            </w:r>
          </w:p>
        </w:tc>
        <w:tc>
          <w:tcPr>
            <w:tcW w:w="736" w:type="dxa"/>
          </w:tcPr>
          <w:p w:rsidR="008E43AB" w:rsidRDefault="008E43AB" w:rsidP="00AD51F5">
            <w:pPr>
              <w:pStyle w:val="Tabletext"/>
            </w:pPr>
            <w:r>
              <w:t>23</w:t>
            </w:r>
          </w:p>
        </w:tc>
        <w:tc>
          <w:tcPr>
            <w:tcW w:w="909" w:type="dxa"/>
          </w:tcPr>
          <w:p w:rsidR="008E43AB" w:rsidRDefault="008E43AB" w:rsidP="00AD51F5">
            <w:pPr>
              <w:pStyle w:val="Tabletext"/>
            </w:pPr>
            <w:r>
              <w:t>3</w:t>
            </w:r>
          </w:p>
        </w:tc>
        <w:tc>
          <w:tcPr>
            <w:tcW w:w="825" w:type="dxa"/>
          </w:tcPr>
          <w:p w:rsidR="008E43AB" w:rsidRDefault="008E43AB" w:rsidP="00AD51F5">
            <w:pPr>
              <w:pStyle w:val="Tabletext"/>
            </w:pPr>
            <w:r>
              <w:t>3</w:t>
            </w:r>
          </w:p>
        </w:tc>
        <w:tc>
          <w:tcPr>
            <w:tcW w:w="755" w:type="dxa"/>
          </w:tcPr>
          <w:p w:rsidR="008E43AB" w:rsidRDefault="008E43AB" w:rsidP="00AD51F5">
            <w:pPr>
              <w:pStyle w:val="Tabletext"/>
            </w:pPr>
          </w:p>
        </w:tc>
        <w:tc>
          <w:tcPr>
            <w:tcW w:w="858" w:type="dxa"/>
          </w:tcPr>
          <w:p w:rsidR="008E43AB" w:rsidRDefault="008E43AB" w:rsidP="00AD51F5">
            <w:pPr>
              <w:pStyle w:val="Tabletext"/>
            </w:pPr>
            <w:r>
              <w:t>1</w:t>
            </w:r>
          </w:p>
        </w:tc>
        <w:tc>
          <w:tcPr>
            <w:tcW w:w="817" w:type="dxa"/>
          </w:tcPr>
          <w:p w:rsidR="008E43AB" w:rsidRDefault="008E43AB" w:rsidP="00AD51F5">
            <w:pPr>
              <w:pStyle w:val="Tabletext"/>
            </w:pPr>
            <w:r>
              <w:t>22,118</w:t>
            </w:r>
          </w:p>
        </w:tc>
      </w:tr>
      <w:tr w:rsidR="008E43AB" w:rsidTr="00082522">
        <w:tc>
          <w:tcPr>
            <w:tcW w:w="1168" w:type="dxa"/>
          </w:tcPr>
          <w:p w:rsidR="008E43AB" w:rsidRDefault="008E43AB" w:rsidP="00AD51F5">
            <w:pPr>
              <w:pStyle w:val="Tabletext"/>
            </w:pPr>
            <w:r>
              <w:t>Borde</w:t>
            </w:r>
            <w:r w:rsidR="00181166">
              <w:t>r</w:t>
            </w:r>
            <w:r>
              <w:t>line</w:t>
            </w:r>
          </w:p>
        </w:tc>
        <w:tc>
          <w:tcPr>
            <w:tcW w:w="1037" w:type="dxa"/>
          </w:tcPr>
          <w:p w:rsidR="008E43AB" w:rsidRDefault="008E43AB" w:rsidP="00AD51F5">
            <w:pPr>
              <w:pStyle w:val="Tabletext"/>
            </w:pPr>
            <w:r>
              <w:t>2</w:t>
            </w:r>
          </w:p>
        </w:tc>
        <w:tc>
          <w:tcPr>
            <w:tcW w:w="877" w:type="dxa"/>
          </w:tcPr>
          <w:p w:rsidR="008E43AB" w:rsidRDefault="008E43AB" w:rsidP="00AD51F5">
            <w:pPr>
              <w:pStyle w:val="Tabletext"/>
            </w:pPr>
            <w:r>
              <w:t xml:space="preserve">72 </w:t>
            </w:r>
          </w:p>
        </w:tc>
        <w:tc>
          <w:tcPr>
            <w:tcW w:w="909" w:type="dxa"/>
          </w:tcPr>
          <w:p w:rsidR="008E43AB" w:rsidRPr="00216EFB" w:rsidRDefault="008E43AB" w:rsidP="00AD51F5">
            <w:pPr>
              <w:pStyle w:val="Tabletext"/>
              <w:rPr>
                <w:b/>
              </w:rPr>
            </w:pPr>
            <w:r w:rsidRPr="00216EFB">
              <w:rPr>
                <w:b/>
              </w:rPr>
              <w:t>623</w:t>
            </w:r>
          </w:p>
        </w:tc>
        <w:tc>
          <w:tcPr>
            <w:tcW w:w="736" w:type="dxa"/>
          </w:tcPr>
          <w:p w:rsidR="008E43AB" w:rsidRDefault="008E43AB" w:rsidP="00AD51F5">
            <w:pPr>
              <w:pStyle w:val="Tabletext"/>
            </w:pPr>
            <w:r>
              <w:t>89</w:t>
            </w:r>
          </w:p>
        </w:tc>
        <w:tc>
          <w:tcPr>
            <w:tcW w:w="909" w:type="dxa"/>
          </w:tcPr>
          <w:p w:rsidR="008E43AB" w:rsidRDefault="008E43AB" w:rsidP="00AD51F5">
            <w:pPr>
              <w:pStyle w:val="Tabletext"/>
            </w:pPr>
            <w:r>
              <w:t>13</w:t>
            </w:r>
          </w:p>
        </w:tc>
        <w:tc>
          <w:tcPr>
            <w:tcW w:w="825" w:type="dxa"/>
          </w:tcPr>
          <w:p w:rsidR="008E43AB" w:rsidRDefault="008E43AB" w:rsidP="00AD51F5">
            <w:pPr>
              <w:pStyle w:val="Tabletext"/>
            </w:pPr>
            <w:r>
              <w:t>4</w:t>
            </w:r>
          </w:p>
        </w:tc>
        <w:tc>
          <w:tcPr>
            <w:tcW w:w="755" w:type="dxa"/>
          </w:tcPr>
          <w:p w:rsidR="008E43AB" w:rsidRDefault="008E43AB" w:rsidP="00AD51F5">
            <w:pPr>
              <w:pStyle w:val="Tabletext"/>
            </w:pPr>
            <w:r>
              <w:t>2</w:t>
            </w:r>
          </w:p>
        </w:tc>
        <w:tc>
          <w:tcPr>
            <w:tcW w:w="858" w:type="dxa"/>
          </w:tcPr>
          <w:p w:rsidR="008E43AB" w:rsidRDefault="008E43AB" w:rsidP="00AD51F5">
            <w:pPr>
              <w:pStyle w:val="Tabletext"/>
            </w:pPr>
            <w:r>
              <w:t>3</w:t>
            </w:r>
          </w:p>
        </w:tc>
        <w:tc>
          <w:tcPr>
            <w:tcW w:w="817" w:type="dxa"/>
          </w:tcPr>
          <w:p w:rsidR="008E43AB" w:rsidRDefault="008E43AB" w:rsidP="00AD51F5">
            <w:pPr>
              <w:pStyle w:val="Tabletext"/>
            </w:pPr>
            <w:r>
              <w:t>808</w:t>
            </w:r>
          </w:p>
        </w:tc>
      </w:tr>
      <w:tr w:rsidR="008E43AB" w:rsidTr="00082522">
        <w:tc>
          <w:tcPr>
            <w:tcW w:w="1168" w:type="dxa"/>
          </w:tcPr>
          <w:p w:rsidR="008E43AB" w:rsidRDefault="008E43AB" w:rsidP="00AD51F5">
            <w:pPr>
              <w:pStyle w:val="Tabletext"/>
            </w:pPr>
            <w:r>
              <w:t>Mild</w:t>
            </w:r>
          </w:p>
        </w:tc>
        <w:tc>
          <w:tcPr>
            <w:tcW w:w="1037" w:type="dxa"/>
          </w:tcPr>
          <w:p w:rsidR="008E43AB" w:rsidRDefault="008E43AB" w:rsidP="00AD51F5">
            <w:pPr>
              <w:pStyle w:val="Tabletext"/>
            </w:pPr>
          </w:p>
        </w:tc>
        <w:tc>
          <w:tcPr>
            <w:tcW w:w="877" w:type="dxa"/>
          </w:tcPr>
          <w:p w:rsidR="008E43AB" w:rsidRDefault="008E43AB" w:rsidP="00AD51F5">
            <w:pPr>
              <w:pStyle w:val="Tabletext"/>
            </w:pPr>
            <w:r>
              <w:t>18</w:t>
            </w:r>
          </w:p>
        </w:tc>
        <w:tc>
          <w:tcPr>
            <w:tcW w:w="909" w:type="dxa"/>
          </w:tcPr>
          <w:p w:rsidR="008E43AB" w:rsidRDefault="008E43AB" w:rsidP="00AD51F5">
            <w:pPr>
              <w:pStyle w:val="Tabletext"/>
            </w:pPr>
            <w:r>
              <w:t>201</w:t>
            </w:r>
          </w:p>
        </w:tc>
        <w:tc>
          <w:tcPr>
            <w:tcW w:w="736" w:type="dxa"/>
          </w:tcPr>
          <w:p w:rsidR="008E43AB" w:rsidRPr="00216EFB" w:rsidRDefault="008E43AB" w:rsidP="00AD51F5">
            <w:pPr>
              <w:pStyle w:val="Tabletext"/>
              <w:rPr>
                <w:b/>
              </w:rPr>
            </w:pPr>
            <w:r w:rsidRPr="00216EFB">
              <w:rPr>
                <w:b/>
              </w:rPr>
              <w:t>413</w:t>
            </w:r>
          </w:p>
        </w:tc>
        <w:tc>
          <w:tcPr>
            <w:tcW w:w="909" w:type="dxa"/>
          </w:tcPr>
          <w:p w:rsidR="008E43AB" w:rsidRDefault="008E43AB" w:rsidP="00AD51F5">
            <w:pPr>
              <w:pStyle w:val="Tabletext"/>
            </w:pPr>
            <w:r>
              <w:t>33</w:t>
            </w:r>
          </w:p>
        </w:tc>
        <w:tc>
          <w:tcPr>
            <w:tcW w:w="825" w:type="dxa"/>
          </w:tcPr>
          <w:p w:rsidR="008E43AB" w:rsidRDefault="008E43AB" w:rsidP="00AD51F5">
            <w:pPr>
              <w:pStyle w:val="Tabletext"/>
            </w:pPr>
            <w:r>
              <w:t>3</w:t>
            </w:r>
          </w:p>
        </w:tc>
        <w:tc>
          <w:tcPr>
            <w:tcW w:w="755" w:type="dxa"/>
          </w:tcPr>
          <w:p w:rsidR="008E43AB" w:rsidRDefault="008E43AB" w:rsidP="00AD51F5">
            <w:pPr>
              <w:pStyle w:val="Tabletext"/>
            </w:pPr>
          </w:p>
        </w:tc>
        <w:tc>
          <w:tcPr>
            <w:tcW w:w="858" w:type="dxa"/>
          </w:tcPr>
          <w:p w:rsidR="008E43AB" w:rsidRDefault="008E43AB" w:rsidP="00AD51F5">
            <w:pPr>
              <w:pStyle w:val="Tabletext"/>
            </w:pPr>
          </w:p>
        </w:tc>
        <w:tc>
          <w:tcPr>
            <w:tcW w:w="817" w:type="dxa"/>
          </w:tcPr>
          <w:p w:rsidR="008E43AB" w:rsidRDefault="008E43AB" w:rsidP="00AD51F5">
            <w:pPr>
              <w:pStyle w:val="Tabletext"/>
            </w:pPr>
            <w:r>
              <w:t>668</w:t>
            </w:r>
          </w:p>
        </w:tc>
      </w:tr>
      <w:tr w:rsidR="008E43AB" w:rsidTr="00082522">
        <w:tc>
          <w:tcPr>
            <w:tcW w:w="1168" w:type="dxa"/>
          </w:tcPr>
          <w:p w:rsidR="008E43AB" w:rsidRDefault="008E43AB" w:rsidP="00AD51F5">
            <w:pPr>
              <w:pStyle w:val="Tabletext"/>
            </w:pPr>
            <w:r>
              <w:t>Moderate</w:t>
            </w:r>
          </w:p>
        </w:tc>
        <w:tc>
          <w:tcPr>
            <w:tcW w:w="1037" w:type="dxa"/>
          </w:tcPr>
          <w:p w:rsidR="008E43AB" w:rsidRDefault="008E43AB" w:rsidP="00AD51F5">
            <w:pPr>
              <w:pStyle w:val="Tabletext"/>
            </w:pPr>
          </w:p>
        </w:tc>
        <w:tc>
          <w:tcPr>
            <w:tcW w:w="877" w:type="dxa"/>
          </w:tcPr>
          <w:p w:rsidR="008E43AB" w:rsidRDefault="008E43AB" w:rsidP="00AD51F5">
            <w:pPr>
              <w:pStyle w:val="Tabletext"/>
            </w:pPr>
            <w:r>
              <w:t>4</w:t>
            </w:r>
          </w:p>
        </w:tc>
        <w:tc>
          <w:tcPr>
            <w:tcW w:w="909" w:type="dxa"/>
          </w:tcPr>
          <w:p w:rsidR="008E43AB" w:rsidRDefault="008E43AB" w:rsidP="00AD51F5">
            <w:pPr>
              <w:pStyle w:val="Tabletext"/>
            </w:pPr>
            <w:r>
              <w:t>18</w:t>
            </w:r>
          </w:p>
        </w:tc>
        <w:tc>
          <w:tcPr>
            <w:tcW w:w="736" w:type="dxa"/>
          </w:tcPr>
          <w:p w:rsidR="008E43AB" w:rsidRDefault="008E43AB" w:rsidP="00AD51F5">
            <w:pPr>
              <w:pStyle w:val="Tabletext"/>
            </w:pPr>
            <w:r>
              <w:t>47</w:t>
            </w:r>
          </w:p>
        </w:tc>
        <w:tc>
          <w:tcPr>
            <w:tcW w:w="909" w:type="dxa"/>
          </w:tcPr>
          <w:p w:rsidR="008E43AB" w:rsidRPr="00216EFB" w:rsidRDefault="008E43AB" w:rsidP="00AD51F5">
            <w:pPr>
              <w:pStyle w:val="Tabletext"/>
              <w:rPr>
                <w:b/>
              </w:rPr>
            </w:pPr>
            <w:r w:rsidRPr="00216EFB">
              <w:rPr>
                <w:b/>
              </w:rPr>
              <w:t>80</w:t>
            </w:r>
          </w:p>
        </w:tc>
        <w:tc>
          <w:tcPr>
            <w:tcW w:w="825" w:type="dxa"/>
          </w:tcPr>
          <w:p w:rsidR="008E43AB" w:rsidRDefault="008E43AB" w:rsidP="00AD51F5">
            <w:pPr>
              <w:pStyle w:val="Tabletext"/>
            </w:pPr>
            <w:r>
              <w:t>9</w:t>
            </w:r>
          </w:p>
        </w:tc>
        <w:tc>
          <w:tcPr>
            <w:tcW w:w="755" w:type="dxa"/>
          </w:tcPr>
          <w:p w:rsidR="008E43AB" w:rsidRDefault="008E43AB" w:rsidP="00AD51F5">
            <w:pPr>
              <w:pStyle w:val="Tabletext"/>
            </w:pPr>
          </w:p>
        </w:tc>
        <w:tc>
          <w:tcPr>
            <w:tcW w:w="858" w:type="dxa"/>
          </w:tcPr>
          <w:p w:rsidR="008E43AB" w:rsidRDefault="008E43AB" w:rsidP="00AD51F5">
            <w:pPr>
              <w:pStyle w:val="Tabletext"/>
            </w:pPr>
          </w:p>
        </w:tc>
        <w:tc>
          <w:tcPr>
            <w:tcW w:w="817" w:type="dxa"/>
          </w:tcPr>
          <w:p w:rsidR="008E43AB" w:rsidRDefault="008E43AB" w:rsidP="00AD51F5">
            <w:pPr>
              <w:pStyle w:val="Tabletext"/>
            </w:pPr>
            <w:r>
              <w:t>158</w:t>
            </w:r>
          </w:p>
        </w:tc>
      </w:tr>
      <w:tr w:rsidR="008E43AB" w:rsidTr="00082522">
        <w:tc>
          <w:tcPr>
            <w:tcW w:w="1168" w:type="dxa"/>
          </w:tcPr>
          <w:p w:rsidR="008E43AB" w:rsidRDefault="008E43AB" w:rsidP="00AD51F5">
            <w:pPr>
              <w:pStyle w:val="Tabletext"/>
            </w:pPr>
            <w:r>
              <w:t>Severe</w:t>
            </w:r>
          </w:p>
        </w:tc>
        <w:tc>
          <w:tcPr>
            <w:tcW w:w="1037" w:type="dxa"/>
          </w:tcPr>
          <w:p w:rsidR="008E43AB" w:rsidRDefault="008E43AB" w:rsidP="00AD51F5">
            <w:pPr>
              <w:pStyle w:val="Tabletext"/>
            </w:pPr>
          </w:p>
        </w:tc>
        <w:tc>
          <w:tcPr>
            <w:tcW w:w="877" w:type="dxa"/>
          </w:tcPr>
          <w:p w:rsidR="008E43AB" w:rsidRDefault="008E43AB" w:rsidP="00AD51F5">
            <w:pPr>
              <w:pStyle w:val="Tabletext"/>
            </w:pPr>
            <w:r>
              <w:t>4</w:t>
            </w:r>
          </w:p>
        </w:tc>
        <w:tc>
          <w:tcPr>
            <w:tcW w:w="909" w:type="dxa"/>
          </w:tcPr>
          <w:p w:rsidR="008E43AB" w:rsidRDefault="008E43AB" w:rsidP="00AD51F5">
            <w:pPr>
              <w:pStyle w:val="Tabletext"/>
            </w:pPr>
            <w:r>
              <w:t>12</w:t>
            </w:r>
          </w:p>
        </w:tc>
        <w:tc>
          <w:tcPr>
            <w:tcW w:w="736" w:type="dxa"/>
          </w:tcPr>
          <w:p w:rsidR="008E43AB" w:rsidRDefault="008E43AB" w:rsidP="00AD51F5">
            <w:pPr>
              <w:pStyle w:val="Tabletext"/>
            </w:pPr>
            <w:r>
              <w:t>7</w:t>
            </w:r>
          </w:p>
        </w:tc>
        <w:tc>
          <w:tcPr>
            <w:tcW w:w="909" w:type="dxa"/>
          </w:tcPr>
          <w:p w:rsidR="008E43AB" w:rsidRDefault="008E43AB" w:rsidP="00AD51F5">
            <w:pPr>
              <w:pStyle w:val="Tabletext"/>
            </w:pPr>
            <w:r>
              <w:t>32</w:t>
            </w:r>
          </w:p>
        </w:tc>
        <w:tc>
          <w:tcPr>
            <w:tcW w:w="825" w:type="dxa"/>
          </w:tcPr>
          <w:p w:rsidR="008E43AB" w:rsidRPr="00216EFB" w:rsidRDefault="008E43AB" w:rsidP="00AD51F5">
            <w:pPr>
              <w:pStyle w:val="Tabletext"/>
              <w:rPr>
                <w:b/>
              </w:rPr>
            </w:pPr>
            <w:r w:rsidRPr="00216EFB">
              <w:rPr>
                <w:b/>
              </w:rPr>
              <w:t>105</w:t>
            </w:r>
          </w:p>
        </w:tc>
        <w:tc>
          <w:tcPr>
            <w:tcW w:w="755" w:type="dxa"/>
          </w:tcPr>
          <w:p w:rsidR="008E43AB" w:rsidRDefault="008E43AB" w:rsidP="00AD51F5">
            <w:pPr>
              <w:pStyle w:val="Tabletext"/>
            </w:pPr>
            <w:r>
              <w:t>1</w:t>
            </w:r>
          </w:p>
        </w:tc>
        <w:tc>
          <w:tcPr>
            <w:tcW w:w="858" w:type="dxa"/>
          </w:tcPr>
          <w:p w:rsidR="008E43AB" w:rsidRDefault="008E43AB" w:rsidP="00AD51F5">
            <w:pPr>
              <w:pStyle w:val="Tabletext"/>
            </w:pPr>
          </w:p>
        </w:tc>
        <w:tc>
          <w:tcPr>
            <w:tcW w:w="817" w:type="dxa"/>
          </w:tcPr>
          <w:p w:rsidR="008E43AB" w:rsidRDefault="008E43AB" w:rsidP="00AD51F5">
            <w:pPr>
              <w:pStyle w:val="Tabletext"/>
            </w:pPr>
            <w:r>
              <w:t>161</w:t>
            </w:r>
          </w:p>
        </w:tc>
      </w:tr>
      <w:tr w:rsidR="008E43AB" w:rsidTr="00082522">
        <w:tc>
          <w:tcPr>
            <w:tcW w:w="1168" w:type="dxa"/>
          </w:tcPr>
          <w:p w:rsidR="008E43AB" w:rsidRDefault="008E43AB" w:rsidP="00AD51F5">
            <w:pPr>
              <w:pStyle w:val="Tabletext"/>
            </w:pPr>
            <w:r>
              <w:t>Glan Neo</w:t>
            </w:r>
          </w:p>
        </w:tc>
        <w:tc>
          <w:tcPr>
            <w:tcW w:w="1037" w:type="dxa"/>
          </w:tcPr>
          <w:p w:rsidR="008E43AB" w:rsidRDefault="008E43AB" w:rsidP="00AD51F5">
            <w:pPr>
              <w:pStyle w:val="Tabletext"/>
            </w:pPr>
          </w:p>
        </w:tc>
        <w:tc>
          <w:tcPr>
            <w:tcW w:w="877" w:type="dxa"/>
          </w:tcPr>
          <w:p w:rsidR="008E43AB" w:rsidRDefault="008E43AB" w:rsidP="00AD51F5">
            <w:pPr>
              <w:pStyle w:val="Tabletext"/>
            </w:pPr>
          </w:p>
        </w:tc>
        <w:tc>
          <w:tcPr>
            <w:tcW w:w="909" w:type="dxa"/>
          </w:tcPr>
          <w:p w:rsidR="008E43AB" w:rsidRDefault="008E43AB" w:rsidP="00AD51F5">
            <w:pPr>
              <w:pStyle w:val="Tabletext"/>
            </w:pPr>
          </w:p>
        </w:tc>
        <w:tc>
          <w:tcPr>
            <w:tcW w:w="736" w:type="dxa"/>
          </w:tcPr>
          <w:p w:rsidR="008E43AB" w:rsidRDefault="008E43AB" w:rsidP="00AD51F5">
            <w:pPr>
              <w:pStyle w:val="Tabletext"/>
            </w:pPr>
          </w:p>
        </w:tc>
        <w:tc>
          <w:tcPr>
            <w:tcW w:w="909" w:type="dxa"/>
          </w:tcPr>
          <w:p w:rsidR="008E43AB" w:rsidRDefault="008E43AB" w:rsidP="00AD51F5">
            <w:pPr>
              <w:pStyle w:val="Tabletext"/>
            </w:pPr>
          </w:p>
        </w:tc>
        <w:tc>
          <w:tcPr>
            <w:tcW w:w="825" w:type="dxa"/>
          </w:tcPr>
          <w:p w:rsidR="008E43AB" w:rsidRDefault="008E43AB" w:rsidP="00AD51F5">
            <w:pPr>
              <w:pStyle w:val="Tabletext"/>
            </w:pPr>
            <w:r>
              <w:t>2</w:t>
            </w:r>
          </w:p>
        </w:tc>
        <w:tc>
          <w:tcPr>
            <w:tcW w:w="755" w:type="dxa"/>
          </w:tcPr>
          <w:p w:rsidR="008E43AB" w:rsidRPr="00216EFB" w:rsidRDefault="008E43AB" w:rsidP="00AD51F5">
            <w:pPr>
              <w:pStyle w:val="Tabletext"/>
              <w:rPr>
                <w:b/>
              </w:rPr>
            </w:pPr>
            <w:r w:rsidRPr="00216EFB">
              <w:rPr>
                <w:b/>
              </w:rPr>
              <w:t>1</w:t>
            </w:r>
          </w:p>
        </w:tc>
        <w:tc>
          <w:tcPr>
            <w:tcW w:w="858" w:type="dxa"/>
          </w:tcPr>
          <w:p w:rsidR="008E43AB" w:rsidRDefault="008E43AB" w:rsidP="00AD51F5">
            <w:pPr>
              <w:pStyle w:val="Tabletext"/>
            </w:pPr>
            <w:r>
              <w:t>1</w:t>
            </w:r>
          </w:p>
        </w:tc>
        <w:tc>
          <w:tcPr>
            <w:tcW w:w="817" w:type="dxa"/>
          </w:tcPr>
          <w:p w:rsidR="008E43AB" w:rsidRDefault="008E43AB" w:rsidP="00AD51F5">
            <w:pPr>
              <w:pStyle w:val="Tabletext"/>
            </w:pPr>
            <w:r>
              <w:t>4</w:t>
            </w:r>
          </w:p>
        </w:tc>
      </w:tr>
      <w:tr w:rsidR="008E43AB" w:rsidTr="00082522">
        <w:tc>
          <w:tcPr>
            <w:tcW w:w="1168" w:type="dxa"/>
          </w:tcPr>
          <w:p w:rsidR="008E43AB" w:rsidRDefault="00181166" w:rsidP="00AD51F5">
            <w:pPr>
              <w:pStyle w:val="Tabletext"/>
            </w:pPr>
            <w:r>
              <w:t>Q i</w:t>
            </w:r>
            <w:r w:rsidR="008E43AB">
              <w:t>nvasive</w:t>
            </w:r>
          </w:p>
        </w:tc>
        <w:tc>
          <w:tcPr>
            <w:tcW w:w="1037" w:type="dxa"/>
          </w:tcPr>
          <w:p w:rsidR="008E43AB" w:rsidRDefault="008E43AB" w:rsidP="00AD51F5">
            <w:pPr>
              <w:pStyle w:val="Tabletext"/>
            </w:pPr>
          </w:p>
        </w:tc>
        <w:tc>
          <w:tcPr>
            <w:tcW w:w="877" w:type="dxa"/>
          </w:tcPr>
          <w:p w:rsidR="008E43AB" w:rsidRDefault="008E43AB" w:rsidP="00AD51F5">
            <w:pPr>
              <w:pStyle w:val="Tabletext"/>
            </w:pPr>
            <w:r>
              <w:t>2</w:t>
            </w:r>
          </w:p>
        </w:tc>
        <w:tc>
          <w:tcPr>
            <w:tcW w:w="909" w:type="dxa"/>
          </w:tcPr>
          <w:p w:rsidR="008E43AB" w:rsidRDefault="008E43AB" w:rsidP="00AD51F5">
            <w:pPr>
              <w:pStyle w:val="Tabletext"/>
            </w:pPr>
            <w:r>
              <w:t>3</w:t>
            </w:r>
          </w:p>
        </w:tc>
        <w:tc>
          <w:tcPr>
            <w:tcW w:w="736" w:type="dxa"/>
          </w:tcPr>
          <w:p w:rsidR="008E43AB" w:rsidRDefault="008E43AB" w:rsidP="00AD51F5">
            <w:pPr>
              <w:pStyle w:val="Tabletext"/>
            </w:pPr>
          </w:p>
        </w:tc>
        <w:tc>
          <w:tcPr>
            <w:tcW w:w="909" w:type="dxa"/>
          </w:tcPr>
          <w:p w:rsidR="008E43AB" w:rsidRDefault="008E43AB" w:rsidP="00AD51F5">
            <w:pPr>
              <w:pStyle w:val="Tabletext"/>
            </w:pPr>
          </w:p>
        </w:tc>
        <w:tc>
          <w:tcPr>
            <w:tcW w:w="825" w:type="dxa"/>
          </w:tcPr>
          <w:p w:rsidR="008E43AB" w:rsidRDefault="008E43AB" w:rsidP="00AD51F5">
            <w:pPr>
              <w:pStyle w:val="Tabletext"/>
            </w:pPr>
            <w:r>
              <w:t>3</w:t>
            </w:r>
          </w:p>
        </w:tc>
        <w:tc>
          <w:tcPr>
            <w:tcW w:w="755" w:type="dxa"/>
          </w:tcPr>
          <w:p w:rsidR="008E43AB" w:rsidRDefault="008E43AB" w:rsidP="00AD51F5">
            <w:pPr>
              <w:pStyle w:val="Tabletext"/>
            </w:pPr>
          </w:p>
        </w:tc>
        <w:tc>
          <w:tcPr>
            <w:tcW w:w="858" w:type="dxa"/>
          </w:tcPr>
          <w:p w:rsidR="008E43AB" w:rsidRPr="00216EFB" w:rsidRDefault="008E43AB" w:rsidP="00AD51F5">
            <w:pPr>
              <w:pStyle w:val="Tabletext"/>
              <w:rPr>
                <w:b/>
              </w:rPr>
            </w:pPr>
            <w:r w:rsidRPr="00216EFB">
              <w:rPr>
                <w:b/>
              </w:rPr>
              <w:t>2</w:t>
            </w:r>
          </w:p>
        </w:tc>
        <w:tc>
          <w:tcPr>
            <w:tcW w:w="817" w:type="dxa"/>
          </w:tcPr>
          <w:p w:rsidR="008E43AB" w:rsidRDefault="008E43AB" w:rsidP="00AD51F5">
            <w:pPr>
              <w:pStyle w:val="Tabletext"/>
            </w:pPr>
            <w:r>
              <w:t>10</w:t>
            </w:r>
          </w:p>
        </w:tc>
      </w:tr>
      <w:tr w:rsidR="008E43AB" w:rsidTr="00082522">
        <w:tc>
          <w:tcPr>
            <w:tcW w:w="1168" w:type="dxa"/>
          </w:tcPr>
          <w:p w:rsidR="008E43AB" w:rsidRDefault="008E43AB" w:rsidP="00AD51F5">
            <w:pPr>
              <w:pStyle w:val="Tabletext"/>
            </w:pPr>
            <w:r>
              <w:t>Total</w:t>
            </w:r>
          </w:p>
        </w:tc>
        <w:tc>
          <w:tcPr>
            <w:tcW w:w="1037" w:type="dxa"/>
          </w:tcPr>
          <w:p w:rsidR="008E43AB" w:rsidRDefault="008E43AB" w:rsidP="00AD51F5">
            <w:pPr>
              <w:pStyle w:val="Tabletext"/>
            </w:pPr>
            <w:r>
              <w:t>584</w:t>
            </w:r>
          </w:p>
        </w:tc>
        <w:tc>
          <w:tcPr>
            <w:tcW w:w="877" w:type="dxa"/>
          </w:tcPr>
          <w:p w:rsidR="008E43AB" w:rsidRDefault="008E43AB" w:rsidP="00AD51F5">
            <w:pPr>
              <w:pStyle w:val="Tabletext"/>
            </w:pPr>
            <w:r>
              <w:t>21680</w:t>
            </w:r>
          </w:p>
        </w:tc>
        <w:tc>
          <w:tcPr>
            <w:tcW w:w="909" w:type="dxa"/>
          </w:tcPr>
          <w:p w:rsidR="008E43AB" w:rsidRDefault="008E43AB" w:rsidP="00AD51F5">
            <w:pPr>
              <w:pStyle w:val="Tabletext"/>
            </w:pPr>
            <w:r>
              <w:t>1419</w:t>
            </w:r>
          </w:p>
        </w:tc>
        <w:tc>
          <w:tcPr>
            <w:tcW w:w="736" w:type="dxa"/>
          </w:tcPr>
          <w:p w:rsidR="008E43AB" w:rsidRDefault="008E43AB" w:rsidP="00AD51F5">
            <w:pPr>
              <w:pStyle w:val="Tabletext"/>
            </w:pPr>
            <w:r>
              <w:t>581</w:t>
            </w:r>
          </w:p>
        </w:tc>
        <w:tc>
          <w:tcPr>
            <w:tcW w:w="909" w:type="dxa"/>
          </w:tcPr>
          <w:p w:rsidR="008E43AB" w:rsidRDefault="008E43AB" w:rsidP="00AD51F5">
            <w:pPr>
              <w:pStyle w:val="Tabletext"/>
            </w:pPr>
            <w:r>
              <w:t>162</w:t>
            </w:r>
          </w:p>
        </w:tc>
        <w:tc>
          <w:tcPr>
            <w:tcW w:w="825" w:type="dxa"/>
          </w:tcPr>
          <w:p w:rsidR="008E43AB" w:rsidRDefault="008E43AB" w:rsidP="00AD51F5">
            <w:pPr>
              <w:pStyle w:val="Tabletext"/>
            </w:pPr>
            <w:r>
              <w:t>129</w:t>
            </w:r>
          </w:p>
        </w:tc>
        <w:tc>
          <w:tcPr>
            <w:tcW w:w="755" w:type="dxa"/>
          </w:tcPr>
          <w:p w:rsidR="008E43AB" w:rsidRDefault="008E43AB" w:rsidP="00AD51F5">
            <w:pPr>
              <w:pStyle w:val="Tabletext"/>
            </w:pPr>
            <w:r>
              <w:t>4</w:t>
            </w:r>
          </w:p>
        </w:tc>
        <w:tc>
          <w:tcPr>
            <w:tcW w:w="858" w:type="dxa"/>
          </w:tcPr>
          <w:p w:rsidR="008E43AB" w:rsidRDefault="008E43AB" w:rsidP="00AD51F5">
            <w:pPr>
              <w:pStyle w:val="Tabletext"/>
            </w:pPr>
            <w:r>
              <w:t>7</w:t>
            </w:r>
          </w:p>
        </w:tc>
        <w:tc>
          <w:tcPr>
            <w:tcW w:w="817" w:type="dxa"/>
          </w:tcPr>
          <w:p w:rsidR="008E43AB" w:rsidRDefault="008E43AB" w:rsidP="00AD51F5">
            <w:pPr>
              <w:pStyle w:val="Tabletext"/>
            </w:pPr>
            <w:r>
              <w:t>24,566</w:t>
            </w:r>
          </w:p>
        </w:tc>
      </w:tr>
    </w:tbl>
    <w:p w:rsidR="0072244B" w:rsidRDefault="008E43AB" w:rsidP="0072244B">
      <w:pPr>
        <w:pStyle w:val="Tabletext"/>
      </w:pPr>
      <w:r>
        <w:t>Abbreviations Glan neo, quer</w:t>
      </w:r>
      <w:r w:rsidR="00181166">
        <w:t>y glandular neoplasia; Q, query</w:t>
      </w:r>
    </w:p>
    <w:p w:rsidR="0072244B" w:rsidRDefault="008E43AB" w:rsidP="00AB012A">
      <w:pPr>
        <w:pStyle w:val="Tabletext"/>
        <w:numPr>
          <w:ilvl w:val="0"/>
          <w:numId w:val="43"/>
        </w:numPr>
      </w:pPr>
      <w:r w:rsidRPr="002320DA">
        <w:t>MR1</w:t>
      </w:r>
      <w:r>
        <w:t xml:space="preserve"> (manual result)</w:t>
      </w:r>
      <w:r w:rsidRPr="002320DA">
        <w:t xml:space="preserve"> results are the result of the first manual read providing this was not by a trainee.</w:t>
      </w:r>
    </w:p>
    <w:p w:rsidR="0072244B" w:rsidRDefault="00181166" w:rsidP="00AB012A">
      <w:pPr>
        <w:pStyle w:val="Tabletext"/>
        <w:numPr>
          <w:ilvl w:val="0"/>
          <w:numId w:val="43"/>
        </w:numPr>
      </w:pPr>
      <w:r>
        <w:t>Final manual result</w:t>
      </w:r>
      <w:r w:rsidR="008E43AB" w:rsidRPr="002320DA">
        <w:t xml:space="preserve"> is defined as the last manual result before any automated result is taken into account</w:t>
      </w:r>
    </w:p>
    <w:p w:rsidR="0072244B" w:rsidRDefault="008E43AB" w:rsidP="00AB012A">
      <w:pPr>
        <w:pStyle w:val="Tabletext"/>
        <w:numPr>
          <w:ilvl w:val="0"/>
          <w:numId w:val="43"/>
        </w:numPr>
      </w:pPr>
      <w:r>
        <w:t>Concordant results 23,316 (94.9%); discordant results 1250 (</w:t>
      </w:r>
      <w:r w:rsidR="00181166">
        <w:t>5.1%)</w:t>
      </w:r>
    </w:p>
    <w:p w:rsidR="008E43AB" w:rsidRDefault="0072244B" w:rsidP="0072244B">
      <w:pPr>
        <w:pStyle w:val="Tabletext"/>
      </w:pPr>
      <w:r>
        <w:t xml:space="preserve">Source: Kitchener </w:t>
      </w:r>
      <w:r w:rsidR="008E43AB">
        <w:t>2011</w:t>
      </w:r>
      <w:r w:rsidR="000C1751">
        <w:t>a</w:t>
      </w:r>
      <w:r w:rsidR="008E43AB">
        <w:t xml:space="preserve"> Table 21</w:t>
      </w:r>
    </w:p>
    <w:p w:rsidR="0072244B" w:rsidRDefault="0072244B" w:rsidP="00127975">
      <w:pPr>
        <w:pStyle w:val="Tablenotes"/>
        <w:spacing w:before="0" w:after="240" w:line="360" w:lineRule="auto"/>
        <w:rPr>
          <w:rFonts w:ascii="Californian FB" w:hAnsi="Californian FB"/>
          <w:sz w:val="22"/>
          <w:szCs w:val="24"/>
        </w:rPr>
      </w:pPr>
    </w:p>
    <w:p w:rsidR="008E43AB" w:rsidRPr="003A06B6" w:rsidRDefault="008E43AB" w:rsidP="00127975">
      <w:pPr>
        <w:pStyle w:val="Tablenotes"/>
        <w:spacing w:before="0" w:after="240" w:line="360" w:lineRule="auto"/>
        <w:rPr>
          <w:rFonts w:ascii="Californian FB" w:hAnsi="Californian FB"/>
          <w:sz w:val="22"/>
          <w:szCs w:val="24"/>
        </w:rPr>
      </w:pPr>
      <w:r w:rsidRPr="003A06B6">
        <w:rPr>
          <w:rFonts w:ascii="Californian FB" w:hAnsi="Californian FB"/>
          <w:sz w:val="22"/>
          <w:szCs w:val="24"/>
        </w:rPr>
        <w:t xml:space="preserve">When the </w:t>
      </w:r>
      <w:r w:rsidR="0072244B">
        <w:rPr>
          <w:rFonts w:ascii="Californian FB" w:hAnsi="Californian FB"/>
          <w:sz w:val="22"/>
          <w:szCs w:val="24"/>
        </w:rPr>
        <w:t>final automated results and final manual result</w:t>
      </w:r>
      <w:r w:rsidRPr="003A06B6">
        <w:rPr>
          <w:rFonts w:ascii="Californian FB" w:hAnsi="Californian FB"/>
          <w:sz w:val="22"/>
          <w:szCs w:val="24"/>
        </w:rPr>
        <w:t>s were compared (</w:t>
      </w:r>
      <w:r w:rsidR="00086C77">
        <w:fldChar w:fldCharType="begin"/>
      </w:r>
      <w:r w:rsidR="00086C77">
        <w:instrText xml:space="preserve"> REF _Ref331062990 \h  \* MERGEFORMAT </w:instrText>
      </w:r>
      <w:r w:rsidR="00086C77">
        <w:fldChar w:fldCharType="separate"/>
      </w:r>
      <w:r w:rsidR="003361A8" w:rsidRPr="003361A8">
        <w:rPr>
          <w:rFonts w:ascii="Californian FB" w:hAnsi="Californian FB"/>
          <w:sz w:val="22"/>
          <w:szCs w:val="24"/>
        </w:rPr>
        <w:t>Table 70</w:t>
      </w:r>
      <w:r w:rsidR="00086C77">
        <w:fldChar w:fldCharType="end"/>
      </w:r>
      <w:r w:rsidRPr="003A06B6">
        <w:rPr>
          <w:rFonts w:ascii="Californian FB" w:hAnsi="Californian FB"/>
          <w:sz w:val="22"/>
          <w:szCs w:val="24"/>
        </w:rPr>
        <w:t>) there was a discordant rate of 3.8%</w:t>
      </w:r>
      <w:r>
        <w:rPr>
          <w:rFonts w:ascii="Californian FB" w:hAnsi="Californian FB"/>
          <w:sz w:val="22"/>
          <w:szCs w:val="24"/>
        </w:rPr>
        <w:t xml:space="preserve"> </w:t>
      </w:r>
      <w:r w:rsidRPr="003A06B6">
        <w:rPr>
          <w:rFonts w:ascii="Californian FB" w:hAnsi="Californian FB"/>
          <w:sz w:val="22"/>
          <w:szCs w:val="24"/>
        </w:rPr>
        <w:t>(1850/48,271), of which half (93</w:t>
      </w:r>
      <w:r w:rsidR="0072244B">
        <w:rPr>
          <w:rFonts w:ascii="Californian FB" w:hAnsi="Californian FB"/>
          <w:sz w:val="22"/>
          <w:szCs w:val="24"/>
        </w:rPr>
        <w:t>1/1850) represented abnormal final manual result</w:t>
      </w:r>
      <w:r w:rsidRPr="003A06B6">
        <w:rPr>
          <w:rFonts w:ascii="Californian FB" w:hAnsi="Californian FB"/>
          <w:sz w:val="22"/>
          <w:szCs w:val="24"/>
        </w:rPr>
        <w:t>s reported as negative on</w:t>
      </w:r>
      <w:r>
        <w:rPr>
          <w:rFonts w:ascii="Californian FB" w:hAnsi="Californian FB"/>
          <w:sz w:val="22"/>
          <w:szCs w:val="24"/>
        </w:rPr>
        <w:t xml:space="preserve"> </w:t>
      </w:r>
      <w:r w:rsidR="0072244B">
        <w:rPr>
          <w:rFonts w:ascii="Californian FB" w:hAnsi="Californian FB"/>
          <w:sz w:val="22"/>
          <w:szCs w:val="24"/>
        </w:rPr>
        <w:t>final automated result</w:t>
      </w:r>
      <w:r w:rsidRPr="003A06B6">
        <w:rPr>
          <w:rFonts w:ascii="Californian FB" w:hAnsi="Californian FB"/>
          <w:sz w:val="22"/>
          <w:szCs w:val="24"/>
        </w:rPr>
        <w:t>. This outweighs the discordant</w:t>
      </w:r>
      <w:r w:rsidR="0072244B">
        <w:rPr>
          <w:rFonts w:ascii="Californian FB" w:hAnsi="Californian FB"/>
          <w:sz w:val="22"/>
          <w:szCs w:val="24"/>
        </w:rPr>
        <w:t xml:space="preserve"> results</w:t>
      </w:r>
      <w:r w:rsidRPr="003A06B6">
        <w:rPr>
          <w:rFonts w:ascii="Californian FB" w:hAnsi="Californian FB"/>
          <w:sz w:val="22"/>
          <w:szCs w:val="24"/>
        </w:rPr>
        <w:t xml:space="preserve"> where there were abnormal</w:t>
      </w:r>
      <w:r w:rsidR="0072244B">
        <w:rPr>
          <w:rFonts w:ascii="Californian FB" w:hAnsi="Californian FB"/>
          <w:sz w:val="22"/>
          <w:szCs w:val="24"/>
        </w:rPr>
        <w:t xml:space="preserve"> results on final automated result</w:t>
      </w:r>
      <w:r w:rsidR="006D5CC8">
        <w:rPr>
          <w:rFonts w:ascii="Californian FB" w:hAnsi="Californian FB"/>
          <w:sz w:val="22"/>
          <w:szCs w:val="24"/>
        </w:rPr>
        <w:t xml:space="preserve"> were</w:t>
      </w:r>
      <w:r w:rsidRPr="003A06B6">
        <w:rPr>
          <w:rFonts w:ascii="Californian FB" w:hAnsi="Californian FB"/>
          <w:sz w:val="22"/>
          <w:szCs w:val="24"/>
        </w:rPr>
        <w:t xml:space="preserve"> reported</w:t>
      </w:r>
      <w:r>
        <w:rPr>
          <w:rFonts w:ascii="Californian FB" w:hAnsi="Californian FB"/>
          <w:sz w:val="22"/>
          <w:szCs w:val="24"/>
        </w:rPr>
        <w:t xml:space="preserve"> </w:t>
      </w:r>
      <w:r w:rsidR="0072244B">
        <w:rPr>
          <w:rFonts w:ascii="Californian FB" w:hAnsi="Californian FB"/>
          <w:sz w:val="22"/>
          <w:szCs w:val="24"/>
        </w:rPr>
        <w:t>as negative on final manual result</w:t>
      </w:r>
      <w:r w:rsidR="006D5CC8">
        <w:rPr>
          <w:rFonts w:ascii="Californian FB" w:hAnsi="Californian FB"/>
          <w:sz w:val="22"/>
          <w:szCs w:val="24"/>
        </w:rPr>
        <w:t xml:space="preserve"> </w:t>
      </w:r>
      <w:r w:rsidR="006D5CC8" w:rsidRPr="003A06B6">
        <w:rPr>
          <w:rFonts w:ascii="Californian FB" w:hAnsi="Californian FB"/>
          <w:sz w:val="22"/>
          <w:szCs w:val="24"/>
        </w:rPr>
        <w:t>(294/1850)</w:t>
      </w:r>
      <w:r w:rsidRPr="003A06B6">
        <w:rPr>
          <w:rFonts w:ascii="Californian FB" w:hAnsi="Californian FB"/>
          <w:sz w:val="22"/>
          <w:szCs w:val="24"/>
        </w:rPr>
        <w:t xml:space="preserve">. This indicates </w:t>
      </w:r>
      <w:r w:rsidR="00322FCF">
        <w:rPr>
          <w:rFonts w:ascii="Californian FB" w:hAnsi="Californian FB"/>
          <w:sz w:val="22"/>
          <w:szCs w:val="24"/>
        </w:rPr>
        <w:t>a</w:t>
      </w:r>
      <w:r w:rsidR="00322FCF" w:rsidRPr="003A06B6">
        <w:rPr>
          <w:rFonts w:ascii="Californian FB" w:hAnsi="Californian FB"/>
          <w:sz w:val="22"/>
          <w:szCs w:val="24"/>
        </w:rPr>
        <w:t xml:space="preserve"> </w:t>
      </w:r>
      <w:r w:rsidRPr="003A06B6">
        <w:rPr>
          <w:rFonts w:ascii="Californian FB" w:hAnsi="Californian FB"/>
          <w:sz w:val="22"/>
          <w:szCs w:val="24"/>
        </w:rPr>
        <w:t>potential for greater relative sensitivity by manual</w:t>
      </w:r>
      <w:r>
        <w:rPr>
          <w:rFonts w:ascii="Californian FB" w:hAnsi="Californian FB"/>
          <w:sz w:val="22"/>
          <w:szCs w:val="24"/>
        </w:rPr>
        <w:t xml:space="preserve"> </w:t>
      </w:r>
      <w:r w:rsidRPr="003A06B6">
        <w:rPr>
          <w:rFonts w:ascii="Californian FB" w:hAnsi="Californian FB"/>
          <w:sz w:val="22"/>
          <w:szCs w:val="24"/>
        </w:rPr>
        <w:t>than by automated reading</w:t>
      </w:r>
      <w:r>
        <w:rPr>
          <w:rFonts w:ascii="Californian FB" w:hAnsi="Californian FB"/>
          <w:sz w:val="22"/>
          <w:szCs w:val="24"/>
        </w:rPr>
        <w:t>.</w:t>
      </w:r>
    </w:p>
    <w:p w:rsidR="008E43AB" w:rsidRDefault="008E43AB" w:rsidP="008E43AB">
      <w:pPr>
        <w:pStyle w:val="Caption"/>
      </w:pPr>
      <w:bookmarkStart w:id="468" w:name="_Ref331062990"/>
      <w:bookmarkStart w:id="469" w:name="_Toc331766508"/>
      <w:bookmarkStart w:id="470" w:name="_Toc335666042"/>
      <w:bookmarkStart w:id="471" w:name="_Toc337547007"/>
      <w:r>
        <w:lastRenderedPageBreak/>
        <w:t xml:space="preserve">Table </w:t>
      </w:r>
      <w:fldSimple w:instr=" SEQ Table \* ARABIC ">
        <w:r w:rsidR="003361A8">
          <w:rPr>
            <w:noProof/>
          </w:rPr>
          <w:t>70</w:t>
        </w:r>
      </w:fldSimple>
      <w:bookmarkEnd w:id="468"/>
      <w:r>
        <w:tab/>
      </w:r>
      <w:r w:rsidRPr="00FA1072">
        <w:t xml:space="preserve">Manual review </w:t>
      </w:r>
      <w:r w:rsidR="0072244B">
        <w:t>versus a</w:t>
      </w:r>
      <w:r>
        <w:t xml:space="preserve">utomated review </w:t>
      </w:r>
      <w:r w:rsidR="0054583C">
        <w:t>concordance—</w:t>
      </w:r>
      <w:r w:rsidRPr="00FA1072">
        <w:t>F</w:t>
      </w:r>
      <w:r>
        <w:t xml:space="preserve">inal </w:t>
      </w:r>
      <w:r w:rsidRPr="00FA1072">
        <w:t xml:space="preserve">manual result </w:t>
      </w:r>
      <w:r w:rsidR="00BA4EB4">
        <w:t xml:space="preserve">versus </w:t>
      </w:r>
      <w:r w:rsidR="0072244B">
        <w:t>f</w:t>
      </w:r>
      <w:r w:rsidR="00BA4EB4">
        <w:t>inal a</w:t>
      </w:r>
      <w:r>
        <w:t>uto</w:t>
      </w:r>
      <w:r w:rsidRPr="00FA1072">
        <w:t xml:space="preserve"> result</w:t>
      </w:r>
      <w:r w:rsidR="0072244B">
        <w:t xml:space="preserve"> (SurePath and ThinPrep smears): Kitchener </w:t>
      </w:r>
      <w:r w:rsidRPr="00FA1072">
        <w:t>2011</w:t>
      </w:r>
      <w:r w:rsidR="000C1751">
        <w:t>a</w:t>
      </w:r>
      <w:bookmarkEnd w:id="469"/>
      <w:bookmarkEnd w:id="470"/>
      <w:bookmarkEnd w:id="4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0"/>
        <w:gridCol w:w="1037"/>
        <w:gridCol w:w="882"/>
        <w:gridCol w:w="1310"/>
        <w:gridCol w:w="1310"/>
        <w:gridCol w:w="1310"/>
        <w:gridCol w:w="1007"/>
        <w:gridCol w:w="725"/>
      </w:tblGrid>
      <w:tr w:rsidR="00BA4EB4" w:rsidTr="00BA4EB4">
        <w:tc>
          <w:tcPr>
            <w:tcW w:w="1256" w:type="dxa"/>
          </w:tcPr>
          <w:p w:rsidR="00BA4EB4" w:rsidRDefault="00BA4EB4" w:rsidP="00AD51F5">
            <w:pPr>
              <w:pStyle w:val="Tabletext"/>
            </w:pPr>
          </w:p>
        </w:tc>
        <w:tc>
          <w:tcPr>
            <w:tcW w:w="7479" w:type="dxa"/>
            <w:gridSpan w:val="7"/>
          </w:tcPr>
          <w:p w:rsidR="00BA4EB4" w:rsidRPr="00BA4EB4" w:rsidRDefault="0054583C" w:rsidP="00BA4EB4">
            <w:pPr>
              <w:pStyle w:val="Tabletext"/>
              <w:jc w:val="center"/>
              <w:rPr>
                <w:b/>
              </w:rPr>
            </w:pPr>
            <w:r>
              <w:rPr>
                <w:b/>
              </w:rPr>
              <w:t>Final automated result</w:t>
            </w:r>
          </w:p>
        </w:tc>
      </w:tr>
      <w:tr w:rsidR="008E43AB" w:rsidTr="00AD51F5">
        <w:tc>
          <w:tcPr>
            <w:tcW w:w="1256" w:type="dxa"/>
          </w:tcPr>
          <w:p w:rsidR="008E43AB" w:rsidRPr="00BA4EB4" w:rsidRDefault="0072244B" w:rsidP="00BA4EB4">
            <w:pPr>
              <w:pStyle w:val="Tabletext"/>
              <w:jc w:val="center"/>
              <w:rPr>
                <w:b/>
              </w:rPr>
            </w:pPr>
            <w:r>
              <w:rPr>
                <w:b/>
              </w:rPr>
              <w:t>Final manual result</w:t>
            </w:r>
          </w:p>
        </w:tc>
        <w:tc>
          <w:tcPr>
            <w:tcW w:w="1037" w:type="dxa"/>
          </w:tcPr>
          <w:p w:rsidR="008E43AB" w:rsidRDefault="008E43AB" w:rsidP="00AD51F5">
            <w:pPr>
              <w:pStyle w:val="Tabletext"/>
            </w:pPr>
            <w:r>
              <w:t>Inadequate</w:t>
            </w:r>
          </w:p>
        </w:tc>
        <w:tc>
          <w:tcPr>
            <w:tcW w:w="922" w:type="dxa"/>
          </w:tcPr>
          <w:p w:rsidR="008E43AB" w:rsidRDefault="008E43AB" w:rsidP="00AD51F5">
            <w:pPr>
              <w:pStyle w:val="Tabletext"/>
            </w:pPr>
            <w:r>
              <w:t>Negative</w:t>
            </w:r>
          </w:p>
        </w:tc>
        <w:tc>
          <w:tcPr>
            <w:tcW w:w="1256" w:type="dxa"/>
          </w:tcPr>
          <w:p w:rsidR="008E43AB" w:rsidRDefault="008E43AB" w:rsidP="00AD51F5">
            <w:pPr>
              <w:pStyle w:val="Tabletext"/>
            </w:pPr>
            <w:r>
              <w:t>Borde</w:t>
            </w:r>
            <w:r w:rsidR="0072244B">
              <w:t>r</w:t>
            </w:r>
            <w:r>
              <w:t>line/mild</w:t>
            </w:r>
            <w:r>
              <w:br/>
              <w:t>HPV positive</w:t>
            </w:r>
          </w:p>
        </w:tc>
        <w:tc>
          <w:tcPr>
            <w:tcW w:w="1256" w:type="dxa"/>
          </w:tcPr>
          <w:p w:rsidR="008E43AB" w:rsidRDefault="008E43AB" w:rsidP="00AD51F5">
            <w:pPr>
              <w:pStyle w:val="Tabletext"/>
            </w:pPr>
            <w:r>
              <w:t>Borde</w:t>
            </w:r>
            <w:r w:rsidR="0072244B">
              <w:t>r</w:t>
            </w:r>
            <w:r>
              <w:t>line/mild</w:t>
            </w:r>
            <w:r>
              <w:br/>
              <w:t>HPV negative</w:t>
            </w:r>
          </w:p>
        </w:tc>
        <w:tc>
          <w:tcPr>
            <w:tcW w:w="1256" w:type="dxa"/>
          </w:tcPr>
          <w:p w:rsidR="008E43AB" w:rsidRDefault="008E43AB" w:rsidP="00AD51F5">
            <w:pPr>
              <w:pStyle w:val="Tabletext"/>
            </w:pPr>
            <w:r>
              <w:t>Borde</w:t>
            </w:r>
            <w:r w:rsidR="0072244B">
              <w:t>r</w:t>
            </w:r>
            <w:r>
              <w:t>line/mild</w:t>
            </w:r>
            <w:r>
              <w:br/>
              <w:t>HPV not known</w:t>
            </w:r>
          </w:p>
        </w:tc>
        <w:tc>
          <w:tcPr>
            <w:tcW w:w="1013" w:type="dxa"/>
          </w:tcPr>
          <w:p w:rsidR="008E43AB" w:rsidRDefault="008E43AB" w:rsidP="00AD51F5">
            <w:pPr>
              <w:pStyle w:val="Tabletext"/>
            </w:pPr>
            <w:r>
              <w:t>Moderate+</w:t>
            </w:r>
          </w:p>
        </w:tc>
        <w:tc>
          <w:tcPr>
            <w:tcW w:w="739" w:type="dxa"/>
          </w:tcPr>
          <w:p w:rsidR="008E43AB" w:rsidRDefault="008E43AB" w:rsidP="00AD51F5">
            <w:pPr>
              <w:pStyle w:val="Tabletext"/>
            </w:pPr>
            <w:r>
              <w:t>Total</w:t>
            </w:r>
          </w:p>
        </w:tc>
      </w:tr>
      <w:tr w:rsidR="008E43AB" w:rsidTr="00AD51F5">
        <w:tc>
          <w:tcPr>
            <w:tcW w:w="1256" w:type="dxa"/>
          </w:tcPr>
          <w:p w:rsidR="008E43AB" w:rsidRDefault="008E43AB" w:rsidP="00AD51F5">
            <w:pPr>
              <w:pStyle w:val="Tabletext"/>
            </w:pPr>
            <w:r>
              <w:t>Inadequate</w:t>
            </w:r>
          </w:p>
        </w:tc>
        <w:tc>
          <w:tcPr>
            <w:tcW w:w="1037" w:type="dxa"/>
          </w:tcPr>
          <w:p w:rsidR="008E43AB" w:rsidRPr="00127975" w:rsidRDefault="008E43AB" w:rsidP="00AD51F5">
            <w:pPr>
              <w:pStyle w:val="Tabletext"/>
              <w:rPr>
                <w:b/>
              </w:rPr>
            </w:pPr>
            <w:r w:rsidRPr="00127975">
              <w:rPr>
                <w:b/>
              </w:rPr>
              <w:t>810</w:t>
            </w:r>
          </w:p>
        </w:tc>
        <w:tc>
          <w:tcPr>
            <w:tcW w:w="922" w:type="dxa"/>
          </w:tcPr>
          <w:p w:rsidR="008E43AB" w:rsidRDefault="008E43AB" w:rsidP="00AD51F5">
            <w:pPr>
              <w:pStyle w:val="Tabletext"/>
            </w:pPr>
            <w:r>
              <w:t>556</w:t>
            </w:r>
          </w:p>
        </w:tc>
        <w:tc>
          <w:tcPr>
            <w:tcW w:w="1256" w:type="dxa"/>
          </w:tcPr>
          <w:p w:rsidR="008E43AB" w:rsidRDefault="008E43AB" w:rsidP="00AD51F5">
            <w:pPr>
              <w:pStyle w:val="Tabletext"/>
            </w:pPr>
          </w:p>
        </w:tc>
        <w:tc>
          <w:tcPr>
            <w:tcW w:w="1256" w:type="dxa"/>
          </w:tcPr>
          <w:p w:rsidR="008E43AB" w:rsidRDefault="008E43AB" w:rsidP="00AD51F5">
            <w:pPr>
              <w:pStyle w:val="Tabletext"/>
            </w:pPr>
          </w:p>
        </w:tc>
        <w:tc>
          <w:tcPr>
            <w:tcW w:w="1256" w:type="dxa"/>
          </w:tcPr>
          <w:p w:rsidR="008E43AB" w:rsidRDefault="008E43AB" w:rsidP="00AD51F5">
            <w:pPr>
              <w:pStyle w:val="Tabletext"/>
            </w:pPr>
          </w:p>
        </w:tc>
        <w:tc>
          <w:tcPr>
            <w:tcW w:w="1013" w:type="dxa"/>
          </w:tcPr>
          <w:p w:rsidR="008E43AB" w:rsidRDefault="008E43AB" w:rsidP="00AD51F5">
            <w:pPr>
              <w:pStyle w:val="Tabletext"/>
            </w:pPr>
          </w:p>
        </w:tc>
        <w:tc>
          <w:tcPr>
            <w:tcW w:w="739" w:type="dxa"/>
          </w:tcPr>
          <w:p w:rsidR="008E43AB" w:rsidRDefault="008E43AB" w:rsidP="00AD51F5">
            <w:pPr>
              <w:pStyle w:val="Tabletext"/>
            </w:pPr>
            <w:r>
              <w:t>1366</w:t>
            </w:r>
          </w:p>
        </w:tc>
      </w:tr>
      <w:tr w:rsidR="008E43AB" w:rsidTr="00AD51F5">
        <w:tc>
          <w:tcPr>
            <w:tcW w:w="1256" w:type="dxa"/>
          </w:tcPr>
          <w:p w:rsidR="008E43AB" w:rsidRDefault="008E43AB" w:rsidP="00AD51F5">
            <w:pPr>
              <w:pStyle w:val="Tabletext"/>
            </w:pPr>
            <w:r>
              <w:t>Negative</w:t>
            </w:r>
          </w:p>
        </w:tc>
        <w:tc>
          <w:tcPr>
            <w:tcW w:w="1037" w:type="dxa"/>
          </w:tcPr>
          <w:p w:rsidR="008E43AB" w:rsidRDefault="008E43AB" w:rsidP="00AD51F5">
            <w:pPr>
              <w:pStyle w:val="Tabletext"/>
            </w:pPr>
            <w:r>
              <w:t>69</w:t>
            </w:r>
          </w:p>
        </w:tc>
        <w:tc>
          <w:tcPr>
            <w:tcW w:w="922" w:type="dxa"/>
          </w:tcPr>
          <w:p w:rsidR="008E43AB" w:rsidRPr="00127975" w:rsidRDefault="008E43AB" w:rsidP="00AD51F5">
            <w:pPr>
              <w:pStyle w:val="Tabletext"/>
              <w:rPr>
                <w:b/>
              </w:rPr>
            </w:pPr>
            <w:r w:rsidRPr="00127975">
              <w:rPr>
                <w:b/>
              </w:rPr>
              <w:t>43,284</w:t>
            </w:r>
          </w:p>
        </w:tc>
        <w:tc>
          <w:tcPr>
            <w:tcW w:w="1256" w:type="dxa"/>
          </w:tcPr>
          <w:p w:rsidR="008E43AB" w:rsidRDefault="008E43AB" w:rsidP="00AD51F5">
            <w:pPr>
              <w:pStyle w:val="Tabletext"/>
            </w:pPr>
            <w:r>
              <w:t>125</w:t>
            </w:r>
          </w:p>
        </w:tc>
        <w:tc>
          <w:tcPr>
            <w:tcW w:w="1256" w:type="dxa"/>
          </w:tcPr>
          <w:p w:rsidR="008E43AB" w:rsidRDefault="008E43AB" w:rsidP="00AD51F5">
            <w:pPr>
              <w:pStyle w:val="Tabletext"/>
            </w:pPr>
            <w:r>
              <w:t>101</w:t>
            </w:r>
          </w:p>
        </w:tc>
        <w:tc>
          <w:tcPr>
            <w:tcW w:w="1256" w:type="dxa"/>
          </w:tcPr>
          <w:p w:rsidR="008E43AB" w:rsidRDefault="008E43AB" w:rsidP="00AD51F5">
            <w:pPr>
              <w:pStyle w:val="Tabletext"/>
            </w:pPr>
            <w:r>
              <w:t>56</w:t>
            </w:r>
          </w:p>
        </w:tc>
        <w:tc>
          <w:tcPr>
            <w:tcW w:w="1013" w:type="dxa"/>
          </w:tcPr>
          <w:p w:rsidR="008E43AB" w:rsidRDefault="008E43AB" w:rsidP="00AD51F5">
            <w:pPr>
              <w:pStyle w:val="Tabletext"/>
            </w:pPr>
            <w:r>
              <w:t>12</w:t>
            </w:r>
          </w:p>
        </w:tc>
        <w:tc>
          <w:tcPr>
            <w:tcW w:w="739" w:type="dxa"/>
          </w:tcPr>
          <w:p w:rsidR="008E43AB" w:rsidRDefault="008E43AB" w:rsidP="00AD51F5">
            <w:pPr>
              <w:pStyle w:val="Tabletext"/>
            </w:pPr>
            <w:r>
              <w:t>43,647</w:t>
            </w:r>
          </w:p>
        </w:tc>
      </w:tr>
      <w:tr w:rsidR="008E43AB" w:rsidTr="00AD51F5">
        <w:tc>
          <w:tcPr>
            <w:tcW w:w="1256" w:type="dxa"/>
          </w:tcPr>
          <w:p w:rsidR="008E43AB" w:rsidRDefault="008E43AB" w:rsidP="00AD51F5">
            <w:pPr>
              <w:pStyle w:val="Tabletext"/>
            </w:pPr>
            <w:r>
              <w:t>Borde</w:t>
            </w:r>
            <w:r w:rsidR="0072244B">
              <w:t>r</w:t>
            </w:r>
            <w:r>
              <w:t>line/mild</w:t>
            </w:r>
            <w:r>
              <w:br/>
              <w:t>HPV positive</w:t>
            </w:r>
          </w:p>
        </w:tc>
        <w:tc>
          <w:tcPr>
            <w:tcW w:w="1037" w:type="dxa"/>
          </w:tcPr>
          <w:p w:rsidR="008E43AB" w:rsidRDefault="008E43AB" w:rsidP="00AD51F5">
            <w:pPr>
              <w:pStyle w:val="Tabletext"/>
            </w:pPr>
          </w:p>
        </w:tc>
        <w:tc>
          <w:tcPr>
            <w:tcW w:w="922" w:type="dxa"/>
          </w:tcPr>
          <w:p w:rsidR="008E43AB" w:rsidRDefault="008E43AB" w:rsidP="00AD51F5">
            <w:pPr>
              <w:pStyle w:val="Tabletext"/>
            </w:pPr>
            <w:r>
              <w:t>317</w:t>
            </w:r>
          </w:p>
        </w:tc>
        <w:tc>
          <w:tcPr>
            <w:tcW w:w="1256" w:type="dxa"/>
          </w:tcPr>
          <w:p w:rsidR="008E43AB" w:rsidRPr="00127975" w:rsidRDefault="008E43AB" w:rsidP="00AD51F5">
            <w:pPr>
              <w:pStyle w:val="Tabletext"/>
              <w:rPr>
                <w:b/>
              </w:rPr>
            </w:pPr>
            <w:r w:rsidRPr="00127975">
              <w:rPr>
                <w:b/>
              </w:rPr>
              <w:t>900</w:t>
            </w:r>
          </w:p>
        </w:tc>
        <w:tc>
          <w:tcPr>
            <w:tcW w:w="1256" w:type="dxa"/>
          </w:tcPr>
          <w:p w:rsidR="008E43AB" w:rsidRDefault="008E43AB" w:rsidP="00AD51F5">
            <w:pPr>
              <w:pStyle w:val="Tabletext"/>
            </w:pPr>
          </w:p>
        </w:tc>
        <w:tc>
          <w:tcPr>
            <w:tcW w:w="1256" w:type="dxa"/>
          </w:tcPr>
          <w:p w:rsidR="008E43AB" w:rsidRDefault="008E43AB" w:rsidP="00AD51F5">
            <w:pPr>
              <w:pStyle w:val="Tabletext"/>
            </w:pPr>
          </w:p>
        </w:tc>
        <w:tc>
          <w:tcPr>
            <w:tcW w:w="1013" w:type="dxa"/>
          </w:tcPr>
          <w:p w:rsidR="008E43AB" w:rsidRDefault="008E43AB" w:rsidP="00AD51F5">
            <w:pPr>
              <w:pStyle w:val="Tabletext"/>
            </w:pPr>
          </w:p>
        </w:tc>
        <w:tc>
          <w:tcPr>
            <w:tcW w:w="739" w:type="dxa"/>
          </w:tcPr>
          <w:p w:rsidR="008E43AB" w:rsidRDefault="008E43AB" w:rsidP="00AD51F5">
            <w:pPr>
              <w:pStyle w:val="Tabletext"/>
            </w:pPr>
            <w:r>
              <w:t>1217</w:t>
            </w:r>
          </w:p>
        </w:tc>
      </w:tr>
      <w:tr w:rsidR="008E43AB" w:rsidTr="00AD51F5">
        <w:tc>
          <w:tcPr>
            <w:tcW w:w="1256" w:type="dxa"/>
          </w:tcPr>
          <w:p w:rsidR="008E43AB" w:rsidRDefault="008E43AB" w:rsidP="00AD51F5">
            <w:pPr>
              <w:pStyle w:val="Tabletext"/>
            </w:pPr>
            <w:r>
              <w:t>Borde</w:t>
            </w:r>
            <w:r w:rsidR="0072244B">
              <w:t>r</w:t>
            </w:r>
            <w:r>
              <w:t>line/mild</w:t>
            </w:r>
            <w:r>
              <w:br/>
              <w:t>HPV negative</w:t>
            </w:r>
          </w:p>
        </w:tc>
        <w:tc>
          <w:tcPr>
            <w:tcW w:w="1037" w:type="dxa"/>
          </w:tcPr>
          <w:p w:rsidR="008E43AB" w:rsidRDefault="008E43AB" w:rsidP="00AD51F5">
            <w:pPr>
              <w:pStyle w:val="Tabletext"/>
            </w:pPr>
          </w:p>
        </w:tc>
        <w:tc>
          <w:tcPr>
            <w:tcW w:w="922" w:type="dxa"/>
          </w:tcPr>
          <w:p w:rsidR="008E43AB" w:rsidRDefault="008E43AB" w:rsidP="00AD51F5">
            <w:pPr>
              <w:pStyle w:val="Tabletext"/>
            </w:pPr>
            <w:r>
              <w:t>350</w:t>
            </w:r>
          </w:p>
        </w:tc>
        <w:tc>
          <w:tcPr>
            <w:tcW w:w="1256" w:type="dxa"/>
          </w:tcPr>
          <w:p w:rsidR="008E43AB" w:rsidRDefault="008E43AB" w:rsidP="00AD51F5">
            <w:pPr>
              <w:pStyle w:val="Tabletext"/>
            </w:pPr>
          </w:p>
        </w:tc>
        <w:tc>
          <w:tcPr>
            <w:tcW w:w="1256" w:type="dxa"/>
          </w:tcPr>
          <w:p w:rsidR="008E43AB" w:rsidRPr="00127975" w:rsidRDefault="008E43AB" w:rsidP="00AD51F5">
            <w:pPr>
              <w:pStyle w:val="Tabletext"/>
              <w:rPr>
                <w:b/>
              </w:rPr>
            </w:pPr>
            <w:r w:rsidRPr="00127975">
              <w:rPr>
                <w:b/>
              </w:rPr>
              <w:t>334</w:t>
            </w:r>
          </w:p>
        </w:tc>
        <w:tc>
          <w:tcPr>
            <w:tcW w:w="1256" w:type="dxa"/>
          </w:tcPr>
          <w:p w:rsidR="008E43AB" w:rsidRDefault="008E43AB" w:rsidP="00AD51F5">
            <w:pPr>
              <w:pStyle w:val="Tabletext"/>
            </w:pPr>
          </w:p>
        </w:tc>
        <w:tc>
          <w:tcPr>
            <w:tcW w:w="1013" w:type="dxa"/>
          </w:tcPr>
          <w:p w:rsidR="008E43AB" w:rsidRDefault="008E43AB" w:rsidP="00AD51F5">
            <w:pPr>
              <w:pStyle w:val="Tabletext"/>
            </w:pPr>
          </w:p>
        </w:tc>
        <w:tc>
          <w:tcPr>
            <w:tcW w:w="739" w:type="dxa"/>
          </w:tcPr>
          <w:p w:rsidR="008E43AB" w:rsidRDefault="008E43AB" w:rsidP="00AD51F5">
            <w:pPr>
              <w:pStyle w:val="Tabletext"/>
            </w:pPr>
            <w:r>
              <w:t>684</w:t>
            </w:r>
          </w:p>
        </w:tc>
      </w:tr>
      <w:tr w:rsidR="008E43AB" w:rsidTr="00AD51F5">
        <w:tc>
          <w:tcPr>
            <w:tcW w:w="1256" w:type="dxa"/>
          </w:tcPr>
          <w:p w:rsidR="008E43AB" w:rsidRDefault="008E43AB" w:rsidP="00AD51F5">
            <w:pPr>
              <w:pStyle w:val="Tabletext"/>
            </w:pPr>
            <w:r>
              <w:t>Borde</w:t>
            </w:r>
            <w:r w:rsidR="0072244B">
              <w:t>r</w:t>
            </w:r>
            <w:r>
              <w:t>line/mild</w:t>
            </w:r>
            <w:r>
              <w:br/>
              <w:t>HPV not known</w:t>
            </w:r>
          </w:p>
        </w:tc>
        <w:tc>
          <w:tcPr>
            <w:tcW w:w="1037" w:type="dxa"/>
          </w:tcPr>
          <w:p w:rsidR="008E43AB" w:rsidRDefault="008E43AB" w:rsidP="00AD51F5">
            <w:pPr>
              <w:pStyle w:val="Tabletext"/>
            </w:pPr>
          </w:p>
        </w:tc>
        <w:tc>
          <w:tcPr>
            <w:tcW w:w="922" w:type="dxa"/>
          </w:tcPr>
          <w:p w:rsidR="008E43AB" w:rsidRDefault="008E43AB" w:rsidP="00AD51F5">
            <w:pPr>
              <w:pStyle w:val="Tabletext"/>
            </w:pPr>
            <w:r>
              <w:t>217</w:t>
            </w:r>
          </w:p>
        </w:tc>
        <w:tc>
          <w:tcPr>
            <w:tcW w:w="1256" w:type="dxa"/>
          </w:tcPr>
          <w:p w:rsidR="008E43AB" w:rsidRDefault="008E43AB" w:rsidP="00AD51F5">
            <w:pPr>
              <w:pStyle w:val="Tabletext"/>
            </w:pPr>
          </w:p>
        </w:tc>
        <w:tc>
          <w:tcPr>
            <w:tcW w:w="1256" w:type="dxa"/>
          </w:tcPr>
          <w:p w:rsidR="008E43AB" w:rsidRDefault="008E43AB" w:rsidP="00AD51F5">
            <w:pPr>
              <w:pStyle w:val="Tabletext"/>
            </w:pPr>
          </w:p>
        </w:tc>
        <w:tc>
          <w:tcPr>
            <w:tcW w:w="1256" w:type="dxa"/>
          </w:tcPr>
          <w:p w:rsidR="008E43AB" w:rsidRPr="00127975" w:rsidRDefault="008E43AB" w:rsidP="00AD51F5">
            <w:pPr>
              <w:pStyle w:val="Tabletext"/>
              <w:rPr>
                <w:b/>
              </w:rPr>
            </w:pPr>
            <w:r w:rsidRPr="00127975">
              <w:rPr>
                <w:b/>
              </w:rPr>
              <w:t>523</w:t>
            </w:r>
          </w:p>
        </w:tc>
        <w:tc>
          <w:tcPr>
            <w:tcW w:w="1013" w:type="dxa"/>
          </w:tcPr>
          <w:p w:rsidR="008E43AB" w:rsidRDefault="008E43AB" w:rsidP="00AD51F5">
            <w:pPr>
              <w:pStyle w:val="Tabletext"/>
            </w:pPr>
          </w:p>
        </w:tc>
        <w:tc>
          <w:tcPr>
            <w:tcW w:w="739" w:type="dxa"/>
          </w:tcPr>
          <w:p w:rsidR="008E43AB" w:rsidRDefault="008E43AB" w:rsidP="00AD51F5">
            <w:pPr>
              <w:pStyle w:val="Tabletext"/>
            </w:pPr>
            <w:r>
              <w:t>740</w:t>
            </w:r>
          </w:p>
        </w:tc>
      </w:tr>
      <w:tr w:rsidR="008E43AB" w:rsidTr="00AD51F5">
        <w:tc>
          <w:tcPr>
            <w:tcW w:w="1256" w:type="dxa"/>
          </w:tcPr>
          <w:p w:rsidR="008E43AB" w:rsidRDefault="008E43AB" w:rsidP="00AD51F5">
            <w:pPr>
              <w:pStyle w:val="Tabletext"/>
            </w:pPr>
            <w:r>
              <w:t>Moderate+</w:t>
            </w:r>
          </w:p>
        </w:tc>
        <w:tc>
          <w:tcPr>
            <w:tcW w:w="1037" w:type="dxa"/>
          </w:tcPr>
          <w:p w:rsidR="008E43AB" w:rsidRDefault="008E43AB" w:rsidP="00AD51F5">
            <w:pPr>
              <w:pStyle w:val="Tabletext"/>
            </w:pPr>
          </w:p>
        </w:tc>
        <w:tc>
          <w:tcPr>
            <w:tcW w:w="922" w:type="dxa"/>
          </w:tcPr>
          <w:p w:rsidR="008E43AB" w:rsidRDefault="008E43AB" w:rsidP="00AD51F5">
            <w:pPr>
              <w:pStyle w:val="Tabletext"/>
            </w:pPr>
            <w:r>
              <w:t>47</w:t>
            </w:r>
          </w:p>
        </w:tc>
        <w:tc>
          <w:tcPr>
            <w:tcW w:w="1256" w:type="dxa"/>
          </w:tcPr>
          <w:p w:rsidR="008E43AB" w:rsidRDefault="008E43AB" w:rsidP="00AD51F5">
            <w:pPr>
              <w:pStyle w:val="Tabletext"/>
            </w:pPr>
          </w:p>
        </w:tc>
        <w:tc>
          <w:tcPr>
            <w:tcW w:w="1256" w:type="dxa"/>
          </w:tcPr>
          <w:p w:rsidR="008E43AB" w:rsidRDefault="008E43AB" w:rsidP="00AD51F5">
            <w:pPr>
              <w:pStyle w:val="Tabletext"/>
            </w:pPr>
          </w:p>
        </w:tc>
        <w:tc>
          <w:tcPr>
            <w:tcW w:w="1256" w:type="dxa"/>
          </w:tcPr>
          <w:p w:rsidR="008E43AB" w:rsidRDefault="008E43AB" w:rsidP="00AD51F5">
            <w:pPr>
              <w:pStyle w:val="Tabletext"/>
            </w:pPr>
          </w:p>
        </w:tc>
        <w:tc>
          <w:tcPr>
            <w:tcW w:w="1013" w:type="dxa"/>
          </w:tcPr>
          <w:p w:rsidR="008E43AB" w:rsidRPr="00127975" w:rsidRDefault="008E43AB" w:rsidP="00AD51F5">
            <w:pPr>
              <w:pStyle w:val="Tabletext"/>
              <w:rPr>
                <w:b/>
              </w:rPr>
            </w:pPr>
            <w:r w:rsidRPr="00127975">
              <w:rPr>
                <w:b/>
              </w:rPr>
              <w:t>570</w:t>
            </w:r>
          </w:p>
        </w:tc>
        <w:tc>
          <w:tcPr>
            <w:tcW w:w="739" w:type="dxa"/>
          </w:tcPr>
          <w:p w:rsidR="008E43AB" w:rsidRDefault="008E43AB" w:rsidP="00AD51F5">
            <w:pPr>
              <w:pStyle w:val="Tabletext"/>
            </w:pPr>
            <w:r>
              <w:t>617</w:t>
            </w:r>
          </w:p>
        </w:tc>
      </w:tr>
      <w:tr w:rsidR="008E43AB" w:rsidTr="00AD51F5">
        <w:tc>
          <w:tcPr>
            <w:tcW w:w="1256" w:type="dxa"/>
          </w:tcPr>
          <w:p w:rsidR="008E43AB" w:rsidRDefault="008E43AB" w:rsidP="00AD51F5">
            <w:pPr>
              <w:pStyle w:val="Tabletext"/>
            </w:pPr>
            <w:r>
              <w:t>Total</w:t>
            </w:r>
          </w:p>
        </w:tc>
        <w:tc>
          <w:tcPr>
            <w:tcW w:w="1037" w:type="dxa"/>
          </w:tcPr>
          <w:p w:rsidR="008E43AB" w:rsidRDefault="008E43AB" w:rsidP="00AD51F5">
            <w:pPr>
              <w:pStyle w:val="Tabletext"/>
            </w:pPr>
            <w:r>
              <w:t>879</w:t>
            </w:r>
          </w:p>
        </w:tc>
        <w:tc>
          <w:tcPr>
            <w:tcW w:w="922" w:type="dxa"/>
          </w:tcPr>
          <w:p w:rsidR="008E43AB" w:rsidRDefault="008E43AB" w:rsidP="00AD51F5">
            <w:pPr>
              <w:pStyle w:val="Tabletext"/>
            </w:pPr>
            <w:r>
              <w:t>44,771</w:t>
            </w:r>
          </w:p>
        </w:tc>
        <w:tc>
          <w:tcPr>
            <w:tcW w:w="1256" w:type="dxa"/>
          </w:tcPr>
          <w:p w:rsidR="008E43AB" w:rsidRDefault="008E43AB" w:rsidP="00AD51F5">
            <w:pPr>
              <w:pStyle w:val="Tabletext"/>
            </w:pPr>
            <w:r>
              <w:t>1025</w:t>
            </w:r>
          </w:p>
        </w:tc>
        <w:tc>
          <w:tcPr>
            <w:tcW w:w="1256" w:type="dxa"/>
          </w:tcPr>
          <w:p w:rsidR="008E43AB" w:rsidRDefault="008E43AB" w:rsidP="00AD51F5">
            <w:pPr>
              <w:pStyle w:val="Tabletext"/>
            </w:pPr>
            <w:r>
              <w:t>435</w:t>
            </w:r>
          </w:p>
        </w:tc>
        <w:tc>
          <w:tcPr>
            <w:tcW w:w="1256" w:type="dxa"/>
          </w:tcPr>
          <w:p w:rsidR="008E43AB" w:rsidRDefault="008E43AB" w:rsidP="00AD51F5">
            <w:pPr>
              <w:pStyle w:val="Tabletext"/>
            </w:pPr>
            <w:r>
              <w:t>579</w:t>
            </w:r>
          </w:p>
        </w:tc>
        <w:tc>
          <w:tcPr>
            <w:tcW w:w="1013" w:type="dxa"/>
          </w:tcPr>
          <w:p w:rsidR="008E43AB" w:rsidRDefault="008E43AB" w:rsidP="00AD51F5">
            <w:pPr>
              <w:pStyle w:val="Tabletext"/>
            </w:pPr>
            <w:r>
              <w:t>582</w:t>
            </w:r>
          </w:p>
        </w:tc>
        <w:tc>
          <w:tcPr>
            <w:tcW w:w="739" w:type="dxa"/>
          </w:tcPr>
          <w:p w:rsidR="008E43AB" w:rsidRDefault="008E43AB" w:rsidP="00AD51F5">
            <w:pPr>
              <w:pStyle w:val="Tabletext"/>
            </w:pPr>
            <w:r>
              <w:t>48,271</w:t>
            </w:r>
          </w:p>
        </w:tc>
      </w:tr>
    </w:tbl>
    <w:p w:rsidR="008E43AB" w:rsidRDefault="00181166" w:rsidP="00303D7C">
      <w:pPr>
        <w:pStyle w:val="Tabletext"/>
      </w:pPr>
      <w:r>
        <w:t>Abbreviations: HPV, human papilloma virus</w:t>
      </w:r>
      <w:r>
        <w:br/>
      </w:r>
      <w:r w:rsidR="0072244B">
        <w:t>Final manual result</w:t>
      </w:r>
      <w:r w:rsidR="008E43AB" w:rsidRPr="002320DA">
        <w:t xml:space="preserve"> is defined as the last manual result before any automated result is taken into account</w:t>
      </w:r>
      <w:r w:rsidR="0072244B">
        <w:t>.</w:t>
      </w:r>
      <w:r w:rsidR="0072244B">
        <w:br/>
        <w:t>Final auto result</w:t>
      </w:r>
      <w:r w:rsidR="008E43AB" w:rsidRPr="002320DA">
        <w:t xml:space="preserve"> is defined as the last </w:t>
      </w:r>
      <w:r w:rsidR="008E43AB">
        <w:t>automated r</w:t>
      </w:r>
      <w:r w:rsidR="008E43AB" w:rsidRPr="002320DA">
        <w:t>esult</w:t>
      </w:r>
      <w:r w:rsidR="008E43AB">
        <w:t>.</w:t>
      </w:r>
      <w:r w:rsidR="008E43AB">
        <w:br/>
      </w:r>
      <w:r w:rsidR="008E43AB" w:rsidRPr="002320DA">
        <w:t>Concordant results 46,421 (96.2%); discordant results 1850 (3.8%).</w:t>
      </w:r>
      <w:r w:rsidR="0072244B">
        <w:br/>
        <w:t xml:space="preserve">Source: Kitchener </w:t>
      </w:r>
      <w:r w:rsidR="008E43AB">
        <w:t>2011</w:t>
      </w:r>
      <w:r w:rsidR="000C1751">
        <w:t>a</w:t>
      </w:r>
      <w:r w:rsidR="008E43AB">
        <w:t xml:space="preserve"> Table 22</w:t>
      </w:r>
    </w:p>
    <w:p w:rsidR="008E43AB" w:rsidRPr="008E43AB" w:rsidRDefault="008E43AB" w:rsidP="0072244B">
      <w:pPr>
        <w:pStyle w:val="Heading50"/>
      </w:pPr>
      <w:r w:rsidRPr="008E43AB">
        <w:t>Primary outcome</w:t>
      </w:r>
    </w:p>
    <w:p w:rsidR="008E43AB" w:rsidRDefault="00D47BB4" w:rsidP="008E43AB">
      <w:r>
        <w:t>The primary outcome is the</w:t>
      </w:r>
      <w:r w:rsidR="008E43AB">
        <w:t xml:space="preserve"> relative sensitivity of screening by automated or manually read cytology to detect CIN</w:t>
      </w:r>
      <w:r w:rsidR="0072244B">
        <w:t xml:space="preserve"> </w:t>
      </w:r>
      <w:r w:rsidR="008E43AB">
        <w:t>3+ and CIN</w:t>
      </w:r>
      <w:r w:rsidR="0072244B">
        <w:t xml:space="preserve"> </w:t>
      </w:r>
      <w:r w:rsidR="008E43AB">
        <w:t>2+. For the purposes of investigating sensitivity and specificity, the cytology results were translated into positive and negative outcomes fo</w:t>
      </w:r>
      <w:r w:rsidR="0072244B">
        <w:t>r final manual result and final auto result</w:t>
      </w:r>
      <w:r w:rsidR="008E43AB">
        <w:t>.</w:t>
      </w:r>
    </w:p>
    <w:p w:rsidR="008E43AB" w:rsidRDefault="0072244B" w:rsidP="008E43AB">
      <w:r>
        <w:t>Definition of result positive is a final auto result</w:t>
      </w:r>
      <w:r w:rsidR="006A5A16">
        <w:t xml:space="preserve"> </w:t>
      </w:r>
      <w:r w:rsidR="008E43AB">
        <w:t xml:space="preserve">of borderline or worse, and the woman referred to colposcopy (i.e. if borderline/mild the </w:t>
      </w:r>
      <w:r w:rsidR="008E43AB" w:rsidRPr="0072244B">
        <w:rPr>
          <w:b/>
        </w:rPr>
        <w:t>HPV result is positive</w:t>
      </w:r>
      <w:r>
        <w:t xml:space="preserve">). Final </w:t>
      </w:r>
      <w:r w:rsidR="008E43AB">
        <w:t xml:space="preserve">negative is any negative result or where the </w:t>
      </w:r>
      <w:r>
        <w:t>final auto result</w:t>
      </w:r>
      <w:r w:rsidR="008E43AB">
        <w:t xml:space="preserve"> was borderline/mild, but the </w:t>
      </w:r>
      <w:r w:rsidR="008E43AB" w:rsidRPr="0072244B">
        <w:rPr>
          <w:b/>
        </w:rPr>
        <w:t>HPV result was negative</w:t>
      </w:r>
      <w:r w:rsidR="008E43AB">
        <w:t xml:space="preserve">. Where the cytology result was borderline or mild, but the HPV status is not known, then it is assumed to be </w:t>
      </w:r>
      <w:r w:rsidR="006A5A16">
        <w:t>final auto result</w:t>
      </w:r>
      <w:r w:rsidR="008E43AB">
        <w:t xml:space="preserve"> positive if the subject was sent for colposcopy. Samples where the women were referred to colposcopy, but no result has been obtained (either due to non-attendance or inadequate result) have been excluded. Samples where either the </w:t>
      </w:r>
      <w:r w:rsidR="006A5A16">
        <w:t>final auto result</w:t>
      </w:r>
      <w:r w:rsidR="008E43AB">
        <w:t xml:space="preserve"> or the </w:t>
      </w:r>
      <w:r w:rsidR="006A5A16">
        <w:t>final manual</w:t>
      </w:r>
      <w:r w:rsidR="008E43AB">
        <w:t xml:space="preserve"> result was inadequate have also been excluded. </w:t>
      </w:r>
    </w:p>
    <w:p w:rsidR="008E43AB" w:rsidRDefault="008E43AB" w:rsidP="008E43AB">
      <w:r>
        <w:t>The</w:t>
      </w:r>
      <w:r w:rsidRPr="00397645">
        <w:t xml:space="preserve"> </w:t>
      </w:r>
      <w:r>
        <w:t xml:space="preserve">TBS 2001 </w:t>
      </w:r>
      <w:r w:rsidRPr="00397645">
        <w:t xml:space="preserve">equivalent </w:t>
      </w:r>
      <w:r>
        <w:t>cytological classification</w:t>
      </w:r>
      <w:r w:rsidR="006A5A16">
        <w:t>s</w:t>
      </w:r>
      <w:r>
        <w:t xml:space="preserve"> </w:t>
      </w:r>
      <w:r w:rsidRPr="00397645">
        <w:t xml:space="preserve">of borderline and mild </w:t>
      </w:r>
      <w:r>
        <w:t xml:space="preserve">are </w:t>
      </w:r>
      <w:r w:rsidRPr="00397645">
        <w:t>ASCUS and LSIL</w:t>
      </w:r>
      <w:r>
        <w:t>. Results from both of these categories are capture</w:t>
      </w:r>
      <w:r w:rsidR="006A5A16">
        <w:t>d as final auto/manual review positive and negative</w:t>
      </w:r>
      <w:r>
        <w:t xml:space="preserve"> depending on whether the subsequent HPV test of the sample was positive or negative. </w:t>
      </w:r>
      <w:r w:rsidRPr="00827512">
        <w:rPr>
          <w:b/>
        </w:rPr>
        <w:t>Therefore</w:t>
      </w:r>
      <w:r w:rsidR="006A5A16" w:rsidRPr="00827512">
        <w:rPr>
          <w:b/>
        </w:rPr>
        <w:t>,</w:t>
      </w:r>
      <w:r w:rsidRPr="00827512">
        <w:rPr>
          <w:b/>
        </w:rPr>
        <w:t xml:space="preserve"> borderline and mild results are cap</w:t>
      </w:r>
      <w:r w:rsidR="006A5A16" w:rsidRPr="00827512">
        <w:rPr>
          <w:b/>
        </w:rPr>
        <w:t>tured in both positive and negative</w:t>
      </w:r>
      <w:r w:rsidRPr="00827512">
        <w:rPr>
          <w:b/>
        </w:rPr>
        <w:t xml:space="preserve"> final manual/auto review reports distinguished only by colposcopy referral due to HPV result.</w:t>
      </w:r>
      <w:r>
        <w:t xml:space="preserve"> In </w:t>
      </w:r>
      <w:r>
        <w:lastRenderedPageBreak/>
        <w:t xml:space="preserve">the Australian environment the current course of action is to repeat cytology for any ASCUS or </w:t>
      </w:r>
      <w:r w:rsidR="007508D9">
        <w:t xml:space="preserve">LSIL </w:t>
      </w:r>
      <w:r>
        <w:t>findings. The protocol in the MAVARIC trial is therefore not representative of local processes</w:t>
      </w:r>
      <w:r w:rsidR="00216EFB">
        <w:t xml:space="preserve"> or any other practice where HPV triage testing is not implemented</w:t>
      </w:r>
      <w:r>
        <w:t xml:space="preserve">. The sensitivity and specificity reported from MAVARIC reflect not just the manual versus auto review but </w:t>
      </w:r>
      <w:r w:rsidR="00044B07">
        <w:t xml:space="preserve">concurrent </w:t>
      </w:r>
      <w:r>
        <w:t>HPV testing a</w:t>
      </w:r>
      <w:r w:rsidR="00216EFB">
        <w:t>lso</w:t>
      </w:r>
      <w:r>
        <w:t xml:space="preserve">. </w:t>
      </w:r>
    </w:p>
    <w:p w:rsidR="008E43AB" w:rsidRDefault="008E43AB" w:rsidP="008E43AB">
      <w:r>
        <w:t xml:space="preserve">There is a </w:t>
      </w:r>
      <w:r w:rsidR="00FF329D">
        <w:t xml:space="preserve">slight </w:t>
      </w:r>
      <w:r>
        <w:t xml:space="preserve">difference between the proportion of </w:t>
      </w:r>
      <w:r w:rsidRPr="00397645">
        <w:t>borderline and mild</w:t>
      </w:r>
      <w:r w:rsidR="006A5A16">
        <w:t xml:space="preserve"> cytological results in the a</w:t>
      </w:r>
      <w:r>
        <w:t>utomated revi</w:t>
      </w:r>
      <w:r w:rsidR="006A5A16">
        <w:t>ew of SP and TP slides and the m</w:t>
      </w:r>
      <w:r>
        <w:t xml:space="preserve">anual review of SP and TP slides in </w:t>
      </w:r>
      <w:r w:rsidR="006A5A16">
        <w:t>the p</w:t>
      </w:r>
      <w:r>
        <w:t>aired arm (n=917 (3.92%) and n=1122 (4.5%) versus n=1277 (5.5%) and 1364 (5.49%), respectively).</w:t>
      </w:r>
      <w:r w:rsidR="00FF329D">
        <w:t xml:space="preserve"> </w:t>
      </w:r>
      <w:r>
        <w:t>HPV testing of</w:t>
      </w:r>
      <w:r w:rsidR="00931E58">
        <w:t xml:space="preserve"> this population meant that 46</w:t>
      </w:r>
      <w:r>
        <w:t>% (1334/</w:t>
      </w:r>
      <w:r w:rsidR="00931E58">
        <w:t>2923</w:t>
      </w:r>
      <w:r>
        <w:t>) patients were referred for colposcopy due to positive HPV testing with a borderline/mild cytology outcome</w:t>
      </w:r>
      <w:r w:rsidR="00F04BB4">
        <w:t xml:space="preserve"> </w:t>
      </w:r>
      <w:r w:rsidR="006A5A16">
        <w:t>where</w:t>
      </w:r>
      <w:r w:rsidR="00FF329D">
        <w:t xml:space="preserve">as only </w:t>
      </w:r>
      <w:r w:rsidR="00931E58">
        <w:t>10</w:t>
      </w:r>
      <w:r w:rsidR="00FF329D">
        <w:t>% (321/</w:t>
      </w:r>
      <w:r w:rsidR="00931E58">
        <w:t>2923</w:t>
      </w:r>
      <w:r w:rsidR="00FF329D">
        <w:t>)</w:t>
      </w:r>
      <w:r w:rsidR="00931E58">
        <w:t xml:space="preserve"> </w:t>
      </w:r>
      <w:r>
        <w:t>of patients</w:t>
      </w:r>
      <w:r w:rsidRPr="00862F07">
        <w:t xml:space="preserve"> </w:t>
      </w:r>
      <w:r w:rsidR="00FF329D">
        <w:t xml:space="preserve">were </w:t>
      </w:r>
      <w:r>
        <w:t>referred for colposcopy despite a negative or unknown HPV test</w:t>
      </w:r>
      <w:r w:rsidR="006A5A16">
        <w:t xml:space="preserve"> (Kitchener</w:t>
      </w:r>
      <w:r w:rsidR="00FF329D">
        <w:t xml:space="preserve"> 2011</w:t>
      </w:r>
      <w:r w:rsidR="000C1751">
        <w:t>a</w:t>
      </w:r>
      <w:r w:rsidR="00FF329D">
        <w:t xml:space="preserve"> Table 31)</w:t>
      </w:r>
      <w:r>
        <w:t xml:space="preserve">. </w:t>
      </w:r>
      <w:r w:rsidR="00931E58">
        <w:t>Therefore there was almost five</w:t>
      </w:r>
      <w:r w:rsidR="00F04BB4">
        <w:t xml:space="preserve"> time</w:t>
      </w:r>
      <w:r w:rsidR="00931E58">
        <w:t>s</w:t>
      </w:r>
      <w:r w:rsidR="00F04BB4">
        <w:t xml:space="preserve"> the number of referrals for colposcopy for patients with </w:t>
      </w:r>
      <w:r w:rsidR="007508D9">
        <w:t>LSIL</w:t>
      </w:r>
      <w:r w:rsidR="00F04BB4">
        <w:t xml:space="preserve"> cytological findings due to HPV testing that would otherwise have been the case had HPV testing not been performed. </w:t>
      </w:r>
      <w:r w:rsidR="00931E58">
        <w:t>T</w:t>
      </w:r>
      <w:r w:rsidR="00F04BB4">
        <w:t xml:space="preserve">he distribution of </w:t>
      </w:r>
      <w:r w:rsidR="00931E58">
        <w:t xml:space="preserve">HPV findings between SP and TP is not reported. Therefore the impact of the imbalance of </w:t>
      </w:r>
      <w:r w:rsidR="007508D9">
        <w:t>LSIL</w:t>
      </w:r>
      <w:r w:rsidR="00F04BB4">
        <w:t xml:space="preserve"> findings between </w:t>
      </w:r>
      <w:r w:rsidR="00931E58">
        <w:t>the technologies read via</w:t>
      </w:r>
      <w:r w:rsidR="00F04BB4">
        <w:t xml:space="preserve"> automated review </w:t>
      </w:r>
      <w:r w:rsidR="00931E58">
        <w:t xml:space="preserve">is difficult to interpret. It is possible that one technology read via automated review is more sensitive for the detection of HPV related cytological changes. </w:t>
      </w:r>
    </w:p>
    <w:p w:rsidR="008E43AB" w:rsidRDefault="006A5A16" w:rsidP="008E43AB">
      <w:r>
        <w:t>The congruence of final auto result and final manual result</w:t>
      </w:r>
      <w:r w:rsidR="008E43AB">
        <w:t xml:space="preserve"> reported in </w:t>
      </w:r>
      <w:r w:rsidR="00086C77">
        <w:fldChar w:fldCharType="begin"/>
      </w:r>
      <w:r w:rsidR="008E43AB">
        <w:instrText xml:space="preserve"> REF _Ref331062990 \h </w:instrText>
      </w:r>
      <w:r w:rsidR="00086C77">
        <w:fldChar w:fldCharType="separate"/>
      </w:r>
      <w:r w:rsidR="003361A8">
        <w:t xml:space="preserve">Table </w:t>
      </w:r>
      <w:r w:rsidR="003361A8">
        <w:rPr>
          <w:noProof/>
        </w:rPr>
        <w:t>70</w:t>
      </w:r>
      <w:r w:rsidR="00086C77">
        <w:fldChar w:fldCharType="end"/>
      </w:r>
      <w:r w:rsidR="008E43AB">
        <w:t xml:space="preserve"> subcategorises borderline/mild cytological outcomes according to HPV results but does not provide congruence for borderline and mild cytological outcomes separately. This is important because the rates of detection of CIN</w:t>
      </w:r>
      <w:r>
        <w:t xml:space="preserve"> </w:t>
      </w:r>
      <w:r w:rsidR="008E43AB">
        <w:t xml:space="preserve">2+ between borderline and mild cytological outcomes differ (14.2% versus 23.1%, </w:t>
      </w:r>
      <w:r w:rsidR="00086C77">
        <w:fldChar w:fldCharType="begin"/>
      </w:r>
      <w:r w:rsidR="008E43AB">
        <w:instrText xml:space="preserve"> REF _Ref331069441 \h </w:instrText>
      </w:r>
      <w:r w:rsidR="00086C77">
        <w:fldChar w:fldCharType="separate"/>
      </w:r>
      <w:r w:rsidR="003361A8">
        <w:t xml:space="preserve">Table </w:t>
      </w:r>
      <w:r w:rsidR="003361A8">
        <w:rPr>
          <w:noProof/>
        </w:rPr>
        <w:t>71</w:t>
      </w:r>
      <w:r w:rsidR="00086C77">
        <w:fldChar w:fldCharType="end"/>
      </w:r>
      <w:r w:rsidR="008E43AB">
        <w:t xml:space="preserve">). </w:t>
      </w:r>
    </w:p>
    <w:p w:rsidR="008E43AB" w:rsidRDefault="008E43AB" w:rsidP="008E43AB">
      <w:r>
        <w:t>Overall there is an uneven distribution of borderline/mil</w:t>
      </w:r>
      <w:r w:rsidR="006A5A16">
        <w:t>d cytological outcomes between a</w:t>
      </w:r>
      <w:r>
        <w:t xml:space="preserve">uto and manual review, the distribution of borderline and mild cytological outcomes within each group is unknown </w:t>
      </w:r>
      <w:r w:rsidR="001E7FB4">
        <w:t xml:space="preserve">but </w:t>
      </w:r>
      <w:r>
        <w:t>the rates of CIN</w:t>
      </w:r>
      <w:r w:rsidR="006A5A16">
        <w:t xml:space="preserve"> </w:t>
      </w:r>
      <w:r>
        <w:t xml:space="preserve">2+ detection differ between HPV positive borderline and mild cytological outcomes. It is not known whether this may have impacted the relative sensitivity and specificity between </w:t>
      </w:r>
      <w:r w:rsidR="006A5A16">
        <w:t>final auto result and final manual result</w:t>
      </w:r>
      <w:r>
        <w:t xml:space="preserve">. </w:t>
      </w:r>
    </w:p>
    <w:p w:rsidR="008E43AB" w:rsidRDefault="008E43AB" w:rsidP="008E43AB">
      <w:r>
        <w:t>It is important to note that the majority of HPV positive</w:t>
      </w:r>
      <w:r w:rsidRPr="002456B3">
        <w:t xml:space="preserve"> </w:t>
      </w:r>
      <w:r>
        <w:t xml:space="preserve">borderline and mild cytological outcomes results in </w:t>
      </w:r>
      <w:r w:rsidR="006A5A16">
        <w:t>no abnormality detected</w:t>
      </w:r>
      <w:r>
        <w:t>, 35.6% and 30.2%, respectively. For borderline cytological outcomes</w:t>
      </w:r>
      <w:r w:rsidR="006A5A16">
        <w:t>,</w:t>
      </w:r>
      <w:r>
        <w:t xml:space="preserve"> 26.2% of patients had n</w:t>
      </w:r>
      <w:r w:rsidRPr="002456B3">
        <w:t xml:space="preserve">o pre-cancerous abnormalities detected on colposcopically </w:t>
      </w:r>
      <w:r w:rsidR="006A5A16">
        <w:t>-</w:t>
      </w:r>
      <w:r w:rsidRPr="002456B3">
        <w:t>directed biopsy</w:t>
      </w:r>
      <w:r>
        <w:t xml:space="preserve">. This most likely represents the natural history of acute HPV infections which spontaneously clear </w:t>
      </w:r>
      <w:r w:rsidR="001E7FB4">
        <w:t>8 to 14 months post infection (</w:t>
      </w:r>
      <w:r>
        <w:t xml:space="preserve">NHMRC guidelines p.12). </w:t>
      </w:r>
    </w:p>
    <w:p w:rsidR="001E7FB4" w:rsidRDefault="00303D7C" w:rsidP="001E7FB4">
      <w:r>
        <w:lastRenderedPageBreak/>
        <w:t>It is noted that most</w:t>
      </w:r>
      <w:r w:rsidR="001E7FB4">
        <w:t xml:space="preserve"> CIN</w:t>
      </w:r>
      <w:r w:rsidR="006A5A16">
        <w:t xml:space="preserve"> </w:t>
      </w:r>
      <w:r w:rsidR="001E7FB4">
        <w:t>2+ in the MAVARIC study were found as a result of testing low-grade abnormalities found on manual screening for high-risk HPV. However, the TOMBOLA study into the management of low-grade abnormalities showed that there were fewer CIN</w:t>
      </w:r>
      <w:r w:rsidR="006A5A16">
        <w:t xml:space="preserve"> </w:t>
      </w:r>
      <w:r w:rsidR="001E7FB4">
        <w:t>2+ cases in the arm followed with cytology than in the immediate colposcopy arm. This was presumed to be as a result of regression of CIN</w:t>
      </w:r>
      <w:r w:rsidR="006A5A16">
        <w:t xml:space="preserve"> </w:t>
      </w:r>
      <w:r w:rsidR="001E7FB4">
        <w:t>2 in the cytology arm, as the rate of CIN</w:t>
      </w:r>
      <w:r w:rsidR="006A5A16">
        <w:t xml:space="preserve"> </w:t>
      </w:r>
      <w:r w:rsidR="001E7FB4">
        <w:t>3 was similar in both arms, and raises questions about whether CIN</w:t>
      </w:r>
      <w:r w:rsidR="006A5A16">
        <w:t xml:space="preserve"> </w:t>
      </w:r>
      <w:r w:rsidR="001E7FB4">
        <w:t>2 should be considered a high</w:t>
      </w:r>
      <w:r w:rsidR="00181166">
        <w:t xml:space="preserve"> </w:t>
      </w:r>
      <w:r w:rsidR="001E7FB4">
        <w:t>grade lesion (TOMBOLA group 20</w:t>
      </w:r>
      <w:r w:rsidR="006A5A16">
        <w:t>09). Castle 2009</w:t>
      </w:r>
      <w:r w:rsidR="001E7FB4">
        <w:t xml:space="preserve"> discuss</w:t>
      </w:r>
      <w:r w:rsidR="006A5A16">
        <w:t>ed</w:t>
      </w:r>
      <w:r w:rsidR="001E7FB4">
        <w:t xml:space="preserve"> the behaviour of CIN</w:t>
      </w:r>
      <w:r w:rsidR="006A5A16">
        <w:t xml:space="preserve"> </w:t>
      </w:r>
      <w:r w:rsidR="001E7FB4">
        <w:t>2 presenting as low-grade cytology, and suggest</w:t>
      </w:r>
      <w:r w:rsidR="006A5A16">
        <w:t>ed</w:t>
      </w:r>
      <w:r w:rsidR="001E7FB4">
        <w:t xml:space="preserve"> that HPV16-related CIN</w:t>
      </w:r>
      <w:r w:rsidR="006A5A16">
        <w:t xml:space="preserve"> </w:t>
      </w:r>
      <w:r w:rsidR="001E7FB4">
        <w:t xml:space="preserve">2 is different from non-HPV16 disease. The latter is more likely to regress spontaneously, and </w:t>
      </w:r>
      <w:r w:rsidR="00181166">
        <w:t xml:space="preserve">so the reduced detection of low </w:t>
      </w:r>
      <w:r w:rsidR="001E7FB4">
        <w:t>grade cytology harbouring high-grade histology may not be as important as it seems at first sight.</w:t>
      </w:r>
    </w:p>
    <w:p w:rsidR="008E43AB" w:rsidRDefault="008E43AB" w:rsidP="008E43AB">
      <w:pPr>
        <w:pStyle w:val="Caption"/>
      </w:pPr>
      <w:bookmarkStart w:id="472" w:name="_Ref331069441"/>
      <w:bookmarkStart w:id="473" w:name="_Toc331766509"/>
      <w:bookmarkStart w:id="474" w:name="_Toc335666043"/>
      <w:bookmarkStart w:id="475" w:name="_Toc337547008"/>
      <w:r>
        <w:t xml:space="preserve">Table </w:t>
      </w:r>
      <w:fldSimple w:instr=" SEQ Table \* ARABIC ">
        <w:r w:rsidR="003361A8">
          <w:rPr>
            <w:noProof/>
          </w:rPr>
          <w:t>71</w:t>
        </w:r>
      </w:fldSimple>
      <w:bookmarkEnd w:id="472"/>
      <w:r>
        <w:tab/>
        <w:t xml:space="preserve">Correlation </w:t>
      </w:r>
      <w:r w:rsidR="006A5A16">
        <w:t>cytology man</w:t>
      </w:r>
      <w:r w:rsidR="0054583C">
        <w:t>agement and colposcopy outcome—</w:t>
      </w:r>
      <w:r w:rsidR="006A5A16">
        <w:t xml:space="preserve">LBC (SurePath and ThinPrep): Kitchener </w:t>
      </w:r>
      <w:r>
        <w:t>2011</w:t>
      </w:r>
      <w:r w:rsidR="000C1751">
        <w:t>a</w:t>
      </w:r>
      <w:bookmarkEnd w:id="473"/>
      <w:bookmarkEnd w:id="474"/>
      <w:bookmarkEnd w:id="4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4"/>
        <w:gridCol w:w="1296"/>
        <w:gridCol w:w="1296"/>
        <w:gridCol w:w="1296"/>
        <w:gridCol w:w="1152"/>
        <w:gridCol w:w="1437"/>
      </w:tblGrid>
      <w:tr w:rsidR="00BA4EB4" w:rsidRPr="00767F7A" w:rsidTr="006A5A16">
        <w:tc>
          <w:tcPr>
            <w:tcW w:w="1357" w:type="pct"/>
            <w:tcBorders>
              <w:right w:val="single" w:sz="4" w:space="0" w:color="auto"/>
            </w:tcBorders>
          </w:tcPr>
          <w:p w:rsidR="00BA4EB4" w:rsidRDefault="00BA4EB4" w:rsidP="00AD51F5">
            <w:pPr>
              <w:pStyle w:val="Tabletext"/>
            </w:pPr>
          </w:p>
        </w:tc>
        <w:tc>
          <w:tcPr>
            <w:tcW w:w="3643" w:type="pct"/>
            <w:gridSpan w:val="5"/>
            <w:tcBorders>
              <w:top w:val="single" w:sz="4" w:space="0" w:color="auto"/>
              <w:left w:val="single" w:sz="4" w:space="0" w:color="auto"/>
            </w:tcBorders>
          </w:tcPr>
          <w:p w:rsidR="00BA4EB4" w:rsidRPr="00BA4EB4" w:rsidRDefault="00BA4EB4" w:rsidP="006A5A16">
            <w:pPr>
              <w:pStyle w:val="Tabletext"/>
              <w:jc w:val="center"/>
              <w:rPr>
                <w:b/>
              </w:rPr>
            </w:pPr>
            <w:r w:rsidRPr="00BA4EB4">
              <w:rPr>
                <w:b/>
              </w:rPr>
              <w:t>Cytology/HPV</w:t>
            </w:r>
            <w:r w:rsidR="006A5A16">
              <w:rPr>
                <w:b/>
              </w:rPr>
              <w:t xml:space="preserve"> </w:t>
            </w:r>
            <w:r w:rsidR="006A5A16" w:rsidRPr="00BA4EB4">
              <w:rPr>
                <w:b/>
              </w:rPr>
              <w:t>management result</w:t>
            </w:r>
          </w:p>
        </w:tc>
      </w:tr>
      <w:tr w:rsidR="006A5A16" w:rsidRPr="00767F7A" w:rsidTr="006A5A16">
        <w:tc>
          <w:tcPr>
            <w:tcW w:w="2814" w:type="pct"/>
            <w:gridSpan w:val="3"/>
          </w:tcPr>
          <w:p w:rsidR="006A5A16" w:rsidRDefault="006A5A16" w:rsidP="00AD51F5">
            <w:pPr>
              <w:pStyle w:val="Tabletext"/>
            </w:pPr>
          </w:p>
        </w:tc>
        <w:tc>
          <w:tcPr>
            <w:tcW w:w="2186" w:type="pct"/>
            <w:gridSpan w:val="3"/>
          </w:tcPr>
          <w:p w:rsidR="006A5A16" w:rsidRPr="006A5A16" w:rsidRDefault="006A5A16" w:rsidP="006A5A16">
            <w:pPr>
              <w:pStyle w:val="Tabletext"/>
              <w:jc w:val="center"/>
              <w:rPr>
                <w:b/>
              </w:rPr>
            </w:pPr>
            <w:r w:rsidRPr="006A5A16">
              <w:rPr>
                <w:b/>
              </w:rPr>
              <w:t>Histology</w:t>
            </w:r>
          </w:p>
        </w:tc>
      </w:tr>
      <w:tr w:rsidR="008E43AB" w:rsidRPr="00767F7A" w:rsidTr="006A5A16">
        <w:tc>
          <w:tcPr>
            <w:tcW w:w="1357" w:type="pct"/>
            <w:tcBorders>
              <w:right w:val="single" w:sz="4" w:space="0" w:color="auto"/>
            </w:tcBorders>
          </w:tcPr>
          <w:p w:rsidR="008E43AB" w:rsidRPr="00BA4EB4" w:rsidRDefault="008E43AB" w:rsidP="00AD51F5">
            <w:pPr>
              <w:pStyle w:val="Tabletext"/>
              <w:rPr>
                <w:b/>
              </w:rPr>
            </w:pPr>
            <w:r w:rsidRPr="00BA4EB4">
              <w:rPr>
                <w:b/>
              </w:rPr>
              <w:t>Colposcopy outcome</w:t>
            </w:r>
          </w:p>
        </w:tc>
        <w:tc>
          <w:tcPr>
            <w:tcW w:w="729" w:type="pct"/>
            <w:tcBorders>
              <w:left w:val="single" w:sz="4" w:space="0" w:color="auto"/>
            </w:tcBorders>
          </w:tcPr>
          <w:p w:rsidR="008E43AB" w:rsidRDefault="008E43AB" w:rsidP="00AD51F5">
            <w:pPr>
              <w:pStyle w:val="Tabletext"/>
            </w:pPr>
            <w:r>
              <w:t xml:space="preserve">Colposcopy NAD </w:t>
            </w:r>
            <w:proofErr w:type="gramStart"/>
            <w:r>
              <w:t>n(</w:t>
            </w:r>
            <w:proofErr w:type="gramEnd"/>
            <w:r>
              <w:t>%)</w:t>
            </w:r>
          </w:p>
        </w:tc>
        <w:tc>
          <w:tcPr>
            <w:tcW w:w="729" w:type="pct"/>
          </w:tcPr>
          <w:p w:rsidR="008E43AB" w:rsidRDefault="008E43AB" w:rsidP="00AD51F5">
            <w:pPr>
              <w:pStyle w:val="Tabletext"/>
            </w:pPr>
            <w:r>
              <w:t xml:space="preserve">HPV </w:t>
            </w:r>
            <w:proofErr w:type="gramStart"/>
            <w:r>
              <w:t>only(</w:t>
            </w:r>
            <w:proofErr w:type="gramEnd"/>
            <w:r>
              <w:t>%)</w:t>
            </w:r>
          </w:p>
        </w:tc>
        <w:tc>
          <w:tcPr>
            <w:tcW w:w="729" w:type="pct"/>
          </w:tcPr>
          <w:p w:rsidR="008E43AB" w:rsidRDefault="008E43AB" w:rsidP="00AD51F5">
            <w:pPr>
              <w:pStyle w:val="Tabletext"/>
            </w:pPr>
            <w:r>
              <w:t>CIN</w:t>
            </w:r>
            <w:r w:rsidR="006A5A16">
              <w:t xml:space="preserve"> </w:t>
            </w:r>
            <w:r>
              <w:t xml:space="preserve">1, </w:t>
            </w:r>
            <w:proofErr w:type="gramStart"/>
            <w:r>
              <w:t>n(</w:t>
            </w:r>
            <w:proofErr w:type="gramEnd"/>
            <w:r>
              <w:t>%)</w:t>
            </w:r>
          </w:p>
        </w:tc>
        <w:tc>
          <w:tcPr>
            <w:tcW w:w="648" w:type="pct"/>
          </w:tcPr>
          <w:p w:rsidR="008E43AB" w:rsidRDefault="008E43AB" w:rsidP="00AD51F5">
            <w:pPr>
              <w:pStyle w:val="Tabletext"/>
            </w:pPr>
            <w:r>
              <w:t>CIN</w:t>
            </w:r>
            <w:r w:rsidR="006A5A16">
              <w:t xml:space="preserve"> </w:t>
            </w:r>
            <w:r>
              <w:t>2, n</w:t>
            </w:r>
            <w:r w:rsidR="00181166">
              <w:t xml:space="preserve"> </w:t>
            </w:r>
            <w:r>
              <w:t>(%)</w:t>
            </w:r>
          </w:p>
        </w:tc>
        <w:tc>
          <w:tcPr>
            <w:tcW w:w="809" w:type="pct"/>
            <w:tcBorders>
              <w:left w:val="single" w:sz="4" w:space="0" w:color="auto"/>
            </w:tcBorders>
          </w:tcPr>
          <w:p w:rsidR="008E43AB" w:rsidRDefault="008E43AB" w:rsidP="00AD51F5">
            <w:pPr>
              <w:pStyle w:val="Tabletext"/>
            </w:pPr>
            <w:r>
              <w:t>CIN</w:t>
            </w:r>
            <w:r w:rsidR="006A5A16">
              <w:t xml:space="preserve"> </w:t>
            </w:r>
            <w:r>
              <w:t>3+ n</w:t>
            </w:r>
            <w:r w:rsidR="00181166">
              <w:t xml:space="preserve"> </w:t>
            </w:r>
            <w:r>
              <w:t>(%)</w:t>
            </w:r>
          </w:p>
        </w:tc>
      </w:tr>
      <w:tr w:rsidR="008E43AB" w:rsidRPr="00767F7A" w:rsidTr="006A5A16">
        <w:tc>
          <w:tcPr>
            <w:tcW w:w="1357" w:type="pct"/>
            <w:tcBorders>
              <w:right w:val="single" w:sz="4" w:space="0" w:color="auto"/>
            </w:tcBorders>
          </w:tcPr>
          <w:p w:rsidR="008E43AB" w:rsidRDefault="008E43AB" w:rsidP="00AD51F5">
            <w:pPr>
              <w:pStyle w:val="Tabletext"/>
            </w:pPr>
            <w:r>
              <w:t>Negative</w:t>
            </w:r>
          </w:p>
        </w:tc>
        <w:tc>
          <w:tcPr>
            <w:tcW w:w="729" w:type="pct"/>
            <w:tcBorders>
              <w:left w:val="single" w:sz="4" w:space="0" w:color="auto"/>
            </w:tcBorders>
          </w:tcPr>
          <w:p w:rsidR="008E43AB" w:rsidRDefault="008E43AB" w:rsidP="00AD51F5">
            <w:pPr>
              <w:pStyle w:val="Tabletext"/>
            </w:pPr>
            <w:r>
              <w:t>34</w:t>
            </w:r>
            <w:r w:rsidR="00181166">
              <w:t xml:space="preserve"> </w:t>
            </w:r>
            <w:r>
              <w:t>(4.4)</w:t>
            </w:r>
          </w:p>
        </w:tc>
        <w:tc>
          <w:tcPr>
            <w:tcW w:w="729" w:type="pct"/>
          </w:tcPr>
          <w:p w:rsidR="008E43AB" w:rsidRDefault="008E43AB" w:rsidP="00AD51F5">
            <w:pPr>
              <w:pStyle w:val="Tabletext"/>
            </w:pPr>
            <w:r>
              <w:t>45</w:t>
            </w:r>
            <w:r w:rsidR="00181166">
              <w:t xml:space="preserve"> </w:t>
            </w:r>
            <w:r>
              <w:t>(7.9)</w:t>
            </w:r>
          </w:p>
        </w:tc>
        <w:tc>
          <w:tcPr>
            <w:tcW w:w="729" w:type="pct"/>
          </w:tcPr>
          <w:p w:rsidR="008E43AB" w:rsidRDefault="008E43AB" w:rsidP="00AD51F5">
            <w:pPr>
              <w:pStyle w:val="Tabletext"/>
            </w:pPr>
            <w:r>
              <w:t>14</w:t>
            </w:r>
            <w:r w:rsidR="00181166">
              <w:t xml:space="preserve"> </w:t>
            </w:r>
            <w:r>
              <w:t>(4.0)</w:t>
            </w:r>
          </w:p>
        </w:tc>
        <w:tc>
          <w:tcPr>
            <w:tcW w:w="648" w:type="pct"/>
          </w:tcPr>
          <w:p w:rsidR="008E43AB" w:rsidRDefault="008E43AB" w:rsidP="00AD51F5">
            <w:pPr>
              <w:pStyle w:val="Tabletext"/>
            </w:pPr>
            <w:r>
              <w:t>10</w:t>
            </w:r>
            <w:r w:rsidR="00181166">
              <w:t xml:space="preserve"> </w:t>
            </w:r>
            <w:r>
              <w:t>(3.3)</w:t>
            </w:r>
          </w:p>
        </w:tc>
        <w:tc>
          <w:tcPr>
            <w:tcW w:w="809" w:type="pct"/>
            <w:tcBorders>
              <w:left w:val="single" w:sz="4" w:space="0" w:color="auto"/>
            </w:tcBorders>
          </w:tcPr>
          <w:p w:rsidR="008E43AB" w:rsidRDefault="008E43AB" w:rsidP="00AD51F5">
            <w:pPr>
              <w:pStyle w:val="Tabletext"/>
            </w:pPr>
            <w:r>
              <w:t>3</w:t>
            </w:r>
            <w:r w:rsidR="00181166">
              <w:t xml:space="preserve"> </w:t>
            </w:r>
            <w:r>
              <w:t>(0.7)</w:t>
            </w:r>
          </w:p>
        </w:tc>
      </w:tr>
      <w:tr w:rsidR="008E43AB" w:rsidRPr="00767F7A" w:rsidTr="006A5A16">
        <w:tc>
          <w:tcPr>
            <w:tcW w:w="1357" w:type="pct"/>
            <w:tcBorders>
              <w:right w:val="single" w:sz="4" w:space="0" w:color="auto"/>
            </w:tcBorders>
          </w:tcPr>
          <w:p w:rsidR="008E43AB" w:rsidRDefault="008E43AB" w:rsidP="00AD51F5">
            <w:pPr>
              <w:pStyle w:val="Tabletext"/>
            </w:pPr>
            <w:r>
              <w:t>Inadequate</w:t>
            </w:r>
          </w:p>
        </w:tc>
        <w:tc>
          <w:tcPr>
            <w:tcW w:w="729" w:type="pct"/>
            <w:tcBorders>
              <w:left w:val="single" w:sz="4" w:space="0" w:color="auto"/>
            </w:tcBorders>
          </w:tcPr>
          <w:p w:rsidR="008E43AB" w:rsidRDefault="008E43AB" w:rsidP="00AD51F5">
            <w:pPr>
              <w:pStyle w:val="Tabletext"/>
            </w:pPr>
            <w:r>
              <w:t>11 (1.4)</w:t>
            </w:r>
          </w:p>
        </w:tc>
        <w:tc>
          <w:tcPr>
            <w:tcW w:w="729" w:type="pct"/>
          </w:tcPr>
          <w:p w:rsidR="008E43AB" w:rsidRDefault="008E43AB" w:rsidP="00AD51F5">
            <w:pPr>
              <w:pStyle w:val="Tabletext"/>
            </w:pPr>
            <w:r>
              <w:t>1</w:t>
            </w:r>
            <w:r w:rsidR="00181166">
              <w:t xml:space="preserve"> </w:t>
            </w:r>
            <w:r>
              <w:t>(0.2)</w:t>
            </w:r>
          </w:p>
        </w:tc>
        <w:tc>
          <w:tcPr>
            <w:tcW w:w="729" w:type="pct"/>
          </w:tcPr>
          <w:p w:rsidR="008E43AB" w:rsidRDefault="008E43AB" w:rsidP="00AD51F5">
            <w:pPr>
              <w:pStyle w:val="Tabletext"/>
            </w:pPr>
            <w:r>
              <w:t>0</w:t>
            </w:r>
            <w:r w:rsidR="00181166">
              <w:t xml:space="preserve"> </w:t>
            </w:r>
            <w:r>
              <w:t>(0)</w:t>
            </w:r>
          </w:p>
        </w:tc>
        <w:tc>
          <w:tcPr>
            <w:tcW w:w="648" w:type="pct"/>
          </w:tcPr>
          <w:p w:rsidR="008E43AB" w:rsidRDefault="008E43AB" w:rsidP="00AD51F5">
            <w:pPr>
              <w:pStyle w:val="Tabletext"/>
            </w:pPr>
            <w:r>
              <w:t>0</w:t>
            </w:r>
            <w:r w:rsidR="00181166">
              <w:t xml:space="preserve"> </w:t>
            </w:r>
            <w:r>
              <w:t>(0)</w:t>
            </w:r>
          </w:p>
        </w:tc>
        <w:tc>
          <w:tcPr>
            <w:tcW w:w="809" w:type="pct"/>
            <w:tcBorders>
              <w:left w:val="single" w:sz="4" w:space="0" w:color="auto"/>
            </w:tcBorders>
          </w:tcPr>
          <w:p w:rsidR="008E43AB" w:rsidRDefault="008E43AB" w:rsidP="00AD51F5">
            <w:pPr>
              <w:pStyle w:val="Tabletext"/>
            </w:pPr>
            <w:r>
              <w:t>0</w:t>
            </w:r>
            <w:r w:rsidR="00181166">
              <w:t xml:space="preserve"> </w:t>
            </w:r>
            <w:r>
              <w:t>(0)</w:t>
            </w:r>
          </w:p>
        </w:tc>
      </w:tr>
      <w:tr w:rsidR="008E43AB" w:rsidRPr="00767F7A" w:rsidTr="006A5A16">
        <w:tc>
          <w:tcPr>
            <w:tcW w:w="1357" w:type="pct"/>
            <w:tcBorders>
              <w:right w:val="single" w:sz="4" w:space="0" w:color="auto"/>
            </w:tcBorders>
          </w:tcPr>
          <w:p w:rsidR="008E43AB" w:rsidRDefault="008E43AB" w:rsidP="00AD51F5">
            <w:pPr>
              <w:pStyle w:val="Tabletext"/>
            </w:pPr>
            <w:r>
              <w:t>Borde</w:t>
            </w:r>
            <w:r w:rsidR="006A5A16">
              <w:t>r</w:t>
            </w:r>
            <w:r>
              <w:t>line HPV positive</w:t>
            </w:r>
          </w:p>
        </w:tc>
        <w:tc>
          <w:tcPr>
            <w:tcW w:w="729" w:type="pct"/>
            <w:tcBorders>
              <w:left w:val="single" w:sz="4" w:space="0" w:color="auto"/>
            </w:tcBorders>
          </w:tcPr>
          <w:p w:rsidR="008E43AB" w:rsidRDefault="008E43AB" w:rsidP="00AD51F5">
            <w:pPr>
              <w:pStyle w:val="Tabletext"/>
            </w:pPr>
            <w:r>
              <w:t>277</w:t>
            </w:r>
            <w:r w:rsidR="00303D7C">
              <w:t xml:space="preserve"> </w:t>
            </w:r>
            <w:r>
              <w:t>(35.6)</w:t>
            </w:r>
          </w:p>
        </w:tc>
        <w:tc>
          <w:tcPr>
            <w:tcW w:w="729" w:type="pct"/>
          </w:tcPr>
          <w:p w:rsidR="008E43AB" w:rsidRDefault="008E43AB" w:rsidP="00AD51F5">
            <w:pPr>
              <w:pStyle w:val="Tabletext"/>
            </w:pPr>
            <w:r>
              <w:t>149</w:t>
            </w:r>
            <w:r w:rsidR="00181166">
              <w:t xml:space="preserve"> </w:t>
            </w:r>
            <w:r>
              <w:t>(26.2)</w:t>
            </w:r>
          </w:p>
        </w:tc>
        <w:tc>
          <w:tcPr>
            <w:tcW w:w="729" w:type="pct"/>
          </w:tcPr>
          <w:p w:rsidR="008E43AB" w:rsidRDefault="008E43AB" w:rsidP="00AD51F5">
            <w:pPr>
              <w:pStyle w:val="Tabletext"/>
            </w:pPr>
            <w:r>
              <w:t>68</w:t>
            </w:r>
            <w:r w:rsidR="00181166">
              <w:t xml:space="preserve"> </w:t>
            </w:r>
            <w:r>
              <w:t>(19.2)</w:t>
            </w:r>
          </w:p>
        </w:tc>
        <w:tc>
          <w:tcPr>
            <w:tcW w:w="648" w:type="pct"/>
          </w:tcPr>
          <w:p w:rsidR="008E43AB" w:rsidRDefault="008E43AB" w:rsidP="00AD51F5">
            <w:pPr>
              <w:pStyle w:val="Tabletext"/>
            </w:pPr>
            <w:r>
              <w:t>43</w:t>
            </w:r>
            <w:r w:rsidR="00181166">
              <w:t xml:space="preserve"> </w:t>
            </w:r>
            <w:r>
              <w:t>(14.2)</w:t>
            </w:r>
          </w:p>
        </w:tc>
        <w:tc>
          <w:tcPr>
            <w:tcW w:w="809" w:type="pct"/>
            <w:tcBorders>
              <w:left w:val="single" w:sz="4" w:space="0" w:color="auto"/>
            </w:tcBorders>
          </w:tcPr>
          <w:p w:rsidR="008E43AB" w:rsidRDefault="008E43AB" w:rsidP="00AD51F5">
            <w:pPr>
              <w:pStyle w:val="Tabletext"/>
            </w:pPr>
            <w:r>
              <w:t>37</w:t>
            </w:r>
            <w:r w:rsidR="00181166">
              <w:t xml:space="preserve"> </w:t>
            </w:r>
            <w:r>
              <w:t>(9.2)</w:t>
            </w:r>
          </w:p>
        </w:tc>
      </w:tr>
      <w:tr w:rsidR="008E43AB" w:rsidRPr="00767F7A" w:rsidTr="006A5A16">
        <w:tc>
          <w:tcPr>
            <w:tcW w:w="1357" w:type="pct"/>
            <w:tcBorders>
              <w:right w:val="single" w:sz="4" w:space="0" w:color="auto"/>
            </w:tcBorders>
          </w:tcPr>
          <w:p w:rsidR="008E43AB" w:rsidRDefault="008E43AB" w:rsidP="00AD51F5">
            <w:pPr>
              <w:pStyle w:val="Tabletext"/>
            </w:pPr>
            <w:r>
              <w:t>Borde</w:t>
            </w:r>
            <w:r w:rsidR="006A5A16">
              <w:t>r</w:t>
            </w:r>
            <w:r>
              <w:t>line HPV negative</w:t>
            </w:r>
          </w:p>
        </w:tc>
        <w:tc>
          <w:tcPr>
            <w:tcW w:w="729" w:type="pct"/>
            <w:tcBorders>
              <w:left w:val="single" w:sz="4" w:space="0" w:color="auto"/>
            </w:tcBorders>
          </w:tcPr>
          <w:p w:rsidR="008E43AB" w:rsidRDefault="008E43AB" w:rsidP="00AD51F5">
            <w:pPr>
              <w:pStyle w:val="Tabletext"/>
            </w:pPr>
            <w:r>
              <w:t>11</w:t>
            </w:r>
            <w:r w:rsidR="00303D7C">
              <w:t xml:space="preserve"> </w:t>
            </w:r>
            <w:r>
              <w:t>(1.4)</w:t>
            </w:r>
          </w:p>
        </w:tc>
        <w:tc>
          <w:tcPr>
            <w:tcW w:w="729" w:type="pct"/>
          </w:tcPr>
          <w:p w:rsidR="008E43AB" w:rsidRDefault="008E43AB" w:rsidP="00AD51F5">
            <w:pPr>
              <w:pStyle w:val="Tabletext"/>
            </w:pPr>
            <w:r>
              <w:t>1</w:t>
            </w:r>
            <w:r w:rsidR="00181166">
              <w:t xml:space="preserve"> </w:t>
            </w:r>
            <w:r>
              <w:t>(0.2)</w:t>
            </w:r>
          </w:p>
        </w:tc>
        <w:tc>
          <w:tcPr>
            <w:tcW w:w="729" w:type="pct"/>
          </w:tcPr>
          <w:p w:rsidR="008E43AB" w:rsidRDefault="008E43AB" w:rsidP="00AD51F5">
            <w:pPr>
              <w:pStyle w:val="Tabletext"/>
            </w:pPr>
            <w:r>
              <w:t>3</w:t>
            </w:r>
            <w:r w:rsidR="00181166">
              <w:t xml:space="preserve"> </w:t>
            </w:r>
            <w:r>
              <w:t>(0.8)</w:t>
            </w:r>
          </w:p>
        </w:tc>
        <w:tc>
          <w:tcPr>
            <w:tcW w:w="648" w:type="pct"/>
          </w:tcPr>
          <w:p w:rsidR="008E43AB" w:rsidRDefault="008E43AB" w:rsidP="00AD51F5">
            <w:pPr>
              <w:pStyle w:val="Tabletext"/>
            </w:pPr>
            <w:r>
              <w:t>0</w:t>
            </w:r>
            <w:r w:rsidR="00181166">
              <w:t xml:space="preserve"> </w:t>
            </w:r>
            <w:r>
              <w:t>(0)</w:t>
            </w:r>
          </w:p>
        </w:tc>
        <w:tc>
          <w:tcPr>
            <w:tcW w:w="809" w:type="pct"/>
            <w:tcBorders>
              <w:left w:val="single" w:sz="4" w:space="0" w:color="auto"/>
            </w:tcBorders>
          </w:tcPr>
          <w:p w:rsidR="008E43AB" w:rsidRDefault="008E43AB" w:rsidP="00AD51F5">
            <w:pPr>
              <w:pStyle w:val="Tabletext"/>
            </w:pPr>
            <w:r>
              <w:t>1</w:t>
            </w:r>
            <w:r w:rsidR="00181166">
              <w:t xml:space="preserve"> </w:t>
            </w:r>
            <w:r>
              <w:t>(0.2)</w:t>
            </w:r>
          </w:p>
        </w:tc>
      </w:tr>
      <w:tr w:rsidR="008E43AB" w:rsidRPr="00767F7A" w:rsidTr="006A5A16">
        <w:tc>
          <w:tcPr>
            <w:tcW w:w="1357" w:type="pct"/>
            <w:tcBorders>
              <w:right w:val="single" w:sz="4" w:space="0" w:color="auto"/>
            </w:tcBorders>
          </w:tcPr>
          <w:p w:rsidR="008E43AB" w:rsidRDefault="008E43AB" w:rsidP="00AD51F5">
            <w:pPr>
              <w:pStyle w:val="Tabletext"/>
            </w:pPr>
            <w:r>
              <w:t>Borde</w:t>
            </w:r>
            <w:r w:rsidR="006A5A16">
              <w:t>r</w:t>
            </w:r>
            <w:r>
              <w:t>line HPV not known</w:t>
            </w:r>
          </w:p>
        </w:tc>
        <w:tc>
          <w:tcPr>
            <w:tcW w:w="729" w:type="pct"/>
            <w:tcBorders>
              <w:left w:val="single" w:sz="4" w:space="0" w:color="auto"/>
            </w:tcBorders>
          </w:tcPr>
          <w:p w:rsidR="008E43AB" w:rsidRDefault="008E43AB" w:rsidP="00AD51F5">
            <w:pPr>
              <w:pStyle w:val="Tabletext"/>
            </w:pPr>
            <w:r>
              <w:t>83</w:t>
            </w:r>
            <w:r w:rsidR="00303D7C">
              <w:t xml:space="preserve"> </w:t>
            </w:r>
            <w:r>
              <w:t>(10.7)</w:t>
            </w:r>
          </w:p>
        </w:tc>
        <w:tc>
          <w:tcPr>
            <w:tcW w:w="729" w:type="pct"/>
          </w:tcPr>
          <w:p w:rsidR="008E43AB" w:rsidRDefault="008E43AB" w:rsidP="00AD51F5">
            <w:pPr>
              <w:pStyle w:val="Tabletext"/>
            </w:pPr>
            <w:r>
              <w:t>44</w:t>
            </w:r>
            <w:r w:rsidR="00181166">
              <w:t xml:space="preserve"> </w:t>
            </w:r>
            <w:r>
              <w:t>(7.7)</w:t>
            </w:r>
          </w:p>
        </w:tc>
        <w:tc>
          <w:tcPr>
            <w:tcW w:w="729" w:type="pct"/>
          </w:tcPr>
          <w:p w:rsidR="008E43AB" w:rsidRDefault="008E43AB" w:rsidP="00AD51F5">
            <w:pPr>
              <w:pStyle w:val="Tabletext"/>
            </w:pPr>
            <w:r>
              <w:t>16</w:t>
            </w:r>
            <w:r w:rsidR="00181166">
              <w:t xml:space="preserve"> </w:t>
            </w:r>
            <w:r>
              <w:t>(4.5)</w:t>
            </w:r>
          </w:p>
        </w:tc>
        <w:tc>
          <w:tcPr>
            <w:tcW w:w="648" w:type="pct"/>
          </w:tcPr>
          <w:p w:rsidR="008E43AB" w:rsidRDefault="008E43AB" w:rsidP="00AD51F5">
            <w:pPr>
              <w:pStyle w:val="Tabletext"/>
            </w:pPr>
            <w:r>
              <w:t>8</w:t>
            </w:r>
            <w:r w:rsidR="00181166">
              <w:t xml:space="preserve"> </w:t>
            </w:r>
            <w:r>
              <w:t>(2.6)</w:t>
            </w:r>
          </w:p>
        </w:tc>
        <w:tc>
          <w:tcPr>
            <w:tcW w:w="809" w:type="pct"/>
            <w:tcBorders>
              <w:left w:val="single" w:sz="4" w:space="0" w:color="auto"/>
            </w:tcBorders>
          </w:tcPr>
          <w:p w:rsidR="008E43AB" w:rsidRDefault="008E43AB" w:rsidP="00AD51F5">
            <w:pPr>
              <w:pStyle w:val="Tabletext"/>
            </w:pPr>
            <w:r>
              <w:t>1</w:t>
            </w:r>
            <w:r w:rsidR="00181166">
              <w:t xml:space="preserve"> </w:t>
            </w:r>
            <w:r>
              <w:t>(0.2)</w:t>
            </w:r>
          </w:p>
        </w:tc>
      </w:tr>
      <w:tr w:rsidR="008E43AB" w:rsidRPr="00767F7A" w:rsidTr="006A5A16">
        <w:tc>
          <w:tcPr>
            <w:tcW w:w="1357" w:type="pct"/>
            <w:tcBorders>
              <w:right w:val="single" w:sz="4" w:space="0" w:color="auto"/>
            </w:tcBorders>
          </w:tcPr>
          <w:p w:rsidR="008E43AB" w:rsidRDefault="008E43AB" w:rsidP="00AD51F5">
            <w:pPr>
              <w:pStyle w:val="Tabletext"/>
            </w:pPr>
            <w:r>
              <w:t>Mild HPV positive</w:t>
            </w:r>
          </w:p>
        </w:tc>
        <w:tc>
          <w:tcPr>
            <w:tcW w:w="729" w:type="pct"/>
            <w:tcBorders>
              <w:left w:val="single" w:sz="4" w:space="0" w:color="auto"/>
            </w:tcBorders>
          </w:tcPr>
          <w:p w:rsidR="008E43AB" w:rsidRDefault="008E43AB" w:rsidP="00AD51F5">
            <w:pPr>
              <w:pStyle w:val="Tabletext"/>
            </w:pPr>
            <w:r>
              <w:t>235</w:t>
            </w:r>
            <w:r w:rsidR="00303D7C">
              <w:t xml:space="preserve"> </w:t>
            </w:r>
            <w:r>
              <w:t>(30.2)</w:t>
            </w:r>
          </w:p>
        </w:tc>
        <w:tc>
          <w:tcPr>
            <w:tcW w:w="729" w:type="pct"/>
          </w:tcPr>
          <w:p w:rsidR="008E43AB" w:rsidRDefault="008E43AB" w:rsidP="00AD51F5">
            <w:pPr>
              <w:pStyle w:val="Tabletext"/>
            </w:pPr>
            <w:r>
              <w:t>166</w:t>
            </w:r>
            <w:r w:rsidR="00181166">
              <w:t xml:space="preserve"> </w:t>
            </w:r>
            <w:r>
              <w:t>(29.2)</w:t>
            </w:r>
          </w:p>
        </w:tc>
        <w:tc>
          <w:tcPr>
            <w:tcW w:w="729" w:type="pct"/>
          </w:tcPr>
          <w:p w:rsidR="008E43AB" w:rsidRDefault="008E43AB" w:rsidP="00AD51F5">
            <w:pPr>
              <w:pStyle w:val="Tabletext"/>
            </w:pPr>
            <w:r>
              <w:t>130</w:t>
            </w:r>
            <w:r w:rsidR="00181166">
              <w:t xml:space="preserve"> </w:t>
            </w:r>
            <w:r>
              <w:t>(36.7)</w:t>
            </w:r>
          </w:p>
        </w:tc>
        <w:tc>
          <w:tcPr>
            <w:tcW w:w="648" w:type="pct"/>
          </w:tcPr>
          <w:p w:rsidR="008E43AB" w:rsidRDefault="008E43AB" w:rsidP="00AD51F5">
            <w:pPr>
              <w:pStyle w:val="Tabletext"/>
            </w:pPr>
            <w:r>
              <w:t>70</w:t>
            </w:r>
            <w:r w:rsidR="00181166">
              <w:t xml:space="preserve"> </w:t>
            </w:r>
            <w:r>
              <w:t>(23.1)</w:t>
            </w:r>
          </w:p>
        </w:tc>
        <w:tc>
          <w:tcPr>
            <w:tcW w:w="809" w:type="pct"/>
            <w:tcBorders>
              <w:left w:val="single" w:sz="4" w:space="0" w:color="auto"/>
            </w:tcBorders>
          </w:tcPr>
          <w:p w:rsidR="008E43AB" w:rsidRDefault="008E43AB" w:rsidP="00AD51F5">
            <w:pPr>
              <w:pStyle w:val="Tabletext"/>
            </w:pPr>
            <w:r>
              <w:t>34</w:t>
            </w:r>
            <w:r w:rsidR="00181166">
              <w:t xml:space="preserve"> </w:t>
            </w:r>
            <w:r>
              <w:t>(8.4)</w:t>
            </w:r>
          </w:p>
        </w:tc>
      </w:tr>
      <w:tr w:rsidR="008E43AB" w:rsidRPr="00767F7A" w:rsidTr="006A5A16">
        <w:tc>
          <w:tcPr>
            <w:tcW w:w="1357" w:type="pct"/>
            <w:tcBorders>
              <w:right w:val="single" w:sz="4" w:space="0" w:color="auto"/>
            </w:tcBorders>
          </w:tcPr>
          <w:p w:rsidR="008E43AB" w:rsidRDefault="008E43AB" w:rsidP="00AD51F5">
            <w:pPr>
              <w:pStyle w:val="Tabletext"/>
            </w:pPr>
            <w:r>
              <w:t>Mild HPV negative</w:t>
            </w:r>
          </w:p>
        </w:tc>
        <w:tc>
          <w:tcPr>
            <w:tcW w:w="729" w:type="pct"/>
            <w:tcBorders>
              <w:left w:val="single" w:sz="4" w:space="0" w:color="auto"/>
            </w:tcBorders>
          </w:tcPr>
          <w:p w:rsidR="008E43AB" w:rsidRDefault="008E43AB" w:rsidP="00AD51F5">
            <w:pPr>
              <w:pStyle w:val="Tabletext"/>
            </w:pPr>
            <w:r>
              <w:t>1</w:t>
            </w:r>
            <w:r w:rsidR="00303D7C">
              <w:t xml:space="preserve"> </w:t>
            </w:r>
            <w:r>
              <w:t>(0.1)</w:t>
            </w:r>
          </w:p>
        </w:tc>
        <w:tc>
          <w:tcPr>
            <w:tcW w:w="729" w:type="pct"/>
          </w:tcPr>
          <w:p w:rsidR="008E43AB" w:rsidRDefault="008E43AB" w:rsidP="00AD51F5">
            <w:pPr>
              <w:pStyle w:val="Tabletext"/>
            </w:pPr>
            <w:r>
              <w:t>2</w:t>
            </w:r>
            <w:r w:rsidR="00181166">
              <w:t xml:space="preserve"> </w:t>
            </w:r>
            <w:r>
              <w:t>(0.4)</w:t>
            </w:r>
          </w:p>
        </w:tc>
        <w:tc>
          <w:tcPr>
            <w:tcW w:w="729" w:type="pct"/>
          </w:tcPr>
          <w:p w:rsidR="008E43AB" w:rsidRDefault="008E43AB" w:rsidP="00AD51F5">
            <w:pPr>
              <w:pStyle w:val="Tabletext"/>
            </w:pPr>
            <w:r>
              <w:t>0</w:t>
            </w:r>
            <w:r w:rsidR="00181166">
              <w:t xml:space="preserve"> </w:t>
            </w:r>
            <w:r>
              <w:t>(0)</w:t>
            </w:r>
          </w:p>
        </w:tc>
        <w:tc>
          <w:tcPr>
            <w:tcW w:w="648" w:type="pct"/>
          </w:tcPr>
          <w:p w:rsidR="008E43AB" w:rsidRDefault="008E43AB" w:rsidP="00AD51F5">
            <w:pPr>
              <w:pStyle w:val="Tabletext"/>
            </w:pPr>
            <w:r>
              <w:t>2</w:t>
            </w:r>
            <w:r w:rsidR="00181166">
              <w:t xml:space="preserve"> </w:t>
            </w:r>
            <w:r>
              <w:t>(0.7)</w:t>
            </w:r>
          </w:p>
        </w:tc>
        <w:tc>
          <w:tcPr>
            <w:tcW w:w="809" w:type="pct"/>
            <w:tcBorders>
              <w:left w:val="single" w:sz="4" w:space="0" w:color="auto"/>
            </w:tcBorders>
          </w:tcPr>
          <w:p w:rsidR="008E43AB" w:rsidRDefault="008E43AB" w:rsidP="00AD51F5">
            <w:pPr>
              <w:pStyle w:val="Tabletext"/>
            </w:pPr>
            <w:r>
              <w:t>0</w:t>
            </w:r>
            <w:r w:rsidR="00181166">
              <w:t xml:space="preserve"> </w:t>
            </w:r>
            <w:r>
              <w:t>(0)</w:t>
            </w:r>
          </w:p>
        </w:tc>
      </w:tr>
      <w:tr w:rsidR="008E43AB" w:rsidRPr="00767F7A" w:rsidTr="006A5A16">
        <w:tc>
          <w:tcPr>
            <w:tcW w:w="1357" w:type="pct"/>
            <w:tcBorders>
              <w:right w:val="single" w:sz="4" w:space="0" w:color="auto"/>
            </w:tcBorders>
          </w:tcPr>
          <w:p w:rsidR="008E43AB" w:rsidRDefault="008E43AB" w:rsidP="00AD51F5">
            <w:pPr>
              <w:pStyle w:val="Tabletext"/>
            </w:pPr>
            <w:r>
              <w:t>Mild HPV not known</w:t>
            </w:r>
          </w:p>
        </w:tc>
        <w:tc>
          <w:tcPr>
            <w:tcW w:w="729" w:type="pct"/>
            <w:tcBorders>
              <w:left w:val="single" w:sz="4" w:space="0" w:color="auto"/>
            </w:tcBorders>
          </w:tcPr>
          <w:p w:rsidR="008E43AB" w:rsidRDefault="008E43AB" w:rsidP="00AD51F5">
            <w:pPr>
              <w:pStyle w:val="Tabletext"/>
            </w:pPr>
            <w:r>
              <w:t>93</w:t>
            </w:r>
            <w:r w:rsidR="00303D7C">
              <w:t xml:space="preserve"> </w:t>
            </w:r>
            <w:r>
              <w:t>(12.0)</w:t>
            </w:r>
          </w:p>
        </w:tc>
        <w:tc>
          <w:tcPr>
            <w:tcW w:w="729" w:type="pct"/>
          </w:tcPr>
          <w:p w:rsidR="008E43AB" w:rsidRDefault="008E43AB" w:rsidP="00AD51F5">
            <w:pPr>
              <w:pStyle w:val="Tabletext"/>
            </w:pPr>
            <w:r>
              <w:t>101</w:t>
            </w:r>
            <w:r w:rsidR="00181166">
              <w:t xml:space="preserve"> </w:t>
            </w:r>
            <w:r>
              <w:t>(17.8)</w:t>
            </w:r>
          </w:p>
        </w:tc>
        <w:tc>
          <w:tcPr>
            <w:tcW w:w="729" w:type="pct"/>
          </w:tcPr>
          <w:p w:rsidR="008E43AB" w:rsidRDefault="008E43AB" w:rsidP="00AD51F5">
            <w:pPr>
              <w:pStyle w:val="Tabletext"/>
            </w:pPr>
            <w:r>
              <w:t>68</w:t>
            </w:r>
            <w:r w:rsidR="00181166">
              <w:t xml:space="preserve"> </w:t>
            </w:r>
            <w:r>
              <w:t>(19.2)</w:t>
            </w:r>
          </w:p>
        </w:tc>
        <w:tc>
          <w:tcPr>
            <w:tcW w:w="648" w:type="pct"/>
          </w:tcPr>
          <w:p w:rsidR="008E43AB" w:rsidRDefault="008E43AB" w:rsidP="00AD51F5">
            <w:pPr>
              <w:pStyle w:val="Tabletext"/>
            </w:pPr>
            <w:r>
              <w:t>29</w:t>
            </w:r>
            <w:r w:rsidR="00181166">
              <w:t xml:space="preserve"> </w:t>
            </w:r>
            <w:r>
              <w:t>(9.6)</w:t>
            </w:r>
          </w:p>
        </w:tc>
        <w:tc>
          <w:tcPr>
            <w:tcW w:w="809" w:type="pct"/>
            <w:tcBorders>
              <w:left w:val="single" w:sz="4" w:space="0" w:color="auto"/>
            </w:tcBorders>
          </w:tcPr>
          <w:p w:rsidR="008E43AB" w:rsidRDefault="008E43AB" w:rsidP="00AD51F5">
            <w:pPr>
              <w:pStyle w:val="Tabletext"/>
            </w:pPr>
            <w:r>
              <w:t>11</w:t>
            </w:r>
            <w:r w:rsidR="00181166">
              <w:t xml:space="preserve"> </w:t>
            </w:r>
            <w:r>
              <w:t>(2.7)</w:t>
            </w:r>
          </w:p>
        </w:tc>
      </w:tr>
      <w:tr w:rsidR="008E43AB" w:rsidRPr="00767F7A" w:rsidTr="006A5A16">
        <w:tc>
          <w:tcPr>
            <w:tcW w:w="1357" w:type="pct"/>
            <w:tcBorders>
              <w:right w:val="single" w:sz="4" w:space="0" w:color="auto"/>
            </w:tcBorders>
          </w:tcPr>
          <w:p w:rsidR="008E43AB" w:rsidRDefault="008E43AB" w:rsidP="00AD51F5">
            <w:pPr>
              <w:pStyle w:val="Tabletext"/>
            </w:pPr>
            <w:r>
              <w:t>Moderate</w:t>
            </w:r>
          </w:p>
        </w:tc>
        <w:tc>
          <w:tcPr>
            <w:tcW w:w="729" w:type="pct"/>
            <w:tcBorders>
              <w:left w:val="single" w:sz="4" w:space="0" w:color="auto"/>
            </w:tcBorders>
          </w:tcPr>
          <w:p w:rsidR="008E43AB" w:rsidRDefault="008E43AB" w:rsidP="00AD51F5">
            <w:pPr>
              <w:pStyle w:val="Tabletext"/>
            </w:pPr>
            <w:r>
              <w:t>14</w:t>
            </w:r>
            <w:r w:rsidR="00303D7C">
              <w:t xml:space="preserve"> </w:t>
            </w:r>
            <w:r>
              <w:t>(1.8)</w:t>
            </w:r>
          </w:p>
        </w:tc>
        <w:tc>
          <w:tcPr>
            <w:tcW w:w="729" w:type="pct"/>
          </w:tcPr>
          <w:p w:rsidR="008E43AB" w:rsidRDefault="008E43AB" w:rsidP="00AD51F5">
            <w:pPr>
              <w:pStyle w:val="Tabletext"/>
            </w:pPr>
            <w:r>
              <w:t>43</w:t>
            </w:r>
            <w:r w:rsidR="00181166">
              <w:t xml:space="preserve"> </w:t>
            </w:r>
            <w:r>
              <w:t>(7.6)</w:t>
            </w:r>
          </w:p>
        </w:tc>
        <w:tc>
          <w:tcPr>
            <w:tcW w:w="729" w:type="pct"/>
          </w:tcPr>
          <w:p w:rsidR="008E43AB" w:rsidRDefault="008E43AB" w:rsidP="00AD51F5">
            <w:pPr>
              <w:pStyle w:val="Tabletext"/>
            </w:pPr>
            <w:r>
              <w:t>38</w:t>
            </w:r>
            <w:r w:rsidR="00181166">
              <w:t xml:space="preserve"> </w:t>
            </w:r>
            <w:r>
              <w:t>(10.7)</w:t>
            </w:r>
          </w:p>
        </w:tc>
        <w:tc>
          <w:tcPr>
            <w:tcW w:w="648" w:type="pct"/>
          </w:tcPr>
          <w:p w:rsidR="008E43AB" w:rsidRDefault="008E43AB" w:rsidP="00AD51F5">
            <w:pPr>
              <w:pStyle w:val="Tabletext"/>
            </w:pPr>
            <w:r>
              <w:t>82</w:t>
            </w:r>
            <w:r w:rsidR="00181166">
              <w:t xml:space="preserve"> </w:t>
            </w:r>
            <w:r>
              <w:t>(27.1)</w:t>
            </w:r>
          </w:p>
        </w:tc>
        <w:tc>
          <w:tcPr>
            <w:tcW w:w="809" w:type="pct"/>
            <w:tcBorders>
              <w:left w:val="single" w:sz="4" w:space="0" w:color="auto"/>
            </w:tcBorders>
          </w:tcPr>
          <w:p w:rsidR="008E43AB" w:rsidRDefault="008E43AB" w:rsidP="00AD51F5">
            <w:pPr>
              <w:pStyle w:val="Tabletext"/>
            </w:pPr>
            <w:r>
              <w:t>72</w:t>
            </w:r>
            <w:r w:rsidR="00181166">
              <w:t xml:space="preserve"> </w:t>
            </w:r>
            <w:r>
              <w:t>(17.8)</w:t>
            </w:r>
          </w:p>
        </w:tc>
      </w:tr>
      <w:tr w:rsidR="008E43AB" w:rsidRPr="00767F7A" w:rsidTr="006A5A16">
        <w:tc>
          <w:tcPr>
            <w:tcW w:w="1357" w:type="pct"/>
            <w:tcBorders>
              <w:right w:val="single" w:sz="4" w:space="0" w:color="auto"/>
            </w:tcBorders>
          </w:tcPr>
          <w:p w:rsidR="008E43AB" w:rsidRDefault="008E43AB" w:rsidP="00AD51F5">
            <w:pPr>
              <w:pStyle w:val="Tabletext"/>
            </w:pPr>
            <w:r>
              <w:t>Severe</w:t>
            </w:r>
          </w:p>
        </w:tc>
        <w:tc>
          <w:tcPr>
            <w:tcW w:w="729" w:type="pct"/>
            <w:tcBorders>
              <w:left w:val="single" w:sz="4" w:space="0" w:color="auto"/>
            </w:tcBorders>
          </w:tcPr>
          <w:p w:rsidR="008E43AB" w:rsidRDefault="008E43AB" w:rsidP="00AD51F5">
            <w:pPr>
              <w:pStyle w:val="Tabletext"/>
            </w:pPr>
            <w:r>
              <w:t>13</w:t>
            </w:r>
            <w:r w:rsidR="00303D7C">
              <w:t xml:space="preserve"> </w:t>
            </w:r>
            <w:r>
              <w:t>(1.7)</w:t>
            </w:r>
          </w:p>
        </w:tc>
        <w:tc>
          <w:tcPr>
            <w:tcW w:w="729" w:type="pct"/>
          </w:tcPr>
          <w:p w:rsidR="008E43AB" w:rsidRDefault="008E43AB" w:rsidP="00AD51F5">
            <w:pPr>
              <w:pStyle w:val="Tabletext"/>
            </w:pPr>
            <w:r>
              <w:t>15</w:t>
            </w:r>
            <w:r w:rsidR="00181166">
              <w:t xml:space="preserve"> </w:t>
            </w:r>
            <w:r>
              <w:t>(2.6)</w:t>
            </w:r>
          </w:p>
        </w:tc>
        <w:tc>
          <w:tcPr>
            <w:tcW w:w="729" w:type="pct"/>
          </w:tcPr>
          <w:p w:rsidR="008E43AB" w:rsidRDefault="008E43AB" w:rsidP="00AD51F5">
            <w:pPr>
              <w:pStyle w:val="Tabletext"/>
            </w:pPr>
            <w:r>
              <w:t>14</w:t>
            </w:r>
            <w:r w:rsidR="00181166">
              <w:t xml:space="preserve"> </w:t>
            </w:r>
            <w:r>
              <w:t>(4.0)</w:t>
            </w:r>
          </w:p>
        </w:tc>
        <w:tc>
          <w:tcPr>
            <w:tcW w:w="648" w:type="pct"/>
          </w:tcPr>
          <w:p w:rsidR="008E43AB" w:rsidRDefault="008E43AB" w:rsidP="00AD51F5">
            <w:pPr>
              <w:pStyle w:val="Tabletext"/>
            </w:pPr>
            <w:r>
              <w:t>57</w:t>
            </w:r>
            <w:r w:rsidR="00181166">
              <w:t xml:space="preserve"> </w:t>
            </w:r>
            <w:r>
              <w:t>(18.8)</w:t>
            </w:r>
          </w:p>
        </w:tc>
        <w:tc>
          <w:tcPr>
            <w:tcW w:w="809" w:type="pct"/>
            <w:tcBorders>
              <w:left w:val="single" w:sz="4" w:space="0" w:color="auto"/>
            </w:tcBorders>
          </w:tcPr>
          <w:p w:rsidR="008E43AB" w:rsidRDefault="008E43AB" w:rsidP="00AD51F5">
            <w:pPr>
              <w:pStyle w:val="Tabletext"/>
            </w:pPr>
            <w:r>
              <w:t>220</w:t>
            </w:r>
            <w:r w:rsidR="00181166">
              <w:t xml:space="preserve"> </w:t>
            </w:r>
            <w:r>
              <w:t>(54.5)</w:t>
            </w:r>
          </w:p>
        </w:tc>
      </w:tr>
      <w:tr w:rsidR="008E43AB" w:rsidRPr="00767F7A" w:rsidTr="006A5A16">
        <w:tc>
          <w:tcPr>
            <w:tcW w:w="1357" w:type="pct"/>
            <w:tcBorders>
              <w:right w:val="single" w:sz="4" w:space="0" w:color="auto"/>
            </w:tcBorders>
          </w:tcPr>
          <w:p w:rsidR="008E43AB" w:rsidRDefault="008E43AB" w:rsidP="00AD51F5">
            <w:pPr>
              <w:pStyle w:val="Tabletext"/>
            </w:pPr>
            <w:r>
              <w:t>Q Inv</w:t>
            </w:r>
          </w:p>
        </w:tc>
        <w:tc>
          <w:tcPr>
            <w:tcW w:w="729" w:type="pct"/>
            <w:tcBorders>
              <w:left w:val="single" w:sz="4" w:space="0" w:color="auto"/>
            </w:tcBorders>
          </w:tcPr>
          <w:p w:rsidR="008E43AB" w:rsidRDefault="008E43AB" w:rsidP="00AD51F5">
            <w:pPr>
              <w:pStyle w:val="Tabletext"/>
            </w:pPr>
            <w:r>
              <w:t>0</w:t>
            </w:r>
            <w:r w:rsidR="00303D7C">
              <w:t xml:space="preserve"> </w:t>
            </w:r>
            <w:r>
              <w:t>(0)</w:t>
            </w:r>
          </w:p>
        </w:tc>
        <w:tc>
          <w:tcPr>
            <w:tcW w:w="729" w:type="pct"/>
          </w:tcPr>
          <w:p w:rsidR="008E43AB" w:rsidRDefault="008E43AB" w:rsidP="00AD51F5">
            <w:pPr>
              <w:pStyle w:val="Tabletext"/>
            </w:pPr>
            <w:r>
              <w:t>1</w:t>
            </w:r>
            <w:r w:rsidR="00181166">
              <w:t xml:space="preserve"> </w:t>
            </w:r>
            <w:r>
              <w:t>(0.2)</w:t>
            </w:r>
          </w:p>
        </w:tc>
        <w:tc>
          <w:tcPr>
            <w:tcW w:w="729" w:type="pct"/>
          </w:tcPr>
          <w:p w:rsidR="008E43AB" w:rsidRDefault="008E43AB" w:rsidP="00AD51F5">
            <w:pPr>
              <w:pStyle w:val="Tabletext"/>
            </w:pPr>
            <w:r>
              <w:t>0</w:t>
            </w:r>
            <w:r w:rsidR="00181166">
              <w:t xml:space="preserve"> </w:t>
            </w:r>
            <w:r>
              <w:t>(0)</w:t>
            </w:r>
          </w:p>
        </w:tc>
        <w:tc>
          <w:tcPr>
            <w:tcW w:w="648" w:type="pct"/>
          </w:tcPr>
          <w:p w:rsidR="008E43AB" w:rsidRDefault="008E43AB" w:rsidP="00AD51F5">
            <w:pPr>
              <w:pStyle w:val="Tabletext"/>
            </w:pPr>
            <w:r>
              <w:t>2</w:t>
            </w:r>
            <w:r w:rsidR="00181166">
              <w:t xml:space="preserve"> </w:t>
            </w:r>
            <w:r>
              <w:t>(0.7)</w:t>
            </w:r>
          </w:p>
        </w:tc>
        <w:tc>
          <w:tcPr>
            <w:tcW w:w="809" w:type="pct"/>
            <w:tcBorders>
              <w:left w:val="single" w:sz="4" w:space="0" w:color="auto"/>
            </w:tcBorders>
          </w:tcPr>
          <w:p w:rsidR="008E43AB" w:rsidRDefault="008E43AB" w:rsidP="00AD51F5">
            <w:pPr>
              <w:pStyle w:val="Tabletext"/>
            </w:pPr>
            <w:r>
              <w:t>10</w:t>
            </w:r>
            <w:r w:rsidR="00181166">
              <w:t xml:space="preserve"> </w:t>
            </w:r>
            <w:r>
              <w:t>(2.5)</w:t>
            </w:r>
          </w:p>
        </w:tc>
      </w:tr>
      <w:tr w:rsidR="008E43AB" w:rsidRPr="00767F7A" w:rsidTr="006A5A16">
        <w:tc>
          <w:tcPr>
            <w:tcW w:w="1357" w:type="pct"/>
            <w:tcBorders>
              <w:right w:val="single" w:sz="4" w:space="0" w:color="auto"/>
            </w:tcBorders>
          </w:tcPr>
          <w:p w:rsidR="008E43AB" w:rsidRDefault="008E43AB" w:rsidP="00AD51F5">
            <w:pPr>
              <w:pStyle w:val="Tabletext"/>
            </w:pPr>
            <w:r>
              <w:t>Q glan</w:t>
            </w:r>
          </w:p>
        </w:tc>
        <w:tc>
          <w:tcPr>
            <w:tcW w:w="729" w:type="pct"/>
            <w:tcBorders>
              <w:left w:val="single" w:sz="4" w:space="0" w:color="auto"/>
            </w:tcBorders>
          </w:tcPr>
          <w:p w:rsidR="008E43AB" w:rsidRDefault="008E43AB" w:rsidP="00AD51F5">
            <w:pPr>
              <w:pStyle w:val="Tabletext"/>
            </w:pPr>
            <w:r>
              <w:t>5</w:t>
            </w:r>
            <w:r w:rsidR="00303D7C">
              <w:t xml:space="preserve"> </w:t>
            </w:r>
            <w:r>
              <w:t>(0.6)</w:t>
            </w:r>
          </w:p>
        </w:tc>
        <w:tc>
          <w:tcPr>
            <w:tcW w:w="729" w:type="pct"/>
          </w:tcPr>
          <w:p w:rsidR="008E43AB" w:rsidRDefault="008E43AB" w:rsidP="00AD51F5">
            <w:pPr>
              <w:pStyle w:val="Tabletext"/>
            </w:pPr>
            <w:r>
              <w:t>0</w:t>
            </w:r>
            <w:r w:rsidR="00181166">
              <w:t xml:space="preserve"> </w:t>
            </w:r>
            <w:r>
              <w:t>(0)</w:t>
            </w:r>
          </w:p>
        </w:tc>
        <w:tc>
          <w:tcPr>
            <w:tcW w:w="729" w:type="pct"/>
          </w:tcPr>
          <w:p w:rsidR="008E43AB" w:rsidRDefault="008E43AB" w:rsidP="00AD51F5">
            <w:pPr>
              <w:pStyle w:val="Tabletext"/>
            </w:pPr>
            <w:r>
              <w:t>3</w:t>
            </w:r>
            <w:r w:rsidR="00181166">
              <w:t xml:space="preserve"> </w:t>
            </w:r>
            <w:r>
              <w:t>(0.8)</w:t>
            </w:r>
          </w:p>
        </w:tc>
        <w:tc>
          <w:tcPr>
            <w:tcW w:w="648" w:type="pct"/>
          </w:tcPr>
          <w:p w:rsidR="008E43AB" w:rsidRDefault="008E43AB" w:rsidP="00AD51F5">
            <w:pPr>
              <w:pStyle w:val="Tabletext"/>
            </w:pPr>
            <w:r>
              <w:t>0</w:t>
            </w:r>
            <w:r w:rsidR="00181166">
              <w:t xml:space="preserve"> </w:t>
            </w:r>
            <w:r>
              <w:t>(0)</w:t>
            </w:r>
          </w:p>
        </w:tc>
        <w:tc>
          <w:tcPr>
            <w:tcW w:w="809" w:type="pct"/>
            <w:tcBorders>
              <w:left w:val="single" w:sz="4" w:space="0" w:color="auto"/>
            </w:tcBorders>
          </w:tcPr>
          <w:p w:rsidR="008E43AB" w:rsidRDefault="008E43AB" w:rsidP="00AD51F5">
            <w:pPr>
              <w:pStyle w:val="Tabletext"/>
            </w:pPr>
            <w:r>
              <w:t>15</w:t>
            </w:r>
            <w:r w:rsidR="00181166">
              <w:t xml:space="preserve"> </w:t>
            </w:r>
            <w:r>
              <w:t>(3.7)</w:t>
            </w:r>
          </w:p>
        </w:tc>
      </w:tr>
      <w:tr w:rsidR="008E43AB" w:rsidRPr="00767F7A" w:rsidTr="006A5A16">
        <w:tc>
          <w:tcPr>
            <w:tcW w:w="1357" w:type="pct"/>
            <w:tcBorders>
              <w:right w:val="single" w:sz="4" w:space="0" w:color="auto"/>
            </w:tcBorders>
          </w:tcPr>
          <w:p w:rsidR="008E43AB" w:rsidRDefault="008E43AB" w:rsidP="00AD51F5">
            <w:pPr>
              <w:pStyle w:val="Tabletext"/>
            </w:pPr>
            <w:r>
              <w:t>Total</w:t>
            </w:r>
          </w:p>
        </w:tc>
        <w:tc>
          <w:tcPr>
            <w:tcW w:w="729" w:type="pct"/>
            <w:tcBorders>
              <w:left w:val="single" w:sz="4" w:space="0" w:color="auto"/>
              <w:bottom w:val="single" w:sz="4" w:space="0" w:color="auto"/>
            </w:tcBorders>
          </w:tcPr>
          <w:p w:rsidR="008E43AB" w:rsidRDefault="008E43AB" w:rsidP="00AD51F5">
            <w:pPr>
              <w:pStyle w:val="Tabletext"/>
            </w:pPr>
            <w:r>
              <w:t>777</w:t>
            </w:r>
            <w:r w:rsidR="00303D7C">
              <w:t xml:space="preserve"> </w:t>
            </w:r>
            <w:r>
              <w:t>(100)</w:t>
            </w:r>
          </w:p>
        </w:tc>
        <w:tc>
          <w:tcPr>
            <w:tcW w:w="729" w:type="pct"/>
            <w:tcBorders>
              <w:bottom w:val="single" w:sz="4" w:space="0" w:color="auto"/>
            </w:tcBorders>
          </w:tcPr>
          <w:p w:rsidR="008E43AB" w:rsidRDefault="008E43AB" w:rsidP="00AD51F5">
            <w:pPr>
              <w:pStyle w:val="Tabletext"/>
            </w:pPr>
            <w:r>
              <w:t>568</w:t>
            </w:r>
            <w:r w:rsidR="00181166">
              <w:t xml:space="preserve"> </w:t>
            </w:r>
            <w:r>
              <w:t>(100)</w:t>
            </w:r>
          </w:p>
        </w:tc>
        <w:tc>
          <w:tcPr>
            <w:tcW w:w="729" w:type="pct"/>
            <w:tcBorders>
              <w:bottom w:val="single" w:sz="4" w:space="0" w:color="auto"/>
            </w:tcBorders>
          </w:tcPr>
          <w:p w:rsidR="008E43AB" w:rsidRDefault="008E43AB" w:rsidP="00AD51F5">
            <w:pPr>
              <w:pStyle w:val="Tabletext"/>
            </w:pPr>
            <w:r>
              <w:t>354</w:t>
            </w:r>
            <w:r w:rsidR="00181166">
              <w:t xml:space="preserve"> </w:t>
            </w:r>
            <w:r>
              <w:t>(100)</w:t>
            </w:r>
          </w:p>
        </w:tc>
        <w:tc>
          <w:tcPr>
            <w:tcW w:w="648" w:type="pct"/>
            <w:tcBorders>
              <w:bottom w:val="single" w:sz="4" w:space="0" w:color="auto"/>
            </w:tcBorders>
          </w:tcPr>
          <w:p w:rsidR="008E43AB" w:rsidRDefault="008E43AB" w:rsidP="00AD51F5">
            <w:pPr>
              <w:pStyle w:val="Tabletext"/>
            </w:pPr>
            <w:r>
              <w:t>303</w:t>
            </w:r>
            <w:r w:rsidR="00181166">
              <w:t xml:space="preserve"> </w:t>
            </w:r>
            <w:r>
              <w:t>(100)</w:t>
            </w:r>
          </w:p>
        </w:tc>
        <w:tc>
          <w:tcPr>
            <w:tcW w:w="809" w:type="pct"/>
            <w:tcBorders>
              <w:left w:val="single" w:sz="4" w:space="0" w:color="auto"/>
            </w:tcBorders>
          </w:tcPr>
          <w:p w:rsidR="008E43AB" w:rsidRDefault="008E43AB" w:rsidP="00AD51F5">
            <w:pPr>
              <w:pStyle w:val="Tabletext"/>
            </w:pPr>
            <w:r>
              <w:t>404</w:t>
            </w:r>
            <w:r w:rsidR="00181166">
              <w:t xml:space="preserve"> </w:t>
            </w:r>
            <w:r>
              <w:t>(100)</w:t>
            </w:r>
          </w:p>
        </w:tc>
      </w:tr>
    </w:tbl>
    <w:p w:rsidR="008E43AB" w:rsidRDefault="0054583C" w:rsidP="006A5A16">
      <w:pPr>
        <w:pStyle w:val="Tabletext"/>
      </w:pPr>
      <w:r>
        <w:t xml:space="preserve">Abbreviations: </w:t>
      </w:r>
      <w:r w:rsidR="008E43AB">
        <w:t>CIN 3, squamous cell carcinoma; CIN 2, High-grade pre-cancerous squamous or glandular cell changes on colposcop</w:t>
      </w:r>
      <w:r w:rsidR="00303D7C">
        <w:t>ically directed biopsy; CIN 1, l</w:t>
      </w:r>
      <w:r w:rsidR="008E43AB">
        <w:t xml:space="preserve">ow-grade pre-cancerous squamous cell changes on colposcopically directed biopsy; HPV only, No pre-cancerous abnormalities detected on colposcopically directed biopsy; NAD, </w:t>
      </w:r>
      <w:r w:rsidR="00303D7C">
        <w:t>n</w:t>
      </w:r>
      <w:r w:rsidR="008E43AB" w:rsidRPr="002B489D">
        <w:t>o abnormalities seen during colposcopic examination</w:t>
      </w:r>
      <w:r w:rsidR="008E43AB">
        <w:t xml:space="preserve">; </w:t>
      </w:r>
      <w:r w:rsidR="008E43AB" w:rsidRPr="002B489D">
        <w:t>Q Glan, query glandular neoplasia; Q Inv, query invasive.</w:t>
      </w:r>
      <w:r w:rsidR="006A5A16">
        <w:br/>
        <w:t xml:space="preserve">Source: Kitchener </w:t>
      </w:r>
      <w:r w:rsidR="008E43AB">
        <w:t>2011</w:t>
      </w:r>
      <w:r w:rsidR="000C1751">
        <w:t>a</w:t>
      </w:r>
      <w:r w:rsidR="008E43AB">
        <w:t xml:space="preserve"> Table 43</w:t>
      </w:r>
    </w:p>
    <w:p w:rsidR="006A5A16" w:rsidRDefault="006A5A16" w:rsidP="008E43AB"/>
    <w:p w:rsidR="008E43AB" w:rsidRDefault="008E43AB" w:rsidP="008E43AB">
      <w:r>
        <w:t xml:space="preserve">Finally the colposcopy referral rates differ between the two LBC types. A comparison between the proportion of women referred for colposcopy broken down by arm and LBC type, as a result of </w:t>
      </w:r>
      <w:r w:rsidR="00906C98">
        <w:t>HSIL</w:t>
      </w:r>
      <w:r>
        <w:t xml:space="preserve"> cytology and HPV triage of low-grade abnormalities according to LBC type</w:t>
      </w:r>
      <w:r w:rsidR="006A5A16">
        <w:t xml:space="preserve"> was reported (Kitchener </w:t>
      </w:r>
      <w:r>
        <w:t>2011</w:t>
      </w:r>
      <w:r w:rsidR="000C1751">
        <w:t>a</w:t>
      </w:r>
      <w:r>
        <w:t xml:space="preserve"> </w:t>
      </w:r>
      <w:r w:rsidR="001E7FB4">
        <w:t xml:space="preserve">p. 53). </w:t>
      </w:r>
      <w:r>
        <w:t xml:space="preserve">Between the two LBC systems, 3.7% (1025/27,897) were referred </w:t>
      </w:r>
      <w:r>
        <w:lastRenderedPageBreak/>
        <w:t>following BD SurePath and 4.3% following Th</w:t>
      </w:r>
      <w:r w:rsidR="006A5A16">
        <w:t>inPrep cytology (1267/29,666) (P</w:t>
      </w:r>
      <w:r>
        <w:t xml:space="preserve"> &lt; 0.001). The reason for</w:t>
      </w:r>
      <w:r w:rsidR="001E7FB4">
        <w:t xml:space="preserve"> this difference is not clear but may reflect a difference in sensitivity </w:t>
      </w:r>
      <w:r w:rsidR="00B41837">
        <w:t>for the detection of HPV related cytological changes of SP over TP.</w:t>
      </w:r>
    </w:p>
    <w:p w:rsidR="004278A7" w:rsidRDefault="008E43AB" w:rsidP="008E43AB">
      <w:r>
        <w:t xml:space="preserve">Nonetheless the </w:t>
      </w:r>
      <w:r w:rsidR="00B41837">
        <w:t xml:space="preserve">final conclusion </w:t>
      </w:r>
      <w:r>
        <w:t xml:space="preserve">reported from the MAVARIC trial are that Automation-assisted reading was 8% less sensitive than manual </w:t>
      </w:r>
      <w:r w:rsidR="006A5A16">
        <w:t xml:space="preserve">reading (relative sensitivity 0.92, 95% CI 0·89 to </w:t>
      </w:r>
      <w:r>
        <w:t>0·95), which was equivalent to an absolute reduction in sensitivity of 6·3%, assuming the sensitivity of manual readin</w:t>
      </w:r>
      <w:r w:rsidR="00BC5AC9">
        <w:t>g to be 79%. Specificity of auto</w:t>
      </w:r>
      <w:r w:rsidRPr="00042A00">
        <w:t>-assisted reading</w:t>
      </w:r>
      <w:r w:rsidR="00BC5AC9" w:rsidRPr="00042A00">
        <w:t>,</w:t>
      </w:r>
      <w:r w:rsidRPr="00042A00">
        <w:t xml:space="preserve"> relative to manual reading</w:t>
      </w:r>
      <w:r w:rsidR="00BC5AC9" w:rsidRPr="00042A00">
        <w:t>,</w:t>
      </w:r>
      <w:r w:rsidRPr="00042A00">
        <w:t xml:space="preserve"> increas</w:t>
      </w:r>
      <w:r w:rsidR="0054583C" w:rsidRPr="00042A00">
        <w:t>ed by 0.6% (1.006, 95% CI</w:t>
      </w:r>
      <w:r w:rsidR="00BC5AC9" w:rsidRPr="00042A00">
        <w:t>:</w:t>
      </w:r>
      <w:r w:rsidR="0054583C" w:rsidRPr="00042A00">
        <w:t xml:space="preserve"> 1.</w:t>
      </w:r>
      <w:r w:rsidR="006A5A16" w:rsidRPr="00042A00">
        <w:t xml:space="preserve">005 to </w:t>
      </w:r>
      <w:r w:rsidR="0054583C" w:rsidRPr="00042A00">
        <w:t>1.</w:t>
      </w:r>
      <w:r w:rsidRPr="00042A00">
        <w:t>007).</w:t>
      </w:r>
      <w:r w:rsidR="004278A7" w:rsidRPr="00042A00">
        <w:t xml:space="preserve"> </w:t>
      </w:r>
      <w:r w:rsidR="00322FCF" w:rsidRPr="00042A00">
        <w:t>It is noted that a small proportion of CIN2+ cases missed with</w:t>
      </w:r>
      <w:r w:rsidR="00042A00" w:rsidRPr="00042A00">
        <w:t xml:space="preserve"> automated reading were due to human</w:t>
      </w:r>
      <w:r w:rsidR="00322FCF" w:rsidRPr="00042A00">
        <w:t xml:space="preserve"> error</w:t>
      </w:r>
      <w:r w:rsidR="003F65F0" w:rsidRPr="00042A00">
        <w:t xml:space="preserve">. That is, </w:t>
      </w:r>
      <w:r w:rsidR="00322FCF" w:rsidRPr="00042A00">
        <w:t xml:space="preserve">the instrumentation detected the abnormal cells in the </w:t>
      </w:r>
      <w:r w:rsidR="003F65F0" w:rsidRPr="00042A00">
        <w:t>f</w:t>
      </w:r>
      <w:r w:rsidR="00322FCF" w:rsidRPr="00042A00">
        <w:t xml:space="preserve">ields of </w:t>
      </w:r>
      <w:r w:rsidR="003F65F0" w:rsidRPr="00042A00">
        <w:t>v</w:t>
      </w:r>
      <w:r w:rsidR="00322FCF" w:rsidRPr="00042A00">
        <w:t>iew presented to the screeners.</w:t>
      </w:r>
      <w:r w:rsidR="00A075C2" w:rsidRPr="00042A00">
        <w:t xml:space="preserve"> </w:t>
      </w:r>
      <w:r w:rsidR="003F65F0" w:rsidRPr="00042A00">
        <w:t>T</w:t>
      </w:r>
      <w:r w:rsidR="004278A7" w:rsidRPr="00042A00">
        <w:t>here is no mention of feedback to screeners in the MAVARIC study after initial training. Lack</w:t>
      </w:r>
      <w:r w:rsidR="004278A7" w:rsidRPr="004278A7">
        <w:t xml:space="preserve"> of feedback and ongoing learning opportunities for screeners may have contributed to the false negative rate persisting throughout the study as well as the reduced sensitivity of automated reading for CIN</w:t>
      </w:r>
      <w:r w:rsidR="00303D7C">
        <w:t xml:space="preserve"> </w:t>
      </w:r>
      <w:r w:rsidR="004278A7" w:rsidRPr="004278A7">
        <w:t>2+ compared with manual screening.</w:t>
      </w:r>
    </w:p>
    <w:p w:rsidR="008E43AB" w:rsidRPr="006A5A16" w:rsidRDefault="006A5A16" w:rsidP="006A5A16">
      <w:pPr>
        <w:pStyle w:val="Heading40"/>
      </w:pPr>
      <w:r>
        <w:t xml:space="preserve">Palmer </w:t>
      </w:r>
      <w:r w:rsidR="008E43AB" w:rsidRPr="006A5A16">
        <w:t>2012</w:t>
      </w:r>
    </w:p>
    <w:p w:rsidR="001D56D3" w:rsidRDefault="001D56D3" w:rsidP="001D56D3">
      <w:bookmarkStart w:id="476" w:name="_Toc331766510"/>
      <w:r>
        <w:t xml:space="preserve">In 2003 all 12 Scottish laboratories converted to </w:t>
      </w:r>
      <w:r w:rsidR="00743935">
        <w:t>LBC</w:t>
      </w:r>
      <w:r>
        <w:t xml:space="preserve">. </w:t>
      </w:r>
      <w:r w:rsidR="00743935">
        <w:t>The HPV</w:t>
      </w:r>
      <w:r w:rsidR="006A5A16">
        <w:t xml:space="preserve"> immunis</w:t>
      </w:r>
      <w:r w:rsidR="00303D7C">
        <w:t>ation program</w:t>
      </w:r>
      <w:r>
        <w:t xml:space="preserve"> against HPV types 16 and 18 commenced in Scotland in 2008 for 13-year-old </w:t>
      </w:r>
      <w:r w:rsidR="006A5A16">
        <w:t>girls, with a catch up program</w:t>
      </w:r>
      <w:r>
        <w:t xml:space="preserve"> for 17- to 18-year-olds. This was expected to reduce the incidence of HPV related cervical cancer and </w:t>
      </w:r>
      <w:r w:rsidR="00D66611">
        <w:t>HSIL</w:t>
      </w:r>
      <w:r w:rsidR="006A5A16">
        <w:t xml:space="preserve"> detected </w:t>
      </w:r>
      <w:r>
        <w:t>cervical screening. Evidence suggested that the impl</w:t>
      </w:r>
      <w:r w:rsidR="006A5A16">
        <w:t>emen</w:t>
      </w:r>
      <w:r>
        <w:t xml:space="preserve">tation of image-directed screening can assist the detection of abnormalities with a low prevalence. Hence Palmer </w:t>
      </w:r>
      <w:r w:rsidR="00A5223F">
        <w:t>2012</w:t>
      </w:r>
      <w:r>
        <w:t xml:space="preserve"> aimed to assess the feasibility of introducing comp</w:t>
      </w:r>
      <w:r w:rsidR="006A5A16">
        <w:t>uter assisted screening of Thin</w:t>
      </w:r>
      <w:r>
        <w:t xml:space="preserve">Prep cervical samples with the Hologic ThinPrep Remote Imaging system-Multicyte. </w:t>
      </w:r>
    </w:p>
    <w:p w:rsidR="001D56D3" w:rsidRDefault="001D56D3" w:rsidP="001D56D3">
      <w:r>
        <w:t>The stu</w:t>
      </w:r>
      <w:r w:rsidR="006A5A16">
        <w:t>dy was a parallel group randomis</w:t>
      </w:r>
      <w:r>
        <w:t>ed trial, comparing manual screening with image-guided</w:t>
      </w:r>
      <w:r w:rsidR="006A5A16">
        <w:t xml:space="preserve"> (Dual Review</w:t>
      </w:r>
      <w:r>
        <w:t xml:space="preserve">) screening. </w:t>
      </w:r>
      <w:r w:rsidR="006A5A16">
        <w:t>Samples</w:t>
      </w:r>
      <w:r>
        <w:t xml:space="preserve"> were screened at two clusters of three laboratories, cluster 1 was more </w:t>
      </w:r>
      <w:r w:rsidR="00303D7C">
        <w:t>rural and cluster 2 more urban</w:t>
      </w:r>
      <w:r>
        <w:t xml:space="preserve">. Cases were allocated in a strict accession number order to achieve even distribution between arms. </w:t>
      </w:r>
    </w:p>
    <w:p w:rsidR="001D56D3" w:rsidRDefault="001D56D3" w:rsidP="001D56D3">
      <w:r>
        <w:t>The screeners had a range of experience and screening speeds. Training in the use of the ThinPrep Imaging System (TIS) was delivered by Hologic personnel according to their standard protocols and was completed by October 2008. The t</w:t>
      </w:r>
      <w:r w:rsidR="00970548">
        <w:t>rial consisted of 169,</w:t>
      </w:r>
      <w:r>
        <w:t>917 samples, randomly allocated in each laboratory by accession number, 1–50 imaged and 51–100 manually screened. Samp</w:t>
      </w:r>
      <w:r w:rsidR="00BC5AC9">
        <w:t>les were all screening program</w:t>
      </w:r>
      <w:r>
        <w:t xml:space="preserve"> LBC preparations and there were no exclusions. Heavily bloodstained samples were included in both study arms and glacial acetic acid (GAA) washes were performed according to laboratory protocols. Qu</w:t>
      </w:r>
      <w:r w:rsidR="00970548">
        <w:t>ality control by rapid review⁄</w:t>
      </w:r>
      <w:r>
        <w:t>preview was continued throughout the study.</w:t>
      </w:r>
      <w:r w:rsidR="00411D11">
        <w:t xml:space="preserve"> Review and reinforcement of training was carried out throughout the </w:t>
      </w:r>
      <w:r w:rsidR="00411D11">
        <w:lastRenderedPageBreak/>
        <w:t xml:space="preserve">study. </w:t>
      </w:r>
      <w:r>
        <w:t>One laboratory (number 2) used rapid preview and all the others used rapid review (Table 1).</w:t>
      </w:r>
    </w:p>
    <w:p w:rsidR="001D56D3" w:rsidRDefault="001D56D3" w:rsidP="001D56D3">
      <w:r>
        <w:t xml:space="preserve">The hypothesis tested by statistical analysis was that image-assisted screening would be both qualitatively and quantitatively better than </w:t>
      </w:r>
      <w:r w:rsidR="004278A7">
        <w:t>manual</w:t>
      </w:r>
      <w:r>
        <w:t xml:space="preserve"> ThinPrep screening. The 95% confidence intervals are reported only for the sum of all six (not for individual) laboratories, and are calc</w:t>
      </w:r>
      <w:r w:rsidR="00970548">
        <w:t xml:space="preserve">ulated using Wilson’s method. P </w:t>
      </w:r>
      <w:r>
        <w:t>values are two-tailed Fisher’s Exact Tests except where stated otherwise.</w:t>
      </w:r>
    </w:p>
    <w:p w:rsidR="001D56D3" w:rsidRDefault="001D56D3" w:rsidP="001D56D3">
      <w:r>
        <w:t xml:space="preserve">Sensitivity, specificity and false-negative rates using the final cytology report as the outcome, and positive predictive value (PPV) using histological biopsy as outcome are calculated. </w:t>
      </w:r>
      <w:r w:rsidR="00086C77">
        <w:fldChar w:fldCharType="begin"/>
      </w:r>
      <w:r w:rsidR="00411D11">
        <w:instrText xml:space="preserve"> REF _Ref332105299 \h </w:instrText>
      </w:r>
      <w:r w:rsidR="00086C77">
        <w:fldChar w:fldCharType="separate"/>
      </w:r>
      <w:r w:rsidR="003361A8">
        <w:t xml:space="preserve">Table </w:t>
      </w:r>
      <w:r w:rsidR="003361A8">
        <w:rPr>
          <w:noProof/>
        </w:rPr>
        <w:t>72</w:t>
      </w:r>
      <w:r w:rsidR="00086C77">
        <w:fldChar w:fldCharType="end"/>
      </w:r>
      <w:r w:rsidR="00411D11">
        <w:t xml:space="preserve"> </w:t>
      </w:r>
      <w:r>
        <w:t>compares the reporting terminology used in the trial (according to National Health Serv</w:t>
      </w:r>
      <w:r w:rsidR="00970548">
        <w:t>ice Cervical Screening Program</w:t>
      </w:r>
      <w:r>
        <w:t>) with the Bethesda system.</w:t>
      </w:r>
    </w:p>
    <w:p w:rsidR="003D1B93" w:rsidRDefault="003D1B93" w:rsidP="003D1B93">
      <w:pPr>
        <w:pStyle w:val="Caption"/>
      </w:pPr>
      <w:bookmarkStart w:id="477" w:name="_Ref332105299"/>
      <w:bookmarkStart w:id="478" w:name="_Toc335666044"/>
      <w:bookmarkStart w:id="479" w:name="_Toc337547009"/>
      <w:r>
        <w:t xml:space="preserve">Table </w:t>
      </w:r>
      <w:fldSimple w:instr=" SEQ Table \* ARABIC ">
        <w:r w:rsidR="003361A8">
          <w:rPr>
            <w:noProof/>
          </w:rPr>
          <w:t>72</w:t>
        </w:r>
      </w:fldSimple>
      <w:bookmarkEnd w:id="477"/>
      <w:r w:rsidR="00BC0FE6">
        <w:tab/>
      </w:r>
      <w:r w:rsidR="00970548">
        <w:t xml:space="preserve">Cytology classification: Palmer </w:t>
      </w:r>
      <w:r>
        <w:t>2012</w:t>
      </w:r>
      <w:bookmarkEnd w:id="478"/>
      <w:bookmarkEnd w:id="4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68"/>
        <w:gridCol w:w="1815"/>
        <w:gridCol w:w="3708"/>
      </w:tblGrid>
      <w:tr w:rsidR="001D56D3" w:rsidTr="001D56D3">
        <w:tc>
          <w:tcPr>
            <w:tcW w:w="3368" w:type="dxa"/>
          </w:tcPr>
          <w:p w:rsidR="001D56D3" w:rsidRPr="00EE2D08" w:rsidRDefault="001D56D3" w:rsidP="00B7569F">
            <w:pPr>
              <w:pStyle w:val="Tabletext"/>
              <w:rPr>
                <w:b/>
              </w:rPr>
            </w:pPr>
            <w:r>
              <w:rPr>
                <w:b/>
              </w:rPr>
              <w:t>SNHSCSP</w:t>
            </w:r>
          </w:p>
        </w:tc>
        <w:tc>
          <w:tcPr>
            <w:tcW w:w="1815" w:type="dxa"/>
          </w:tcPr>
          <w:p w:rsidR="001D56D3" w:rsidRPr="00EE2D08" w:rsidRDefault="001D56D3" w:rsidP="00B7569F">
            <w:pPr>
              <w:pStyle w:val="Tabletext"/>
              <w:rPr>
                <w:b/>
              </w:rPr>
            </w:pPr>
            <w:r>
              <w:rPr>
                <w:b/>
              </w:rPr>
              <w:t>Two-tier</w:t>
            </w:r>
          </w:p>
        </w:tc>
        <w:tc>
          <w:tcPr>
            <w:tcW w:w="3708" w:type="dxa"/>
          </w:tcPr>
          <w:p w:rsidR="001D56D3" w:rsidRPr="00EE2D08" w:rsidRDefault="001D56D3" w:rsidP="00B7569F">
            <w:pPr>
              <w:pStyle w:val="Tabletext"/>
              <w:rPr>
                <w:b/>
              </w:rPr>
            </w:pPr>
            <w:r w:rsidRPr="00EE2D08">
              <w:rPr>
                <w:b/>
              </w:rPr>
              <w:t>Bethesda System 2001</w:t>
            </w:r>
          </w:p>
        </w:tc>
      </w:tr>
      <w:tr w:rsidR="001D56D3" w:rsidTr="001D56D3">
        <w:tc>
          <w:tcPr>
            <w:tcW w:w="3368" w:type="dxa"/>
          </w:tcPr>
          <w:p w:rsidR="001D56D3" w:rsidRDefault="001D56D3" w:rsidP="00B7569F">
            <w:pPr>
              <w:pStyle w:val="Tabletext"/>
            </w:pPr>
            <w:r>
              <w:t xml:space="preserve">Borderline squamous and glandular changes without HPV </w:t>
            </w:r>
          </w:p>
        </w:tc>
        <w:tc>
          <w:tcPr>
            <w:tcW w:w="1815" w:type="dxa"/>
          </w:tcPr>
          <w:p w:rsidR="001D56D3" w:rsidRDefault="001D56D3" w:rsidP="00B7569F">
            <w:pPr>
              <w:pStyle w:val="Tabletext"/>
            </w:pPr>
            <w:r>
              <w:t>Low-grade</w:t>
            </w:r>
          </w:p>
        </w:tc>
        <w:tc>
          <w:tcPr>
            <w:tcW w:w="3708" w:type="dxa"/>
          </w:tcPr>
          <w:p w:rsidR="001D56D3" w:rsidRDefault="001D56D3" w:rsidP="00B7569F">
            <w:pPr>
              <w:pStyle w:val="Tabletext"/>
            </w:pPr>
            <w:r>
              <w:t>ASC-US/ASC-H/AGC</w:t>
            </w:r>
          </w:p>
        </w:tc>
      </w:tr>
      <w:tr w:rsidR="001D56D3" w:rsidTr="001D56D3">
        <w:tc>
          <w:tcPr>
            <w:tcW w:w="3368" w:type="dxa"/>
          </w:tcPr>
          <w:p w:rsidR="001D56D3" w:rsidRDefault="001D56D3" w:rsidP="00B7569F">
            <w:pPr>
              <w:pStyle w:val="Tabletext"/>
            </w:pPr>
            <w:r>
              <w:t xml:space="preserve">Borderline with HPV and mild dyskaryosis </w:t>
            </w:r>
          </w:p>
        </w:tc>
        <w:tc>
          <w:tcPr>
            <w:tcW w:w="1815" w:type="dxa"/>
          </w:tcPr>
          <w:p w:rsidR="001D56D3" w:rsidRDefault="001D56D3" w:rsidP="00B7569F">
            <w:pPr>
              <w:pStyle w:val="Tabletext"/>
            </w:pPr>
          </w:p>
        </w:tc>
        <w:tc>
          <w:tcPr>
            <w:tcW w:w="3708" w:type="dxa"/>
          </w:tcPr>
          <w:p w:rsidR="001D56D3" w:rsidRDefault="001D56D3" w:rsidP="00B7569F">
            <w:pPr>
              <w:pStyle w:val="Tabletext"/>
            </w:pPr>
            <w:r>
              <w:t>LSIL</w:t>
            </w:r>
          </w:p>
        </w:tc>
      </w:tr>
      <w:tr w:rsidR="001D56D3" w:rsidTr="001D56D3">
        <w:tc>
          <w:tcPr>
            <w:tcW w:w="3368" w:type="dxa"/>
          </w:tcPr>
          <w:p w:rsidR="001D56D3" w:rsidRDefault="001D56D3" w:rsidP="00B7569F">
            <w:pPr>
              <w:pStyle w:val="Tabletext"/>
            </w:pPr>
            <w:r>
              <w:t>Moderate dyskaryosis</w:t>
            </w:r>
          </w:p>
        </w:tc>
        <w:tc>
          <w:tcPr>
            <w:tcW w:w="1815" w:type="dxa"/>
          </w:tcPr>
          <w:p w:rsidR="001D56D3" w:rsidRDefault="001D56D3" w:rsidP="00B7569F">
            <w:pPr>
              <w:pStyle w:val="Tabletext"/>
            </w:pPr>
            <w:r>
              <w:t>High-grade</w:t>
            </w:r>
          </w:p>
        </w:tc>
        <w:tc>
          <w:tcPr>
            <w:tcW w:w="3708" w:type="dxa"/>
          </w:tcPr>
          <w:p w:rsidR="001D56D3" w:rsidRDefault="001D56D3" w:rsidP="00B7569F">
            <w:pPr>
              <w:pStyle w:val="Tabletext"/>
            </w:pPr>
            <w:r>
              <w:t>HSIL</w:t>
            </w:r>
          </w:p>
        </w:tc>
      </w:tr>
      <w:tr w:rsidR="001D56D3" w:rsidTr="001D56D3">
        <w:tc>
          <w:tcPr>
            <w:tcW w:w="3368" w:type="dxa"/>
          </w:tcPr>
          <w:p w:rsidR="001D56D3" w:rsidRDefault="001D56D3" w:rsidP="00B7569F">
            <w:pPr>
              <w:pStyle w:val="Tabletext"/>
            </w:pPr>
            <w:r>
              <w:t>Severe dyskaryosis</w:t>
            </w:r>
          </w:p>
        </w:tc>
        <w:tc>
          <w:tcPr>
            <w:tcW w:w="1815" w:type="dxa"/>
          </w:tcPr>
          <w:p w:rsidR="001D56D3" w:rsidRDefault="001D56D3" w:rsidP="00B7569F">
            <w:pPr>
              <w:pStyle w:val="Tabletext"/>
            </w:pPr>
          </w:p>
        </w:tc>
        <w:tc>
          <w:tcPr>
            <w:tcW w:w="3708" w:type="dxa"/>
          </w:tcPr>
          <w:p w:rsidR="001D56D3" w:rsidRDefault="001D56D3" w:rsidP="00B7569F">
            <w:pPr>
              <w:pStyle w:val="Tabletext"/>
            </w:pPr>
            <w:r>
              <w:t>Cancer</w:t>
            </w:r>
          </w:p>
        </w:tc>
      </w:tr>
      <w:tr w:rsidR="001D56D3" w:rsidTr="001D56D3">
        <w:tc>
          <w:tcPr>
            <w:tcW w:w="3368" w:type="dxa"/>
          </w:tcPr>
          <w:p w:rsidR="001D56D3" w:rsidRDefault="001D56D3" w:rsidP="00B7569F">
            <w:pPr>
              <w:pStyle w:val="Tabletext"/>
            </w:pPr>
            <w:r>
              <w:t xml:space="preserve">Severe dyskaryosis </w:t>
            </w:r>
            <w:r>
              <w:br/>
              <w:t>query invasive</w:t>
            </w:r>
            <w:r>
              <w:br/>
              <w:t>query glandular neoplasia</w:t>
            </w:r>
          </w:p>
        </w:tc>
        <w:tc>
          <w:tcPr>
            <w:tcW w:w="1815" w:type="dxa"/>
          </w:tcPr>
          <w:p w:rsidR="001D56D3" w:rsidRDefault="001D56D3" w:rsidP="00B7569F">
            <w:pPr>
              <w:pStyle w:val="Tabletext"/>
            </w:pPr>
          </w:p>
        </w:tc>
        <w:tc>
          <w:tcPr>
            <w:tcW w:w="3708" w:type="dxa"/>
          </w:tcPr>
          <w:p w:rsidR="001D56D3" w:rsidRDefault="001D56D3" w:rsidP="00B7569F">
            <w:pPr>
              <w:pStyle w:val="Tabletext"/>
            </w:pPr>
            <w:r>
              <w:br/>
              <w:t>AGC favou</w:t>
            </w:r>
            <w:r w:rsidR="00BC5AC9">
              <w:t>r neoplasia</w:t>
            </w:r>
            <w:r w:rsidR="00BC5AC9">
              <w:br/>
              <w:t>AIS, adenocarcinoma</w:t>
            </w:r>
          </w:p>
        </w:tc>
      </w:tr>
    </w:tbl>
    <w:p w:rsidR="001D56D3" w:rsidRDefault="001D56D3" w:rsidP="00970548">
      <w:pPr>
        <w:pStyle w:val="Tabletext"/>
      </w:pPr>
      <w:r w:rsidRPr="001D56D3">
        <w:t>Abbreviations: AGC, atypical glandular cells, AIS, a</w:t>
      </w:r>
      <w:r w:rsidR="00303D7C">
        <w:t>denocarcinoma in situ, ASC-US, a</w:t>
      </w:r>
      <w:r w:rsidRPr="001D56D3">
        <w:t xml:space="preserve">typical squamous cells undetermined significance; ASC-H, ASC cannot exclude high grade squamous intraepithelial lesion (HSIL); </w:t>
      </w:r>
      <w:r w:rsidR="00303D7C">
        <w:t xml:space="preserve">HPV, human papillomavirus; </w:t>
      </w:r>
      <w:r w:rsidRPr="001D56D3">
        <w:t>LSIL, low-grade squamous intraepithelial lesion; SNHSCSP, Scottish National Health Serv</w:t>
      </w:r>
      <w:r w:rsidR="00970548">
        <w:t>ice Cervical Screening Program</w:t>
      </w:r>
    </w:p>
    <w:p w:rsidR="00970548" w:rsidRDefault="00970548" w:rsidP="001D56D3"/>
    <w:p w:rsidR="001D56D3" w:rsidRDefault="001D56D3" w:rsidP="001D56D3">
      <w:r w:rsidRPr="001D56D3">
        <w:t xml:space="preserve">The formulae used for statistical analysis based on the final cytology report are provided </w:t>
      </w:r>
      <w:r w:rsidR="00970548">
        <w:t xml:space="preserve">in </w:t>
      </w:r>
      <w:r w:rsidR="00086C77">
        <w:fldChar w:fldCharType="begin"/>
      </w:r>
      <w:r w:rsidR="00411D11">
        <w:instrText xml:space="preserve"> REF _Ref332105334 \h </w:instrText>
      </w:r>
      <w:r w:rsidR="00086C77">
        <w:fldChar w:fldCharType="separate"/>
      </w:r>
      <w:r w:rsidR="003361A8">
        <w:t xml:space="preserve">Table </w:t>
      </w:r>
      <w:r w:rsidR="003361A8">
        <w:rPr>
          <w:noProof/>
        </w:rPr>
        <w:t>73</w:t>
      </w:r>
      <w:r w:rsidR="00086C77">
        <w:fldChar w:fldCharType="end"/>
      </w:r>
      <w:r w:rsidR="00411D11">
        <w:t>.</w:t>
      </w:r>
    </w:p>
    <w:p w:rsidR="003D1B93" w:rsidRDefault="003D1B93" w:rsidP="003D1B93">
      <w:pPr>
        <w:pStyle w:val="Caption"/>
      </w:pPr>
      <w:bookmarkStart w:id="480" w:name="_Ref332105334"/>
      <w:bookmarkStart w:id="481" w:name="_Toc335666045"/>
      <w:bookmarkStart w:id="482" w:name="_Toc337547010"/>
      <w:r>
        <w:t xml:space="preserve">Table </w:t>
      </w:r>
      <w:fldSimple w:instr=" SEQ Table \* ARABIC ">
        <w:r w:rsidR="003361A8">
          <w:rPr>
            <w:noProof/>
          </w:rPr>
          <w:t>73</w:t>
        </w:r>
      </w:fldSimple>
      <w:bookmarkEnd w:id="480"/>
      <w:r w:rsidR="00BC0FE6">
        <w:tab/>
      </w:r>
      <w:r>
        <w:t xml:space="preserve">Formulae used for statistical analysis for accuracy by final </w:t>
      </w:r>
      <w:r w:rsidR="00970548">
        <w:t xml:space="preserve">cytology report: Palmer </w:t>
      </w:r>
      <w:r>
        <w:t>2012</w:t>
      </w:r>
      <w:bookmarkEnd w:id="481"/>
      <w:bookmarkEnd w:id="48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063"/>
        <w:gridCol w:w="2218"/>
        <w:gridCol w:w="2173"/>
      </w:tblGrid>
      <w:tr w:rsidR="008B3EF5" w:rsidTr="008B3EF5">
        <w:tc>
          <w:tcPr>
            <w:tcW w:w="2437" w:type="dxa"/>
          </w:tcPr>
          <w:p w:rsidR="008B3EF5" w:rsidRPr="00411D11" w:rsidRDefault="008B3EF5" w:rsidP="008B3EF5">
            <w:pPr>
              <w:pStyle w:val="Tabletext"/>
              <w:rPr>
                <w:b/>
              </w:rPr>
            </w:pPr>
          </w:p>
        </w:tc>
        <w:tc>
          <w:tcPr>
            <w:tcW w:w="6454" w:type="dxa"/>
            <w:gridSpan w:val="3"/>
          </w:tcPr>
          <w:p w:rsidR="008B3EF5" w:rsidRPr="00411D11" w:rsidRDefault="008B3EF5" w:rsidP="008B3EF5">
            <w:pPr>
              <w:pStyle w:val="Tabletext"/>
              <w:rPr>
                <w:b/>
              </w:rPr>
            </w:pPr>
            <w:r w:rsidRPr="00411D11">
              <w:rPr>
                <w:b/>
              </w:rPr>
              <w:t>Final cytology report</w:t>
            </w:r>
          </w:p>
        </w:tc>
      </w:tr>
      <w:tr w:rsidR="001D56D3" w:rsidTr="008B3EF5">
        <w:tc>
          <w:tcPr>
            <w:tcW w:w="2437" w:type="dxa"/>
          </w:tcPr>
          <w:p w:rsidR="001D56D3" w:rsidRPr="00411D11" w:rsidRDefault="001D56D3" w:rsidP="008B3EF5">
            <w:pPr>
              <w:pStyle w:val="Tabletext"/>
              <w:rPr>
                <w:b/>
              </w:rPr>
            </w:pPr>
            <w:r w:rsidRPr="00411D11">
              <w:rPr>
                <w:b/>
              </w:rPr>
              <w:t>Primary screen</w:t>
            </w:r>
          </w:p>
        </w:tc>
        <w:tc>
          <w:tcPr>
            <w:tcW w:w="2063" w:type="dxa"/>
          </w:tcPr>
          <w:p w:rsidR="001D56D3" w:rsidRDefault="001D56D3" w:rsidP="008B3EF5">
            <w:pPr>
              <w:pStyle w:val="Tabletext"/>
            </w:pPr>
            <w:r>
              <w:t>Negative/inadequate</w:t>
            </w:r>
          </w:p>
        </w:tc>
        <w:tc>
          <w:tcPr>
            <w:tcW w:w="2218" w:type="dxa"/>
          </w:tcPr>
          <w:p w:rsidR="001D56D3" w:rsidRDefault="001D56D3" w:rsidP="008B3EF5">
            <w:pPr>
              <w:pStyle w:val="Tabletext"/>
            </w:pPr>
            <w:r>
              <w:t>Low-grade (borderline/mild)</w:t>
            </w:r>
          </w:p>
        </w:tc>
        <w:tc>
          <w:tcPr>
            <w:tcW w:w="2173" w:type="dxa"/>
          </w:tcPr>
          <w:p w:rsidR="001D56D3" w:rsidRDefault="001D56D3" w:rsidP="008B3EF5">
            <w:pPr>
              <w:pStyle w:val="Tabletext"/>
            </w:pPr>
            <w:r>
              <w:t>High-grade (moderate or worse)</w:t>
            </w:r>
          </w:p>
        </w:tc>
      </w:tr>
      <w:tr w:rsidR="001D56D3" w:rsidTr="008B3EF5">
        <w:tc>
          <w:tcPr>
            <w:tcW w:w="2437" w:type="dxa"/>
          </w:tcPr>
          <w:p w:rsidR="001D56D3" w:rsidRDefault="001D56D3" w:rsidP="008B3EF5">
            <w:pPr>
              <w:pStyle w:val="Tabletext"/>
            </w:pPr>
            <w:r>
              <w:t>Negative/inadequate</w:t>
            </w:r>
          </w:p>
        </w:tc>
        <w:tc>
          <w:tcPr>
            <w:tcW w:w="2063" w:type="dxa"/>
          </w:tcPr>
          <w:p w:rsidR="001D56D3" w:rsidRPr="008B3EF5" w:rsidRDefault="001D56D3" w:rsidP="008B3EF5">
            <w:pPr>
              <w:pStyle w:val="Tabletext"/>
            </w:pPr>
            <w:r w:rsidRPr="008B3EF5">
              <w:t>a</w:t>
            </w:r>
          </w:p>
        </w:tc>
        <w:tc>
          <w:tcPr>
            <w:tcW w:w="2218" w:type="dxa"/>
          </w:tcPr>
          <w:p w:rsidR="001D56D3" w:rsidRPr="008B3EF5" w:rsidRDefault="001D56D3" w:rsidP="008B3EF5">
            <w:pPr>
              <w:pStyle w:val="Tabletext"/>
            </w:pPr>
            <w:r w:rsidRPr="008B3EF5">
              <w:t>b</w:t>
            </w:r>
          </w:p>
        </w:tc>
        <w:tc>
          <w:tcPr>
            <w:tcW w:w="2173" w:type="dxa"/>
          </w:tcPr>
          <w:p w:rsidR="001D56D3" w:rsidRPr="008B3EF5" w:rsidRDefault="001D56D3" w:rsidP="008B3EF5">
            <w:pPr>
              <w:pStyle w:val="Tabletext"/>
            </w:pPr>
            <w:r w:rsidRPr="008B3EF5">
              <w:t>c</w:t>
            </w:r>
          </w:p>
        </w:tc>
      </w:tr>
      <w:tr w:rsidR="001D56D3" w:rsidTr="008B3EF5">
        <w:tc>
          <w:tcPr>
            <w:tcW w:w="2437" w:type="dxa"/>
          </w:tcPr>
          <w:p w:rsidR="001D56D3" w:rsidRDefault="001D56D3" w:rsidP="008B3EF5">
            <w:pPr>
              <w:pStyle w:val="Tabletext"/>
            </w:pPr>
            <w:r>
              <w:t>Low-grade (borderline/mild)</w:t>
            </w:r>
          </w:p>
        </w:tc>
        <w:tc>
          <w:tcPr>
            <w:tcW w:w="2063" w:type="dxa"/>
          </w:tcPr>
          <w:p w:rsidR="001D56D3" w:rsidRPr="008B3EF5" w:rsidRDefault="001D56D3" w:rsidP="008B3EF5">
            <w:pPr>
              <w:pStyle w:val="Tabletext"/>
            </w:pPr>
            <w:r w:rsidRPr="008B3EF5">
              <w:t>d</w:t>
            </w:r>
          </w:p>
        </w:tc>
        <w:tc>
          <w:tcPr>
            <w:tcW w:w="2218" w:type="dxa"/>
          </w:tcPr>
          <w:p w:rsidR="001D56D3" w:rsidRPr="008B3EF5" w:rsidRDefault="001D56D3" w:rsidP="008B3EF5">
            <w:pPr>
              <w:pStyle w:val="Tabletext"/>
            </w:pPr>
            <w:r w:rsidRPr="008B3EF5">
              <w:t>e</w:t>
            </w:r>
          </w:p>
        </w:tc>
        <w:tc>
          <w:tcPr>
            <w:tcW w:w="2173" w:type="dxa"/>
          </w:tcPr>
          <w:p w:rsidR="001D56D3" w:rsidRPr="008B3EF5" w:rsidRDefault="001D56D3" w:rsidP="008B3EF5">
            <w:pPr>
              <w:pStyle w:val="Tabletext"/>
            </w:pPr>
            <w:r w:rsidRPr="008B3EF5">
              <w:t>f</w:t>
            </w:r>
          </w:p>
        </w:tc>
      </w:tr>
      <w:tr w:rsidR="001D56D3" w:rsidTr="008B3EF5">
        <w:tc>
          <w:tcPr>
            <w:tcW w:w="2437" w:type="dxa"/>
          </w:tcPr>
          <w:p w:rsidR="001D56D3" w:rsidRDefault="001D56D3" w:rsidP="008B3EF5">
            <w:pPr>
              <w:pStyle w:val="Tabletext"/>
            </w:pPr>
            <w:r>
              <w:t>High-grade (moderate or worse)</w:t>
            </w:r>
          </w:p>
        </w:tc>
        <w:tc>
          <w:tcPr>
            <w:tcW w:w="2063" w:type="dxa"/>
          </w:tcPr>
          <w:p w:rsidR="001D56D3" w:rsidRPr="008B3EF5" w:rsidRDefault="001D56D3" w:rsidP="008B3EF5">
            <w:pPr>
              <w:pStyle w:val="Tabletext"/>
            </w:pPr>
            <w:r w:rsidRPr="008B3EF5">
              <w:t>g</w:t>
            </w:r>
          </w:p>
        </w:tc>
        <w:tc>
          <w:tcPr>
            <w:tcW w:w="2218" w:type="dxa"/>
          </w:tcPr>
          <w:p w:rsidR="001D56D3" w:rsidRPr="008B3EF5" w:rsidRDefault="001D56D3" w:rsidP="008B3EF5">
            <w:pPr>
              <w:pStyle w:val="Tabletext"/>
            </w:pPr>
            <w:r w:rsidRPr="008B3EF5">
              <w:t>h</w:t>
            </w:r>
          </w:p>
        </w:tc>
        <w:tc>
          <w:tcPr>
            <w:tcW w:w="2173" w:type="dxa"/>
          </w:tcPr>
          <w:p w:rsidR="001D56D3" w:rsidRPr="008B3EF5" w:rsidRDefault="001D56D3" w:rsidP="008B3EF5">
            <w:pPr>
              <w:pStyle w:val="Tabletext"/>
            </w:pPr>
            <w:r w:rsidRPr="008B3EF5">
              <w:t>i</w:t>
            </w:r>
          </w:p>
        </w:tc>
      </w:tr>
    </w:tbl>
    <w:p w:rsidR="001D56D3" w:rsidRDefault="001D56D3" w:rsidP="001D56D3"/>
    <w:p w:rsidR="001D56D3" w:rsidRDefault="001D56D3" w:rsidP="001D56D3">
      <w:r>
        <w:lastRenderedPageBreak/>
        <w:t xml:space="preserve">For data presented in </w:t>
      </w:r>
      <w:r w:rsidR="00086C77">
        <w:fldChar w:fldCharType="begin"/>
      </w:r>
      <w:r w:rsidR="00411D11">
        <w:instrText xml:space="preserve"> REF _Ref332103355 \h </w:instrText>
      </w:r>
      <w:r w:rsidR="00086C77">
        <w:fldChar w:fldCharType="separate"/>
      </w:r>
      <w:r w:rsidR="003361A8">
        <w:t xml:space="preserve">Table </w:t>
      </w:r>
      <w:r w:rsidR="003361A8">
        <w:rPr>
          <w:noProof/>
        </w:rPr>
        <w:t>76</w:t>
      </w:r>
      <w:r w:rsidR="00086C77">
        <w:fldChar w:fldCharType="end"/>
      </w:r>
      <w:r>
        <w:t xml:space="preserve">: </w:t>
      </w:r>
      <w:r w:rsidR="00411D11">
        <w:tab/>
      </w:r>
      <w:r>
        <w:t>Sensitivity</w:t>
      </w:r>
      <w:proofErr w:type="gramStart"/>
      <w:r w:rsidR="005E0D57">
        <w:t>=</w:t>
      </w:r>
      <w:r>
        <w:t>(</w:t>
      </w:r>
      <w:proofErr w:type="gramEnd"/>
      <w:r>
        <w:t>e+f+h+i) ⁄ (e+f+h+i)+(b+c).</w:t>
      </w:r>
    </w:p>
    <w:p w:rsidR="001D56D3" w:rsidRDefault="001D56D3" w:rsidP="00411D11">
      <w:pPr>
        <w:ind w:left="2160" w:firstLine="720"/>
      </w:pPr>
      <w:r>
        <w:t>Specificity</w:t>
      </w:r>
      <w:r w:rsidR="005E0D57">
        <w:t>=</w:t>
      </w:r>
      <w:r>
        <w:t>a ⁄ (a+d+g).</w:t>
      </w:r>
    </w:p>
    <w:p w:rsidR="001D56D3" w:rsidRDefault="001D56D3" w:rsidP="00411D11">
      <w:pPr>
        <w:ind w:left="2160" w:firstLine="720"/>
      </w:pPr>
      <w:r>
        <w:t>Predictive value</w:t>
      </w:r>
      <w:proofErr w:type="gramStart"/>
      <w:r w:rsidR="005E0D57">
        <w:t>=</w:t>
      </w:r>
      <w:r>
        <w:t>(</w:t>
      </w:r>
      <w:proofErr w:type="gramEnd"/>
      <w:r>
        <w:t>e+f+h+i) ⁄ (e+f+h+i)+(d+g).</w:t>
      </w:r>
    </w:p>
    <w:p w:rsidR="001D56D3" w:rsidRDefault="001D56D3" w:rsidP="001D56D3">
      <w:r>
        <w:t xml:space="preserve">For data presented in </w:t>
      </w:r>
      <w:r w:rsidR="00086C77">
        <w:fldChar w:fldCharType="begin"/>
      </w:r>
      <w:r w:rsidR="00411D11">
        <w:instrText xml:space="preserve"> REF _Ref332103343 \h </w:instrText>
      </w:r>
      <w:r w:rsidR="00086C77">
        <w:fldChar w:fldCharType="separate"/>
      </w:r>
      <w:r w:rsidR="003361A8">
        <w:t xml:space="preserve">Table </w:t>
      </w:r>
      <w:r w:rsidR="003361A8">
        <w:rPr>
          <w:noProof/>
        </w:rPr>
        <w:t>77</w:t>
      </w:r>
      <w:r w:rsidR="00086C77">
        <w:fldChar w:fldCharType="end"/>
      </w:r>
      <w:r>
        <w:t xml:space="preserve">: </w:t>
      </w:r>
      <w:r w:rsidR="00411D11">
        <w:tab/>
      </w:r>
      <w:r>
        <w:t>Sensitivity</w:t>
      </w:r>
      <w:r w:rsidR="005E0D57">
        <w:t>=</w:t>
      </w:r>
      <w:r>
        <w:t>i ⁄ (i+c).</w:t>
      </w:r>
    </w:p>
    <w:p w:rsidR="001D56D3" w:rsidRDefault="001D56D3" w:rsidP="00411D11">
      <w:pPr>
        <w:ind w:left="2160" w:firstLine="720"/>
      </w:pPr>
      <w:r>
        <w:t>Specificity</w:t>
      </w:r>
      <w:r w:rsidR="005E0D57">
        <w:t>=</w:t>
      </w:r>
      <w:r>
        <w:t>a ⁄ (a + g).</w:t>
      </w:r>
    </w:p>
    <w:p w:rsidR="001D56D3" w:rsidRDefault="001D56D3" w:rsidP="00411D11">
      <w:pPr>
        <w:ind w:left="2160" w:firstLine="720"/>
      </w:pPr>
      <w:r>
        <w:t>Predictive value</w:t>
      </w:r>
      <w:r w:rsidR="005E0D57">
        <w:t>=</w:t>
      </w:r>
      <w:r>
        <w:t>i ⁄ (h + i).</w:t>
      </w:r>
    </w:p>
    <w:p w:rsidR="001D56D3" w:rsidRDefault="001D56D3" w:rsidP="001D56D3">
      <w:r>
        <w:t xml:space="preserve">For data presented in </w:t>
      </w:r>
      <w:r w:rsidR="00086C77">
        <w:fldChar w:fldCharType="begin"/>
      </w:r>
      <w:r w:rsidR="00411D11">
        <w:instrText xml:space="preserve"> REF _Ref332103344 \h </w:instrText>
      </w:r>
      <w:r w:rsidR="00086C77">
        <w:fldChar w:fldCharType="separate"/>
      </w:r>
      <w:r w:rsidR="003361A8">
        <w:t xml:space="preserve">Table </w:t>
      </w:r>
      <w:r w:rsidR="003361A8">
        <w:rPr>
          <w:noProof/>
        </w:rPr>
        <w:t>78</w:t>
      </w:r>
      <w:r w:rsidR="00086C77">
        <w:fldChar w:fldCharType="end"/>
      </w:r>
      <w:r>
        <w:t xml:space="preserve">: </w:t>
      </w:r>
      <w:r w:rsidR="00411D11">
        <w:tab/>
      </w:r>
      <w:r>
        <w:t>Sensitivity</w:t>
      </w:r>
      <w:r w:rsidR="005E0D57">
        <w:t>=</w:t>
      </w:r>
      <w:r>
        <w:t>i ⁄ i+(c + f).</w:t>
      </w:r>
    </w:p>
    <w:p w:rsidR="001D56D3" w:rsidRDefault="001D56D3" w:rsidP="00411D11">
      <w:pPr>
        <w:ind w:left="2160" w:firstLine="720"/>
      </w:pPr>
      <w:r>
        <w:t>Specificity</w:t>
      </w:r>
      <w:proofErr w:type="gramStart"/>
      <w:r w:rsidR="005E0D57">
        <w:t>=</w:t>
      </w:r>
      <w:r>
        <w:t>(</w:t>
      </w:r>
      <w:proofErr w:type="gramEnd"/>
      <w:r>
        <w:t>a + b + d + e) ⁄ (a + b + d + e)+(g + h).</w:t>
      </w:r>
    </w:p>
    <w:p w:rsidR="001D56D3" w:rsidRDefault="001D56D3" w:rsidP="00411D11">
      <w:pPr>
        <w:ind w:left="2160" w:firstLine="720"/>
      </w:pPr>
      <w:r>
        <w:t>Predictive value</w:t>
      </w:r>
      <w:r w:rsidR="005E0D57">
        <w:t>=</w:t>
      </w:r>
      <w:r>
        <w:t>i ⁄ i</w:t>
      </w:r>
      <w:proofErr w:type="gramStart"/>
      <w:r>
        <w:t>+(</w:t>
      </w:r>
      <w:proofErr w:type="gramEnd"/>
      <w:r>
        <w:t>g + h).</w:t>
      </w:r>
    </w:p>
    <w:p w:rsidR="001D56D3" w:rsidRDefault="001D56D3" w:rsidP="001D56D3">
      <w:r>
        <w:t xml:space="preserve">The formulae used for statistical analysis based on histology results are provided </w:t>
      </w:r>
      <w:r w:rsidR="00970548">
        <w:t xml:space="preserve">in </w:t>
      </w:r>
      <w:r w:rsidR="00086C77">
        <w:fldChar w:fldCharType="begin"/>
      </w:r>
      <w:r w:rsidR="00411D11">
        <w:instrText xml:space="preserve"> REF _Ref332105490 \h </w:instrText>
      </w:r>
      <w:r w:rsidR="00086C77">
        <w:fldChar w:fldCharType="separate"/>
      </w:r>
      <w:r w:rsidR="003361A8">
        <w:t xml:space="preserve">Table </w:t>
      </w:r>
      <w:r w:rsidR="003361A8">
        <w:rPr>
          <w:noProof/>
        </w:rPr>
        <w:t>74</w:t>
      </w:r>
      <w:r w:rsidR="00086C77">
        <w:fldChar w:fldCharType="end"/>
      </w:r>
      <w:r w:rsidR="00411D11">
        <w:t>.</w:t>
      </w:r>
    </w:p>
    <w:p w:rsidR="003D1B93" w:rsidRDefault="003D1B93" w:rsidP="003D1B93">
      <w:pPr>
        <w:pStyle w:val="Caption"/>
      </w:pPr>
      <w:bookmarkStart w:id="483" w:name="_Ref332105490"/>
      <w:bookmarkStart w:id="484" w:name="_Toc335666046"/>
      <w:bookmarkStart w:id="485" w:name="_Toc337547011"/>
      <w:r>
        <w:t xml:space="preserve">Table </w:t>
      </w:r>
      <w:fldSimple w:instr=" SEQ Table \* ARABIC ">
        <w:r w:rsidR="003361A8">
          <w:rPr>
            <w:noProof/>
          </w:rPr>
          <w:t>74</w:t>
        </w:r>
      </w:fldSimple>
      <w:bookmarkEnd w:id="483"/>
      <w:r w:rsidR="00BC0FE6">
        <w:tab/>
      </w:r>
      <w:r>
        <w:t>Formulae</w:t>
      </w:r>
      <w:r w:rsidR="00970548">
        <w:t xml:space="preserve"> used for statistical analysis </w:t>
      </w:r>
      <w:r>
        <w:t>for accur</w:t>
      </w:r>
      <w:r w:rsidR="00970548">
        <w:t xml:space="preserve">acy by histology report: Palmer </w:t>
      </w:r>
      <w:r>
        <w:t>2012</w:t>
      </w:r>
      <w:bookmarkEnd w:id="484"/>
      <w:bookmarkEnd w:id="48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992"/>
        <w:gridCol w:w="993"/>
        <w:gridCol w:w="2687"/>
      </w:tblGrid>
      <w:tr w:rsidR="008B3EF5" w:rsidTr="00A5223F">
        <w:tc>
          <w:tcPr>
            <w:tcW w:w="3227" w:type="dxa"/>
          </w:tcPr>
          <w:p w:rsidR="008B3EF5" w:rsidRDefault="008B3EF5" w:rsidP="008B3EF5">
            <w:pPr>
              <w:pStyle w:val="Tabletext"/>
            </w:pPr>
          </w:p>
        </w:tc>
        <w:tc>
          <w:tcPr>
            <w:tcW w:w="5664" w:type="dxa"/>
            <w:gridSpan w:val="4"/>
          </w:tcPr>
          <w:p w:rsidR="008B3EF5" w:rsidRPr="00411D11" w:rsidRDefault="008B3EF5" w:rsidP="008B3EF5">
            <w:pPr>
              <w:pStyle w:val="Tabletext"/>
              <w:rPr>
                <w:b/>
              </w:rPr>
            </w:pPr>
            <w:r w:rsidRPr="00411D11">
              <w:rPr>
                <w:b/>
              </w:rPr>
              <w:t>Histology result</w:t>
            </w:r>
          </w:p>
        </w:tc>
      </w:tr>
      <w:tr w:rsidR="001D56D3" w:rsidTr="00A5223F">
        <w:tc>
          <w:tcPr>
            <w:tcW w:w="3227" w:type="dxa"/>
          </w:tcPr>
          <w:p w:rsidR="001D56D3" w:rsidRPr="00411D11" w:rsidRDefault="001D56D3" w:rsidP="008B3EF5">
            <w:pPr>
              <w:pStyle w:val="Tabletext"/>
              <w:rPr>
                <w:b/>
              </w:rPr>
            </w:pPr>
            <w:r w:rsidRPr="00411D11">
              <w:rPr>
                <w:b/>
              </w:rPr>
              <w:t>Cytology result</w:t>
            </w:r>
          </w:p>
        </w:tc>
        <w:tc>
          <w:tcPr>
            <w:tcW w:w="992" w:type="dxa"/>
          </w:tcPr>
          <w:p w:rsidR="001D56D3" w:rsidRDefault="001D56D3" w:rsidP="008B3EF5">
            <w:pPr>
              <w:pStyle w:val="Tabletext"/>
            </w:pPr>
            <w:r>
              <w:t>Negative</w:t>
            </w:r>
          </w:p>
        </w:tc>
        <w:tc>
          <w:tcPr>
            <w:tcW w:w="992" w:type="dxa"/>
          </w:tcPr>
          <w:p w:rsidR="001D56D3" w:rsidRDefault="001D56D3" w:rsidP="008B3EF5">
            <w:pPr>
              <w:pStyle w:val="Tabletext"/>
            </w:pPr>
            <w:r>
              <w:t>HPV only</w:t>
            </w:r>
          </w:p>
        </w:tc>
        <w:tc>
          <w:tcPr>
            <w:tcW w:w="993" w:type="dxa"/>
          </w:tcPr>
          <w:p w:rsidR="001D56D3" w:rsidRDefault="001D56D3" w:rsidP="008B3EF5">
            <w:pPr>
              <w:pStyle w:val="Tabletext"/>
            </w:pPr>
            <w:r>
              <w:t>CIN 1</w:t>
            </w:r>
          </w:p>
        </w:tc>
        <w:tc>
          <w:tcPr>
            <w:tcW w:w="2687" w:type="dxa"/>
          </w:tcPr>
          <w:p w:rsidR="001D56D3" w:rsidRDefault="001D56D3" w:rsidP="008B3EF5">
            <w:pPr>
              <w:pStyle w:val="Tabletext"/>
            </w:pPr>
            <w:r>
              <w:t>CIN</w:t>
            </w:r>
            <w:r w:rsidR="00970548">
              <w:t xml:space="preserve"> </w:t>
            </w:r>
            <w:r>
              <w:t>2, CIN</w:t>
            </w:r>
            <w:r w:rsidR="00970548">
              <w:t xml:space="preserve"> </w:t>
            </w:r>
            <w:r w:rsidR="00A5223F">
              <w:t>3, invasive cancer CG</w:t>
            </w:r>
            <w:r>
              <w:t>IN/adenocarcinoma in situ</w:t>
            </w:r>
          </w:p>
        </w:tc>
      </w:tr>
      <w:tr w:rsidR="001D56D3" w:rsidTr="00A5223F">
        <w:tc>
          <w:tcPr>
            <w:tcW w:w="3227" w:type="dxa"/>
          </w:tcPr>
          <w:p w:rsidR="001D56D3" w:rsidRDefault="001D56D3" w:rsidP="008B3EF5">
            <w:pPr>
              <w:pStyle w:val="Tabletext"/>
            </w:pPr>
            <w:r>
              <w:t>Low-grade cytology (borderline/mild)</w:t>
            </w:r>
          </w:p>
        </w:tc>
        <w:tc>
          <w:tcPr>
            <w:tcW w:w="992" w:type="dxa"/>
          </w:tcPr>
          <w:p w:rsidR="001D56D3" w:rsidRDefault="001D56D3" w:rsidP="008B3EF5">
            <w:pPr>
              <w:pStyle w:val="Tabletext"/>
            </w:pPr>
            <w:r>
              <w:t>a</w:t>
            </w:r>
          </w:p>
        </w:tc>
        <w:tc>
          <w:tcPr>
            <w:tcW w:w="992" w:type="dxa"/>
          </w:tcPr>
          <w:p w:rsidR="001D56D3" w:rsidRDefault="00A5223F" w:rsidP="008B3EF5">
            <w:pPr>
              <w:pStyle w:val="Tabletext"/>
            </w:pPr>
            <w:r>
              <w:t>–</w:t>
            </w:r>
          </w:p>
        </w:tc>
        <w:tc>
          <w:tcPr>
            <w:tcW w:w="993" w:type="dxa"/>
          </w:tcPr>
          <w:p w:rsidR="001D56D3" w:rsidRDefault="00A5223F" w:rsidP="008B3EF5">
            <w:pPr>
              <w:pStyle w:val="Tabletext"/>
            </w:pPr>
            <w:r>
              <w:t>–</w:t>
            </w:r>
          </w:p>
        </w:tc>
        <w:tc>
          <w:tcPr>
            <w:tcW w:w="2687" w:type="dxa"/>
          </w:tcPr>
          <w:p w:rsidR="001D56D3" w:rsidRDefault="001D56D3" w:rsidP="008B3EF5">
            <w:pPr>
              <w:pStyle w:val="Tabletext"/>
            </w:pPr>
            <w:r>
              <w:t>b</w:t>
            </w:r>
          </w:p>
        </w:tc>
      </w:tr>
      <w:tr w:rsidR="001D56D3" w:rsidTr="00A5223F">
        <w:tc>
          <w:tcPr>
            <w:tcW w:w="3227" w:type="dxa"/>
          </w:tcPr>
          <w:p w:rsidR="001D56D3" w:rsidRDefault="001D56D3" w:rsidP="008B3EF5">
            <w:pPr>
              <w:pStyle w:val="Tabletext"/>
            </w:pPr>
            <w:r>
              <w:t>High-grade cytology (moderate or worse)</w:t>
            </w:r>
          </w:p>
        </w:tc>
        <w:tc>
          <w:tcPr>
            <w:tcW w:w="992" w:type="dxa"/>
          </w:tcPr>
          <w:p w:rsidR="001D56D3" w:rsidRDefault="001D56D3" w:rsidP="008B3EF5">
            <w:pPr>
              <w:pStyle w:val="Tabletext"/>
            </w:pPr>
            <w:r>
              <w:t>c</w:t>
            </w:r>
          </w:p>
        </w:tc>
        <w:tc>
          <w:tcPr>
            <w:tcW w:w="992" w:type="dxa"/>
          </w:tcPr>
          <w:p w:rsidR="001D56D3" w:rsidRDefault="00A5223F" w:rsidP="008B3EF5">
            <w:pPr>
              <w:pStyle w:val="Tabletext"/>
            </w:pPr>
            <w:r>
              <w:t>–</w:t>
            </w:r>
          </w:p>
        </w:tc>
        <w:tc>
          <w:tcPr>
            <w:tcW w:w="993" w:type="dxa"/>
          </w:tcPr>
          <w:p w:rsidR="001D56D3" w:rsidRDefault="00A5223F" w:rsidP="008B3EF5">
            <w:pPr>
              <w:pStyle w:val="Tabletext"/>
            </w:pPr>
            <w:r>
              <w:t>–</w:t>
            </w:r>
          </w:p>
        </w:tc>
        <w:tc>
          <w:tcPr>
            <w:tcW w:w="2687" w:type="dxa"/>
          </w:tcPr>
          <w:p w:rsidR="001D56D3" w:rsidRDefault="001D56D3" w:rsidP="008B3EF5">
            <w:pPr>
              <w:pStyle w:val="Tabletext"/>
            </w:pPr>
            <w:r>
              <w:t>d</w:t>
            </w:r>
          </w:p>
        </w:tc>
      </w:tr>
    </w:tbl>
    <w:p w:rsidR="00411D11" w:rsidRDefault="00411D11" w:rsidP="00970548">
      <w:pPr>
        <w:pStyle w:val="Tabletext"/>
      </w:pPr>
      <w:r>
        <w:t xml:space="preserve">Abbreviations: </w:t>
      </w:r>
      <w:r w:rsidR="001D56D3">
        <w:t>CIN, cervical intraepithelial neoplasia; CGIN, cervical glan</w:t>
      </w:r>
      <w:r w:rsidR="00970548">
        <w:t>dular intraepithelial neoplasia</w:t>
      </w:r>
    </w:p>
    <w:p w:rsidR="00970548" w:rsidRDefault="00970548" w:rsidP="00411D11">
      <w:pPr>
        <w:tabs>
          <w:tab w:val="left" w:pos="3969"/>
        </w:tabs>
        <w:rPr>
          <w:rFonts w:ascii="Arial Narrow" w:hAnsi="Arial Narrow"/>
          <w:sz w:val="20"/>
          <w:szCs w:val="20"/>
        </w:rPr>
      </w:pPr>
    </w:p>
    <w:p w:rsidR="001D56D3" w:rsidRDefault="00411D11" w:rsidP="00411D11">
      <w:pPr>
        <w:tabs>
          <w:tab w:val="left" w:pos="3969"/>
        </w:tabs>
      </w:pPr>
      <w:r>
        <w:t xml:space="preserve">For data presented in </w:t>
      </w:r>
      <w:r w:rsidR="00086C77">
        <w:fldChar w:fldCharType="begin"/>
      </w:r>
      <w:r>
        <w:instrText xml:space="preserve"> REF _Ref332102654 \h </w:instrText>
      </w:r>
      <w:r w:rsidR="00086C77">
        <w:fldChar w:fldCharType="separate"/>
      </w:r>
      <w:r w:rsidR="003361A8">
        <w:t xml:space="preserve">Table </w:t>
      </w:r>
      <w:r w:rsidR="003361A8">
        <w:rPr>
          <w:noProof/>
        </w:rPr>
        <w:t>79</w:t>
      </w:r>
      <w:r w:rsidR="00086C77">
        <w:fldChar w:fldCharType="end"/>
      </w:r>
      <w:r>
        <w:t xml:space="preserve"> and </w:t>
      </w:r>
      <w:r w:rsidR="00086C77">
        <w:fldChar w:fldCharType="begin"/>
      </w:r>
      <w:r>
        <w:instrText xml:space="preserve"> REF _Ref332102700 \h </w:instrText>
      </w:r>
      <w:r w:rsidR="00086C77">
        <w:fldChar w:fldCharType="separate"/>
      </w:r>
      <w:r w:rsidR="003361A8">
        <w:t xml:space="preserve">Table </w:t>
      </w:r>
      <w:r w:rsidR="003361A8">
        <w:rPr>
          <w:noProof/>
        </w:rPr>
        <w:t>80</w:t>
      </w:r>
      <w:r w:rsidR="00086C77">
        <w:fldChar w:fldCharType="end"/>
      </w:r>
      <w:r>
        <w:t xml:space="preserve">: </w:t>
      </w:r>
      <w:r w:rsidR="001D56D3">
        <w:t>Positive predictive value (PPV</w:t>
      </w:r>
      <w:proofErr w:type="gramStart"/>
      <w:r w:rsidR="001D56D3">
        <w:t>)</w:t>
      </w:r>
      <w:r w:rsidR="005E0D57">
        <w:t>=</w:t>
      </w:r>
      <w:proofErr w:type="gramEnd"/>
      <w:r w:rsidR="001D56D3">
        <w:t>d ⁄ (c + d).</w:t>
      </w:r>
    </w:p>
    <w:p w:rsidR="001D56D3" w:rsidRDefault="00411D11" w:rsidP="00411D11">
      <w:pPr>
        <w:tabs>
          <w:tab w:val="left" w:pos="3969"/>
        </w:tabs>
      </w:pPr>
      <w:r>
        <w:tab/>
      </w:r>
      <w:r w:rsidR="001D56D3">
        <w:t>Abnormal predictive value (APV</w:t>
      </w:r>
      <w:proofErr w:type="gramStart"/>
      <w:r w:rsidR="001D56D3">
        <w:t>)</w:t>
      </w:r>
      <w:r w:rsidR="005E0D57">
        <w:t>=</w:t>
      </w:r>
      <w:proofErr w:type="gramEnd"/>
      <w:r w:rsidR="001D56D3">
        <w:t>b ⁄ (a + b).</w:t>
      </w:r>
    </w:p>
    <w:p w:rsidR="001D56D3" w:rsidRDefault="00411D11" w:rsidP="00411D11">
      <w:pPr>
        <w:tabs>
          <w:tab w:val="left" w:pos="3969"/>
        </w:tabs>
        <w:ind w:left="3600"/>
      </w:pPr>
      <w:r>
        <w:tab/>
      </w:r>
      <w:r w:rsidR="001D56D3">
        <w:t>Total predictive value (TPV</w:t>
      </w:r>
      <w:proofErr w:type="gramStart"/>
      <w:r w:rsidR="001D56D3">
        <w:t>)</w:t>
      </w:r>
      <w:r w:rsidR="005E0D57">
        <w:t>=</w:t>
      </w:r>
      <w:proofErr w:type="gramEnd"/>
      <w:r w:rsidR="001D56D3">
        <w:t>b+d ⁄ (a + b + c + d).</w:t>
      </w:r>
    </w:p>
    <w:p w:rsidR="001D56D3" w:rsidRPr="00411D11" w:rsidRDefault="00411D11" w:rsidP="00970548">
      <w:pPr>
        <w:pStyle w:val="Heading50"/>
      </w:pPr>
      <w:r w:rsidRPr="00411D11">
        <w:t>Results</w:t>
      </w:r>
    </w:p>
    <w:p w:rsidR="008D0453" w:rsidRDefault="00970548" w:rsidP="008D0453">
      <w:r>
        <w:t>A tot</w:t>
      </w:r>
      <w:r w:rsidR="00BC5AC9">
        <w:t>al of 169,917 LBC preparations—</w:t>
      </w:r>
      <w:r>
        <w:t>79,366 in the imager and 90,</w:t>
      </w:r>
      <w:r w:rsidR="00BC5AC9">
        <w:t>551 in the manual arm—</w:t>
      </w:r>
      <w:r w:rsidR="001D56D3">
        <w:t xml:space="preserve">were used for qualitative analysis. The </w:t>
      </w:r>
      <w:r w:rsidR="00925540">
        <w:t xml:space="preserve">reporting profiles of the laboratories as a whole are set out in </w:t>
      </w:r>
      <w:r w:rsidR="00086C77">
        <w:fldChar w:fldCharType="begin"/>
      </w:r>
      <w:r w:rsidR="00804B5B">
        <w:instrText xml:space="preserve"> REF _Ref332098598 \h </w:instrText>
      </w:r>
      <w:r w:rsidR="00086C77">
        <w:fldChar w:fldCharType="separate"/>
      </w:r>
      <w:r w:rsidR="003361A8">
        <w:t xml:space="preserve">Table </w:t>
      </w:r>
      <w:r w:rsidR="003361A8">
        <w:rPr>
          <w:noProof/>
        </w:rPr>
        <w:t>75</w:t>
      </w:r>
      <w:r w:rsidR="00086C77">
        <w:fldChar w:fldCharType="end"/>
      </w:r>
      <w:r w:rsidR="00A157D7">
        <w:t>.</w:t>
      </w:r>
      <w:r w:rsidR="008D0453">
        <w:t xml:space="preserve"> </w:t>
      </w:r>
      <w:r w:rsidR="008D0453" w:rsidRPr="002400F9">
        <w:t xml:space="preserve">Crude </w:t>
      </w:r>
      <w:r w:rsidRPr="002400F9">
        <w:t xml:space="preserve">odds ratio </w:t>
      </w:r>
      <w:r w:rsidR="008D0453">
        <w:t xml:space="preserve">was </w:t>
      </w:r>
      <w:r w:rsidR="008D0453" w:rsidRPr="002400F9">
        <w:t xml:space="preserve">calculated using RevMan for the purpose of this submission, using n values derived from the percentages </w:t>
      </w:r>
      <w:r>
        <w:t>presented in Palmer 2012 (Table 2)</w:t>
      </w:r>
      <w:r w:rsidR="008D0453" w:rsidRPr="002400F9">
        <w:t xml:space="preserve"> and N from the values presente</w:t>
      </w:r>
      <w:r>
        <w:t xml:space="preserve">d in Palmer </w:t>
      </w:r>
      <w:r w:rsidR="008D0453">
        <w:t>2012</w:t>
      </w:r>
      <w:r w:rsidR="00303D7C">
        <w:t xml:space="preserve"> (</w:t>
      </w:r>
      <w:r w:rsidR="008D0453">
        <w:t>Table 1</w:t>
      </w:r>
      <w:r w:rsidR="00303D7C">
        <w:t>)</w:t>
      </w:r>
      <w:r w:rsidR="008D0453">
        <w:t xml:space="preserve">. </w:t>
      </w:r>
    </w:p>
    <w:p w:rsidR="00A157D7" w:rsidRDefault="00A157D7" w:rsidP="00A157D7">
      <w:r>
        <w:lastRenderedPageBreak/>
        <w:t xml:space="preserve">There was a significant reduction in inadequate smear reports and in negative smear reports, and a significant increase in low-grade cytology reports in the imager arm. There was no significant difference in the reporting rate of </w:t>
      </w:r>
      <w:r w:rsidR="00906C98">
        <w:t>HSIL</w:t>
      </w:r>
      <w:r w:rsidR="00303D7C">
        <w:t xml:space="preserve"> cytology between the </w:t>
      </w:r>
      <w:r>
        <w:t>arms</w:t>
      </w:r>
    </w:p>
    <w:p w:rsidR="0090540A" w:rsidRDefault="0090540A" w:rsidP="0090540A">
      <w:pPr>
        <w:pStyle w:val="Caption"/>
      </w:pPr>
      <w:bookmarkStart w:id="486" w:name="_Ref332098598"/>
      <w:bookmarkStart w:id="487" w:name="_Toc335666047"/>
      <w:bookmarkStart w:id="488" w:name="_Toc337547012"/>
      <w:r>
        <w:t xml:space="preserve">Table </w:t>
      </w:r>
      <w:fldSimple w:instr=" SEQ Table \* ARABIC ">
        <w:r w:rsidR="003361A8">
          <w:rPr>
            <w:noProof/>
          </w:rPr>
          <w:t>75</w:t>
        </w:r>
      </w:fldSimple>
      <w:bookmarkEnd w:id="486"/>
      <w:r>
        <w:tab/>
        <w:t xml:space="preserve">Test </w:t>
      </w:r>
      <w:r w:rsidR="00BC5AC9">
        <w:t>yield comparison (by cytology)—</w:t>
      </w:r>
      <w:r w:rsidRPr="00AB0AC1">
        <w:t>LBC manual versus LBC autom</w:t>
      </w:r>
      <w:r w:rsidR="00970548">
        <w:t xml:space="preserve">ated (ThinPrep): Palmer </w:t>
      </w:r>
      <w:r w:rsidRPr="00AB0AC1">
        <w:t>2012</w:t>
      </w:r>
      <w:bookmarkEnd w:id="476"/>
      <w:bookmarkEnd w:id="487"/>
      <w:bookmarkEnd w:id="48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134"/>
        <w:gridCol w:w="993"/>
        <w:gridCol w:w="1122"/>
        <w:gridCol w:w="856"/>
        <w:gridCol w:w="860"/>
        <w:gridCol w:w="1414"/>
        <w:gridCol w:w="1270"/>
      </w:tblGrid>
      <w:tr w:rsidR="0090540A" w:rsidRPr="00970548" w:rsidTr="00E315F4">
        <w:tc>
          <w:tcPr>
            <w:tcW w:w="1242" w:type="dxa"/>
          </w:tcPr>
          <w:p w:rsidR="0090540A" w:rsidRPr="00970548" w:rsidRDefault="0090540A" w:rsidP="0090540A">
            <w:pPr>
              <w:pStyle w:val="Tabletext"/>
              <w:rPr>
                <w:b/>
              </w:rPr>
            </w:pPr>
          </w:p>
        </w:tc>
        <w:tc>
          <w:tcPr>
            <w:tcW w:w="2127" w:type="dxa"/>
            <w:gridSpan w:val="2"/>
          </w:tcPr>
          <w:p w:rsidR="0090540A" w:rsidRPr="00970548" w:rsidRDefault="0090540A" w:rsidP="0090540A">
            <w:pPr>
              <w:pStyle w:val="Tabletext"/>
              <w:rPr>
                <w:b/>
              </w:rPr>
            </w:pPr>
            <w:r w:rsidRPr="00970548">
              <w:rPr>
                <w:b/>
              </w:rPr>
              <w:t>LBC Manual N=90551</w:t>
            </w:r>
          </w:p>
        </w:tc>
        <w:tc>
          <w:tcPr>
            <w:tcW w:w="1978" w:type="dxa"/>
            <w:gridSpan w:val="2"/>
          </w:tcPr>
          <w:p w:rsidR="0090540A" w:rsidRPr="00970548" w:rsidRDefault="00970548" w:rsidP="0090540A">
            <w:pPr>
              <w:pStyle w:val="Tabletext"/>
              <w:rPr>
                <w:b/>
              </w:rPr>
            </w:pPr>
            <w:r>
              <w:rPr>
                <w:b/>
              </w:rPr>
              <w:t>LBC a</w:t>
            </w:r>
            <w:r w:rsidR="0090540A" w:rsidRPr="00970548">
              <w:rPr>
                <w:b/>
              </w:rPr>
              <w:t>utomated N=79366</w:t>
            </w:r>
          </w:p>
        </w:tc>
        <w:tc>
          <w:tcPr>
            <w:tcW w:w="860" w:type="dxa"/>
          </w:tcPr>
          <w:p w:rsidR="0090540A" w:rsidRPr="00970548" w:rsidRDefault="00970548" w:rsidP="0090540A">
            <w:pPr>
              <w:pStyle w:val="Tabletext"/>
              <w:rPr>
                <w:b/>
              </w:rPr>
            </w:pPr>
            <w:r>
              <w:rPr>
                <w:b/>
              </w:rPr>
              <w:t>P v</w:t>
            </w:r>
            <w:r w:rsidR="0090540A" w:rsidRPr="00970548">
              <w:rPr>
                <w:b/>
              </w:rPr>
              <w:t>alue</w:t>
            </w:r>
            <w:r w:rsidR="0090540A" w:rsidRPr="00970548">
              <w:rPr>
                <w:b/>
                <w:vertAlign w:val="superscript"/>
              </w:rPr>
              <w:t>b</w:t>
            </w:r>
          </w:p>
        </w:tc>
        <w:tc>
          <w:tcPr>
            <w:tcW w:w="1414" w:type="dxa"/>
          </w:tcPr>
          <w:p w:rsidR="0090540A" w:rsidRPr="00970548" w:rsidRDefault="0090540A" w:rsidP="0090540A">
            <w:pPr>
              <w:pStyle w:val="Tabletext"/>
              <w:rPr>
                <w:b/>
              </w:rPr>
            </w:pPr>
            <w:r w:rsidRPr="00970548">
              <w:rPr>
                <w:b/>
              </w:rPr>
              <w:t>Crude OR</w:t>
            </w:r>
            <w:r w:rsidRPr="00970548">
              <w:rPr>
                <w:b/>
                <w:vertAlign w:val="superscript"/>
              </w:rPr>
              <w:t>c</w:t>
            </w:r>
            <w:r w:rsidR="00E315F4" w:rsidRPr="00970548">
              <w:rPr>
                <w:b/>
              </w:rPr>
              <w:t xml:space="preserve"> [</w:t>
            </w:r>
            <w:r w:rsidR="005E0D57">
              <w:rPr>
                <w:b/>
              </w:rPr>
              <w:t>95% CI</w:t>
            </w:r>
            <w:r w:rsidR="00E315F4" w:rsidRPr="00970548">
              <w:rPr>
                <w:b/>
              </w:rPr>
              <w:t>]</w:t>
            </w:r>
          </w:p>
        </w:tc>
        <w:tc>
          <w:tcPr>
            <w:tcW w:w="1270" w:type="dxa"/>
          </w:tcPr>
          <w:p w:rsidR="0090540A" w:rsidRPr="00970548" w:rsidRDefault="0090540A" w:rsidP="0090540A">
            <w:pPr>
              <w:pStyle w:val="Tabletext"/>
              <w:rPr>
                <w:b/>
              </w:rPr>
            </w:pPr>
            <w:r w:rsidRPr="00970548">
              <w:rPr>
                <w:b/>
              </w:rPr>
              <w:t>Adjusted OR (</w:t>
            </w:r>
            <w:r w:rsidR="005E0D57">
              <w:rPr>
                <w:b/>
              </w:rPr>
              <w:t>95% CI</w:t>
            </w:r>
            <w:r w:rsidRPr="00970548">
              <w:rPr>
                <w:b/>
              </w:rPr>
              <w:t>)</w:t>
            </w:r>
          </w:p>
        </w:tc>
      </w:tr>
      <w:tr w:rsidR="0090540A" w:rsidTr="00E315F4">
        <w:tc>
          <w:tcPr>
            <w:tcW w:w="1242" w:type="dxa"/>
          </w:tcPr>
          <w:p w:rsidR="0090540A" w:rsidRDefault="0090540A" w:rsidP="0090540A">
            <w:pPr>
              <w:pStyle w:val="Tabletext"/>
            </w:pPr>
          </w:p>
        </w:tc>
        <w:tc>
          <w:tcPr>
            <w:tcW w:w="1134" w:type="dxa"/>
          </w:tcPr>
          <w:p w:rsidR="0090540A" w:rsidRDefault="0090540A" w:rsidP="0090540A">
            <w:pPr>
              <w:pStyle w:val="Tabletext"/>
            </w:pPr>
            <w:proofErr w:type="gramStart"/>
            <w:r>
              <w:t>n</w:t>
            </w:r>
            <w:r w:rsidRPr="002C281A">
              <w:rPr>
                <w:vertAlign w:val="superscript"/>
              </w:rPr>
              <w:t>a</w:t>
            </w:r>
            <w:proofErr w:type="gramEnd"/>
            <w:r>
              <w:t xml:space="preserve"> (%)</w:t>
            </w:r>
          </w:p>
        </w:tc>
        <w:tc>
          <w:tcPr>
            <w:tcW w:w="993" w:type="dxa"/>
          </w:tcPr>
          <w:p w:rsidR="0090540A" w:rsidRDefault="0090540A" w:rsidP="0090540A">
            <w:pPr>
              <w:pStyle w:val="Tabletext"/>
            </w:pPr>
            <w:r>
              <w:t>95% CI</w:t>
            </w:r>
          </w:p>
        </w:tc>
        <w:tc>
          <w:tcPr>
            <w:tcW w:w="1122" w:type="dxa"/>
          </w:tcPr>
          <w:p w:rsidR="0090540A" w:rsidRDefault="0090540A" w:rsidP="0090540A">
            <w:pPr>
              <w:pStyle w:val="Tabletext"/>
            </w:pPr>
            <w:proofErr w:type="gramStart"/>
            <w:r>
              <w:t>n</w:t>
            </w:r>
            <w:r w:rsidRPr="002C281A">
              <w:rPr>
                <w:vertAlign w:val="superscript"/>
              </w:rPr>
              <w:t>a</w:t>
            </w:r>
            <w:proofErr w:type="gramEnd"/>
            <w:r>
              <w:t xml:space="preserve"> (%)</w:t>
            </w:r>
          </w:p>
        </w:tc>
        <w:tc>
          <w:tcPr>
            <w:tcW w:w="856" w:type="dxa"/>
          </w:tcPr>
          <w:p w:rsidR="0090540A" w:rsidRDefault="0090540A" w:rsidP="0090540A">
            <w:pPr>
              <w:pStyle w:val="Tabletext"/>
            </w:pPr>
            <w:r>
              <w:t>95% CI</w:t>
            </w:r>
          </w:p>
        </w:tc>
        <w:tc>
          <w:tcPr>
            <w:tcW w:w="860" w:type="dxa"/>
          </w:tcPr>
          <w:p w:rsidR="0090540A" w:rsidRDefault="0090540A" w:rsidP="0090540A">
            <w:pPr>
              <w:pStyle w:val="Tabletext"/>
            </w:pPr>
          </w:p>
        </w:tc>
        <w:tc>
          <w:tcPr>
            <w:tcW w:w="1414" w:type="dxa"/>
          </w:tcPr>
          <w:p w:rsidR="0090540A" w:rsidRDefault="0090540A" w:rsidP="0090540A">
            <w:pPr>
              <w:pStyle w:val="Tabletext"/>
            </w:pPr>
          </w:p>
        </w:tc>
        <w:tc>
          <w:tcPr>
            <w:tcW w:w="1270" w:type="dxa"/>
          </w:tcPr>
          <w:p w:rsidR="0090540A" w:rsidRDefault="0090540A" w:rsidP="0090540A">
            <w:pPr>
              <w:pStyle w:val="Tabletext"/>
            </w:pPr>
          </w:p>
        </w:tc>
      </w:tr>
      <w:tr w:rsidR="0090540A" w:rsidTr="00E315F4">
        <w:tc>
          <w:tcPr>
            <w:tcW w:w="1242" w:type="dxa"/>
          </w:tcPr>
          <w:p w:rsidR="0090540A" w:rsidRDefault="0090540A" w:rsidP="0090540A">
            <w:pPr>
              <w:pStyle w:val="Tabletext"/>
            </w:pPr>
            <w:r>
              <w:t>Inadequate</w:t>
            </w:r>
          </w:p>
        </w:tc>
        <w:tc>
          <w:tcPr>
            <w:tcW w:w="1134" w:type="dxa"/>
          </w:tcPr>
          <w:p w:rsidR="0090540A" w:rsidRDefault="0090540A" w:rsidP="0090540A">
            <w:pPr>
              <w:pStyle w:val="Tabletext"/>
            </w:pPr>
            <w:r>
              <w:t>2445 (2.7)</w:t>
            </w:r>
          </w:p>
        </w:tc>
        <w:tc>
          <w:tcPr>
            <w:tcW w:w="993" w:type="dxa"/>
          </w:tcPr>
          <w:p w:rsidR="0090540A" w:rsidRDefault="0090540A" w:rsidP="0090540A">
            <w:pPr>
              <w:pStyle w:val="Tabletext"/>
            </w:pPr>
            <w:r>
              <w:t>2.6</w:t>
            </w:r>
            <w:r w:rsidR="005E0D57">
              <w:t>–</w:t>
            </w:r>
            <w:r>
              <w:t>2.8</w:t>
            </w:r>
          </w:p>
        </w:tc>
        <w:tc>
          <w:tcPr>
            <w:tcW w:w="1122" w:type="dxa"/>
          </w:tcPr>
          <w:p w:rsidR="0090540A" w:rsidRDefault="0090540A" w:rsidP="0090540A">
            <w:pPr>
              <w:pStyle w:val="Tabletext"/>
            </w:pPr>
            <w:r>
              <w:t>1508 (1.9)</w:t>
            </w:r>
          </w:p>
        </w:tc>
        <w:tc>
          <w:tcPr>
            <w:tcW w:w="856" w:type="dxa"/>
          </w:tcPr>
          <w:p w:rsidR="0090540A" w:rsidRDefault="0090540A" w:rsidP="0090540A">
            <w:pPr>
              <w:pStyle w:val="Tabletext"/>
            </w:pPr>
            <w:r>
              <w:t>1.8</w:t>
            </w:r>
            <w:r w:rsidR="005E0D57">
              <w:t>–</w:t>
            </w:r>
            <w:r>
              <w:t>2.0</w:t>
            </w:r>
          </w:p>
        </w:tc>
        <w:tc>
          <w:tcPr>
            <w:tcW w:w="860" w:type="dxa"/>
          </w:tcPr>
          <w:p w:rsidR="0090540A" w:rsidRDefault="0090540A" w:rsidP="0090540A">
            <w:pPr>
              <w:pStyle w:val="Tabletext"/>
            </w:pPr>
            <w:r>
              <w:t>0.0001</w:t>
            </w:r>
          </w:p>
        </w:tc>
        <w:tc>
          <w:tcPr>
            <w:tcW w:w="1414" w:type="dxa"/>
            <w:vAlign w:val="center"/>
          </w:tcPr>
          <w:p w:rsidR="0090540A" w:rsidRPr="00116CCC" w:rsidRDefault="0090540A" w:rsidP="0090540A">
            <w:pPr>
              <w:pStyle w:val="Tabletext"/>
            </w:pPr>
            <w:r>
              <w:t>1.43 [1.34, 1.53]</w:t>
            </w:r>
          </w:p>
        </w:tc>
        <w:tc>
          <w:tcPr>
            <w:tcW w:w="1270" w:type="dxa"/>
          </w:tcPr>
          <w:p w:rsidR="0090540A" w:rsidRDefault="0090540A" w:rsidP="0090540A">
            <w:pPr>
              <w:pStyle w:val="Tabletext"/>
            </w:pPr>
            <w:r>
              <w:t>NR</w:t>
            </w:r>
          </w:p>
        </w:tc>
      </w:tr>
      <w:tr w:rsidR="0090540A" w:rsidTr="00E315F4">
        <w:tc>
          <w:tcPr>
            <w:tcW w:w="1242" w:type="dxa"/>
          </w:tcPr>
          <w:p w:rsidR="0090540A" w:rsidRDefault="0090540A" w:rsidP="0090540A">
            <w:pPr>
              <w:pStyle w:val="Tabletext"/>
            </w:pPr>
            <w:r>
              <w:t>Negative</w:t>
            </w:r>
          </w:p>
        </w:tc>
        <w:tc>
          <w:tcPr>
            <w:tcW w:w="1134" w:type="dxa"/>
          </w:tcPr>
          <w:p w:rsidR="0090540A" w:rsidRDefault="0090540A" w:rsidP="0090540A">
            <w:pPr>
              <w:pStyle w:val="Tabletext"/>
            </w:pPr>
            <w:r>
              <w:t>82492 (91.1)</w:t>
            </w:r>
          </w:p>
        </w:tc>
        <w:tc>
          <w:tcPr>
            <w:tcW w:w="993" w:type="dxa"/>
          </w:tcPr>
          <w:p w:rsidR="0090540A" w:rsidRDefault="0090540A" w:rsidP="0090540A">
            <w:pPr>
              <w:pStyle w:val="Tabletext"/>
            </w:pPr>
            <w:r>
              <w:t>90.9</w:t>
            </w:r>
            <w:r w:rsidR="005E0D57">
              <w:t>–</w:t>
            </w:r>
            <w:r>
              <w:t>91.3</w:t>
            </w:r>
          </w:p>
        </w:tc>
        <w:tc>
          <w:tcPr>
            <w:tcW w:w="1122" w:type="dxa"/>
          </w:tcPr>
          <w:p w:rsidR="0090540A" w:rsidRDefault="0090540A" w:rsidP="0090540A">
            <w:pPr>
              <w:pStyle w:val="Tabletext"/>
            </w:pPr>
            <w:r>
              <w:t>71906 (90.6)</w:t>
            </w:r>
          </w:p>
        </w:tc>
        <w:tc>
          <w:tcPr>
            <w:tcW w:w="856" w:type="dxa"/>
          </w:tcPr>
          <w:p w:rsidR="0090540A" w:rsidRDefault="0090540A" w:rsidP="0090540A">
            <w:pPr>
              <w:pStyle w:val="Tabletext"/>
            </w:pPr>
            <w:r>
              <w:t>90.4</w:t>
            </w:r>
            <w:r w:rsidR="005E0D57">
              <w:t>–</w:t>
            </w:r>
            <w:r>
              <w:t>90.8</w:t>
            </w:r>
          </w:p>
        </w:tc>
        <w:tc>
          <w:tcPr>
            <w:tcW w:w="860" w:type="dxa"/>
          </w:tcPr>
          <w:p w:rsidR="0090540A" w:rsidRPr="00FD55B6" w:rsidRDefault="0090540A" w:rsidP="0090540A">
            <w:pPr>
              <w:pStyle w:val="Tabletext"/>
            </w:pPr>
            <w:r>
              <w:t>0.0003</w:t>
            </w:r>
          </w:p>
        </w:tc>
        <w:tc>
          <w:tcPr>
            <w:tcW w:w="1414" w:type="dxa"/>
            <w:vAlign w:val="center"/>
          </w:tcPr>
          <w:p w:rsidR="0090540A" w:rsidRPr="00116CCC" w:rsidRDefault="0090540A" w:rsidP="0090540A">
            <w:pPr>
              <w:pStyle w:val="Tabletext"/>
            </w:pPr>
            <w:r>
              <w:t>1.06 [1.03, 1.10]</w:t>
            </w:r>
          </w:p>
        </w:tc>
        <w:tc>
          <w:tcPr>
            <w:tcW w:w="1270" w:type="dxa"/>
          </w:tcPr>
          <w:p w:rsidR="0090540A" w:rsidRDefault="0090540A" w:rsidP="0090540A">
            <w:pPr>
              <w:pStyle w:val="Tabletext"/>
            </w:pPr>
            <w:r>
              <w:t>NR</w:t>
            </w:r>
          </w:p>
        </w:tc>
      </w:tr>
      <w:tr w:rsidR="0090540A" w:rsidTr="00E315F4">
        <w:tc>
          <w:tcPr>
            <w:tcW w:w="1242" w:type="dxa"/>
          </w:tcPr>
          <w:p w:rsidR="0090540A" w:rsidRDefault="00D66611" w:rsidP="0090540A">
            <w:pPr>
              <w:pStyle w:val="Tabletext"/>
            </w:pPr>
            <w:r>
              <w:t>LSIL</w:t>
            </w:r>
          </w:p>
        </w:tc>
        <w:tc>
          <w:tcPr>
            <w:tcW w:w="1134" w:type="dxa"/>
          </w:tcPr>
          <w:p w:rsidR="0090540A" w:rsidRDefault="0090540A" w:rsidP="0090540A">
            <w:pPr>
              <w:pStyle w:val="Tabletext"/>
            </w:pPr>
            <w:r>
              <w:t>6791 (7.5)</w:t>
            </w:r>
          </w:p>
        </w:tc>
        <w:tc>
          <w:tcPr>
            <w:tcW w:w="993" w:type="dxa"/>
          </w:tcPr>
          <w:p w:rsidR="0090540A" w:rsidRDefault="0090540A" w:rsidP="0090540A">
            <w:pPr>
              <w:pStyle w:val="Tabletext"/>
            </w:pPr>
            <w:r>
              <w:t>7.4</w:t>
            </w:r>
            <w:r w:rsidR="005E0D57">
              <w:t>–</w:t>
            </w:r>
            <w:r>
              <w:t>7.7</w:t>
            </w:r>
          </w:p>
        </w:tc>
        <w:tc>
          <w:tcPr>
            <w:tcW w:w="1122" w:type="dxa"/>
          </w:tcPr>
          <w:p w:rsidR="0090540A" w:rsidRDefault="0090540A" w:rsidP="0090540A">
            <w:pPr>
              <w:pStyle w:val="Tabletext"/>
            </w:pPr>
            <w:r>
              <w:t>6349 (8.0)</w:t>
            </w:r>
          </w:p>
        </w:tc>
        <w:tc>
          <w:tcPr>
            <w:tcW w:w="856" w:type="dxa"/>
          </w:tcPr>
          <w:p w:rsidR="0090540A" w:rsidRDefault="0090540A" w:rsidP="0090540A">
            <w:pPr>
              <w:pStyle w:val="Tabletext"/>
            </w:pPr>
            <w:r>
              <w:t>7.8</w:t>
            </w:r>
            <w:r w:rsidR="005E0D57">
              <w:t>–</w:t>
            </w:r>
            <w:r>
              <w:t>8.2</w:t>
            </w:r>
          </w:p>
        </w:tc>
        <w:tc>
          <w:tcPr>
            <w:tcW w:w="860" w:type="dxa"/>
          </w:tcPr>
          <w:p w:rsidR="0090540A" w:rsidRPr="00FD55B6" w:rsidRDefault="0090540A" w:rsidP="0090540A">
            <w:pPr>
              <w:pStyle w:val="Tabletext"/>
            </w:pPr>
            <w:r>
              <w:t>0.0008</w:t>
            </w:r>
          </w:p>
        </w:tc>
        <w:tc>
          <w:tcPr>
            <w:tcW w:w="1414" w:type="dxa"/>
            <w:vAlign w:val="center"/>
          </w:tcPr>
          <w:p w:rsidR="0090540A" w:rsidRPr="00116CCC" w:rsidRDefault="0090540A" w:rsidP="0090540A">
            <w:pPr>
              <w:pStyle w:val="Tabletext"/>
            </w:pPr>
            <w:r>
              <w:t>0.93 [0.90, 0.97]</w:t>
            </w:r>
          </w:p>
        </w:tc>
        <w:tc>
          <w:tcPr>
            <w:tcW w:w="1270" w:type="dxa"/>
          </w:tcPr>
          <w:p w:rsidR="0090540A" w:rsidRDefault="0090540A" w:rsidP="0090540A">
            <w:pPr>
              <w:pStyle w:val="Tabletext"/>
            </w:pPr>
            <w:r>
              <w:t>NR</w:t>
            </w:r>
          </w:p>
        </w:tc>
      </w:tr>
      <w:tr w:rsidR="0090540A" w:rsidTr="00E315F4">
        <w:tc>
          <w:tcPr>
            <w:tcW w:w="1242" w:type="dxa"/>
          </w:tcPr>
          <w:p w:rsidR="0090540A" w:rsidRDefault="00D66611" w:rsidP="0090540A">
            <w:pPr>
              <w:pStyle w:val="Tabletext"/>
            </w:pPr>
            <w:r>
              <w:t>HSIL</w:t>
            </w:r>
          </w:p>
        </w:tc>
        <w:tc>
          <w:tcPr>
            <w:tcW w:w="1134" w:type="dxa"/>
          </w:tcPr>
          <w:p w:rsidR="0090540A" w:rsidRDefault="0090540A" w:rsidP="0090540A">
            <w:pPr>
              <w:pStyle w:val="Tabletext"/>
            </w:pPr>
            <w:r>
              <w:t>1268 (1.4)</w:t>
            </w:r>
          </w:p>
        </w:tc>
        <w:tc>
          <w:tcPr>
            <w:tcW w:w="993" w:type="dxa"/>
          </w:tcPr>
          <w:p w:rsidR="0090540A" w:rsidRDefault="0090540A" w:rsidP="0090540A">
            <w:pPr>
              <w:pStyle w:val="Tabletext"/>
            </w:pPr>
            <w:r>
              <w:t>1.3</w:t>
            </w:r>
            <w:r w:rsidR="005E0D57">
              <w:t>–</w:t>
            </w:r>
            <w:r>
              <w:t>1.5</w:t>
            </w:r>
          </w:p>
        </w:tc>
        <w:tc>
          <w:tcPr>
            <w:tcW w:w="1122" w:type="dxa"/>
          </w:tcPr>
          <w:p w:rsidR="0090540A" w:rsidRDefault="0090540A" w:rsidP="0090540A">
            <w:pPr>
              <w:pStyle w:val="Tabletext"/>
            </w:pPr>
            <w:r>
              <w:t>1190 (1.5)</w:t>
            </w:r>
          </w:p>
        </w:tc>
        <w:tc>
          <w:tcPr>
            <w:tcW w:w="856" w:type="dxa"/>
          </w:tcPr>
          <w:p w:rsidR="0090540A" w:rsidRDefault="0090540A" w:rsidP="0090540A">
            <w:pPr>
              <w:pStyle w:val="Tabletext"/>
            </w:pPr>
            <w:r>
              <w:t>1.4</w:t>
            </w:r>
            <w:r w:rsidR="005E0D57">
              <w:t>–</w:t>
            </w:r>
            <w:r>
              <w:t>1.5</w:t>
            </w:r>
          </w:p>
        </w:tc>
        <w:tc>
          <w:tcPr>
            <w:tcW w:w="860" w:type="dxa"/>
          </w:tcPr>
          <w:p w:rsidR="0090540A" w:rsidRPr="00FD55B6" w:rsidRDefault="0090540A" w:rsidP="0090540A">
            <w:pPr>
              <w:pStyle w:val="Tabletext"/>
            </w:pPr>
            <w:r>
              <w:t>0.43</w:t>
            </w:r>
          </w:p>
        </w:tc>
        <w:tc>
          <w:tcPr>
            <w:tcW w:w="1414" w:type="dxa"/>
            <w:vAlign w:val="center"/>
          </w:tcPr>
          <w:p w:rsidR="0090540A" w:rsidRPr="00116CCC" w:rsidRDefault="0090540A" w:rsidP="0090540A">
            <w:pPr>
              <w:pStyle w:val="Tabletext"/>
            </w:pPr>
            <w:r>
              <w:t>0.93 [0.86, 1.01]</w:t>
            </w:r>
          </w:p>
        </w:tc>
        <w:tc>
          <w:tcPr>
            <w:tcW w:w="1270" w:type="dxa"/>
          </w:tcPr>
          <w:p w:rsidR="0090540A" w:rsidRPr="002C281A" w:rsidRDefault="0090540A" w:rsidP="0090540A">
            <w:pPr>
              <w:pStyle w:val="Tabletext"/>
              <w:rPr>
                <w:b/>
              </w:rPr>
            </w:pPr>
            <w:r>
              <w:t>NR</w:t>
            </w:r>
          </w:p>
        </w:tc>
      </w:tr>
      <w:tr w:rsidR="00E315F4" w:rsidTr="00E315F4">
        <w:tc>
          <w:tcPr>
            <w:tcW w:w="8891" w:type="dxa"/>
            <w:gridSpan w:val="8"/>
          </w:tcPr>
          <w:p w:rsidR="00E315F4" w:rsidRDefault="00970548" w:rsidP="00970548">
            <w:pPr>
              <w:pStyle w:val="Tabletext"/>
            </w:pPr>
            <w:r>
              <w:t xml:space="preserve">Source: Palmer </w:t>
            </w:r>
            <w:r w:rsidR="00E315F4">
              <w:t>2012 Table 2</w:t>
            </w:r>
          </w:p>
        </w:tc>
      </w:tr>
    </w:tbl>
    <w:p w:rsidR="0090540A" w:rsidRPr="002C281A" w:rsidRDefault="0090540A" w:rsidP="00970548">
      <w:pPr>
        <w:pStyle w:val="Tabletext"/>
      </w:pPr>
      <w:r w:rsidRPr="002C281A">
        <w:t>Abbreviations:</w:t>
      </w:r>
      <w:r>
        <w:t xml:space="preserve"> OR, odds ratio; </w:t>
      </w:r>
      <w:r w:rsidR="005E0D57">
        <w:t>95% CI</w:t>
      </w:r>
      <w:r>
        <w:t>, 95% confidence interval; NR, not reported</w:t>
      </w:r>
    </w:p>
    <w:p w:rsidR="0090540A" w:rsidRPr="002400F9" w:rsidRDefault="0090540A" w:rsidP="00AB012A">
      <w:pPr>
        <w:pStyle w:val="Tabletext"/>
        <w:numPr>
          <w:ilvl w:val="0"/>
          <w:numId w:val="44"/>
        </w:numPr>
      </w:pPr>
      <w:proofErr w:type="gramStart"/>
      <w:r w:rsidRPr="002400F9">
        <w:t>n</w:t>
      </w:r>
      <w:proofErr w:type="gramEnd"/>
      <w:r w:rsidRPr="002400F9">
        <w:t xml:space="preserve"> manually back calculated from percentages presented in Palmer </w:t>
      </w:r>
      <w:r w:rsidR="005E0D57">
        <w:t xml:space="preserve"> </w:t>
      </w:r>
      <w:r w:rsidRPr="002400F9">
        <w:t xml:space="preserve"> 2012, Table 2. A rounding error is apparent within the percentage yield presented for LBC automated arm totalling 100.1% resulting in a back calculation total N of 79445, that is 0.001% higher than the reported N of 79366. </w:t>
      </w:r>
    </w:p>
    <w:p w:rsidR="0090540A" w:rsidRPr="002400F9" w:rsidRDefault="0090540A" w:rsidP="00AB012A">
      <w:pPr>
        <w:pStyle w:val="Tabletext"/>
        <w:numPr>
          <w:ilvl w:val="0"/>
          <w:numId w:val="44"/>
        </w:numPr>
      </w:pPr>
      <w:r w:rsidRPr="002400F9">
        <w:t xml:space="preserve">P values calculated using two-tailed Fisher’s Exact Tests </w:t>
      </w:r>
    </w:p>
    <w:p w:rsidR="00970548" w:rsidRDefault="00970548" w:rsidP="008D0453"/>
    <w:p w:rsidR="008D0453" w:rsidRDefault="008D0453" w:rsidP="008D0453">
      <w:r>
        <w:t>Primary screening was significantly more specific using the imager and an abnormal primary screen was significantly more likely</w:t>
      </w:r>
      <w:r w:rsidR="00970548">
        <w:t xml:space="preserve"> to be reported as abnormal as</w:t>
      </w:r>
      <w:r>
        <w:t xml:space="preserve"> a manual screen. This was true for all abnormalities and for </w:t>
      </w:r>
      <w:r w:rsidR="00906C98">
        <w:t>HSIL</w:t>
      </w:r>
      <w:r>
        <w:t xml:space="preserve"> cytology.</w:t>
      </w:r>
    </w:p>
    <w:p w:rsidR="008D0453" w:rsidRDefault="008D0453" w:rsidP="008D0453">
      <w:r>
        <w:t xml:space="preserve">The sensitivity for any abnormality and for </w:t>
      </w:r>
      <w:r w:rsidR="00906C98">
        <w:t xml:space="preserve">HSILs </w:t>
      </w:r>
      <w:r>
        <w:t>was not signifi</w:t>
      </w:r>
      <w:r w:rsidR="00970548">
        <w:t>cantly different between the</w:t>
      </w:r>
      <w:r>
        <w:t xml:space="preserve"> arms (</w:t>
      </w:r>
      <w:r w:rsidR="00086C77">
        <w:fldChar w:fldCharType="begin"/>
      </w:r>
      <w:r>
        <w:instrText xml:space="preserve"> REF _Ref332103355 \h </w:instrText>
      </w:r>
      <w:r w:rsidR="00086C77">
        <w:fldChar w:fldCharType="separate"/>
      </w:r>
      <w:r w:rsidR="003361A8">
        <w:t xml:space="preserve">Table </w:t>
      </w:r>
      <w:r w:rsidR="003361A8">
        <w:rPr>
          <w:noProof/>
        </w:rPr>
        <w:t>76</w:t>
      </w:r>
      <w:r w:rsidR="00086C77">
        <w:fldChar w:fldCharType="end"/>
      </w:r>
      <w:r>
        <w:t xml:space="preserve">, </w:t>
      </w:r>
      <w:r w:rsidR="00086C77">
        <w:fldChar w:fldCharType="begin"/>
      </w:r>
      <w:r>
        <w:instrText xml:space="preserve"> REF _Ref332103343 \h </w:instrText>
      </w:r>
      <w:r w:rsidR="00086C77">
        <w:fldChar w:fldCharType="separate"/>
      </w:r>
      <w:r w:rsidR="003361A8">
        <w:t xml:space="preserve">Table </w:t>
      </w:r>
      <w:r w:rsidR="003361A8">
        <w:rPr>
          <w:noProof/>
        </w:rPr>
        <w:t>77</w:t>
      </w:r>
      <w:r w:rsidR="00086C77">
        <w:fldChar w:fldCharType="end"/>
      </w:r>
      <w:r>
        <w:t xml:space="preserve">, and </w:t>
      </w:r>
      <w:r w:rsidR="00086C77">
        <w:fldChar w:fldCharType="begin"/>
      </w:r>
      <w:r>
        <w:instrText xml:space="preserve"> REF _Ref332103344 \h </w:instrText>
      </w:r>
      <w:r w:rsidR="00086C77">
        <w:fldChar w:fldCharType="separate"/>
      </w:r>
      <w:r w:rsidR="003361A8">
        <w:t xml:space="preserve">Table </w:t>
      </w:r>
      <w:r w:rsidR="003361A8">
        <w:rPr>
          <w:noProof/>
        </w:rPr>
        <w:t>78</w:t>
      </w:r>
      <w:r w:rsidR="00086C77">
        <w:fldChar w:fldCharType="end"/>
      </w:r>
      <w:r>
        <w:t xml:space="preserve">). </w:t>
      </w:r>
    </w:p>
    <w:p w:rsidR="00E315F4" w:rsidRDefault="00E315F4" w:rsidP="00E315F4">
      <w:pPr>
        <w:pStyle w:val="Caption"/>
      </w:pPr>
      <w:bookmarkStart w:id="489" w:name="_Ref332103355"/>
      <w:bookmarkStart w:id="490" w:name="_Toc331766511"/>
      <w:bookmarkStart w:id="491" w:name="_Toc335666048"/>
      <w:bookmarkStart w:id="492" w:name="_Toc337547013"/>
      <w:r>
        <w:t xml:space="preserve">Table </w:t>
      </w:r>
      <w:fldSimple w:instr=" SEQ Table \* ARABIC ">
        <w:r w:rsidR="003361A8">
          <w:rPr>
            <w:noProof/>
          </w:rPr>
          <w:t>76</w:t>
        </w:r>
      </w:fldSimple>
      <w:bookmarkEnd w:id="489"/>
      <w:r>
        <w:tab/>
        <w:t>Comparison of sensitivity, specificity and predictive value for any grade of abno</w:t>
      </w:r>
      <w:r w:rsidR="00BC5AC9">
        <w:t>rmality—</w:t>
      </w:r>
      <w:r w:rsidR="00970548">
        <w:t xml:space="preserve">LBC manual versus LBC auto (ThinPrep): Palmer </w:t>
      </w:r>
      <w:r>
        <w:t>2012</w:t>
      </w:r>
      <w:bookmarkEnd w:id="490"/>
      <w:bookmarkEnd w:id="491"/>
      <w:bookmarkEnd w:id="49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6"/>
        <w:gridCol w:w="2155"/>
        <w:gridCol w:w="2155"/>
        <w:gridCol w:w="1385"/>
      </w:tblGrid>
      <w:tr w:rsidR="00E315F4" w:rsidRPr="00970548" w:rsidTr="00970548">
        <w:tc>
          <w:tcPr>
            <w:tcW w:w="1797" w:type="pct"/>
            <w:tcBorders>
              <w:right w:val="single" w:sz="4" w:space="0" w:color="auto"/>
            </w:tcBorders>
          </w:tcPr>
          <w:p w:rsidR="00E315F4" w:rsidRPr="00970548" w:rsidRDefault="00E315F4" w:rsidP="00E315F4">
            <w:pPr>
              <w:pStyle w:val="Tabletext"/>
              <w:rPr>
                <w:b/>
              </w:rPr>
            </w:pPr>
          </w:p>
        </w:tc>
        <w:tc>
          <w:tcPr>
            <w:tcW w:w="1212" w:type="pct"/>
            <w:tcBorders>
              <w:top w:val="single" w:sz="4" w:space="0" w:color="auto"/>
              <w:left w:val="single" w:sz="4" w:space="0" w:color="auto"/>
            </w:tcBorders>
          </w:tcPr>
          <w:p w:rsidR="00E315F4" w:rsidRPr="00970548" w:rsidRDefault="00970548" w:rsidP="00E315F4">
            <w:pPr>
              <w:pStyle w:val="Tabletext"/>
              <w:rPr>
                <w:b/>
              </w:rPr>
            </w:pPr>
            <w:r>
              <w:rPr>
                <w:b/>
              </w:rPr>
              <w:t>LBC m</w:t>
            </w:r>
            <w:r w:rsidR="005E0D57">
              <w:rPr>
                <w:b/>
              </w:rPr>
              <w:t xml:space="preserve">anual </w:t>
            </w:r>
          </w:p>
          <w:p w:rsidR="00E315F4" w:rsidRPr="00970548" w:rsidRDefault="00E315F4" w:rsidP="00E315F4">
            <w:pPr>
              <w:pStyle w:val="Tabletext"/>
              <w:rPr>
                <w:b/>
              </w:rPr>
            </w:pPr>
            <w:r w:rsidRPr="00970548">
              <w:rPr>
                <w:b/>
              </w:rPr>
              <w:t>N</w:t>
            </w:r>
            <w:r w:rsidR="005E0D57">
              <w:rPr>
                <w:b/>
              </w:rPr>
              <w:t>=</w:t>
            </w:r>
            <w:r w:rsidRPr="00970548">
              <w:rPr>
                <w:b/>
              </w:rPr>
              <w:t>90551</w:t>
            </w:r>
          </w:p>
        </w:tc>
        <w:tc>
          <w:tcPr>
            <w:tcW w:w="1212" w:type="pct"/>
            <w:tcBorders>
              <w:top w:val="single" w:sz="4" w:space="0" w:color="auto"/>
            </w:tcBorders>
          </w:tcPr>
          <w:p w:rsidR="00E315F4" w:rsidRPr="00970548" w:rsidRDefault="00970548" w:rsidP="00E315F4">
            <w:pPr>
              <w:pStyle w:val="Tabletext"/>
              <w:rPr>
                <w:b/>
              </w:rPr>
            </w:pPr>
            <w:r>
              <w:rPr>
                <w:b/>
              </w:rPr>
              <w:t>LBC a</w:t>
            </w:r>
            <w:r w:rsidR="005E0D57">
              <w:rPr>
                <w:b/>
              </w:rPr>
              <w:t xml:space="preserve">utomated </w:t>
            </w:r>
          </w:p>
          <w:p w:rsidR="00E315F4" w:rsidRPr="00970548" w:rsidRDefault="00E315F4" w:rsidP="00E315F4">
            <w:pPr>
              <w:pStyle w:val="Tabletext"/>
              <w:rPr>
                <w:b/>
              </w:rPr>
            </w:pPr>
            <w:r w:rsidRPr="00970548">
              <w:rPr>
                <w:b/>
              </w:rPr>
              <w:t>N</w:t>
            </w:r>
            <w:r w:rsidR="005E0D57">
              <w:rPr>
                <w:b/>
              </w:rPr>
              <w:t>=</w:t>
            </w:r>
            <w:r w:rsidRPr="00970548">
              <w:rPr>
                <w:b/>
              </w:rPr>
              <w:t>79366</w:t>
            </w:r>
          </w:p>
        </w:tc>
        <w:tc>
          <w:tcPr>
            <w:tcW w:w="779" w:type="pct"/>
          </w:tcPr>
          <w:p w:rsidR="00E315F4" w:rsidRPr="00970548" w:rsidRDefault="00E315F4" w:rsidP="00E315F4">
            <w:pPr>
              <w:pStyle w:val="Tabletext"/>
              <w:rPr>
                <w:b/>
              </w:rPr>
            </w:pPr>
            <w:r w:rsidRPr="00970548">
              <w:rPr>
                <w:b/>
              </w:rPr>
              <w:t>P value</w:t>
            </w:r>
            <w:r w:rsidRPr="00970548">
              <w:rPr>
                <w:b/>
                <w:vertAlign w:val="superscript"/>
              </w:rPr>
              <w:t>a</w:t>
            </w:r>
          </w:p>
        </w:tc>
      </w:tr>
      <w:tr w:rsidR="00E315F4" w:rsidRPr="00767F7A" w:rsidTr="00970548">
        <w:tc>
          <w:tcPr>
            <w:tcW w:w="1797" w:type="pct"/>
            <w:tcBorders>
              <w:right w:val="single" w:sz="4" w:space="0" w:color="auto"/>
            </w:tcBorders>
          </w:tcPr>
          <w:p w:rsidR="00E315F4" w:rsidRDefault="00E315F4" w:rsidP="00E315F4">
            <w:pPr>
              <w:pStyle w:val="Tabletext"/>
            </w:pPr>
            <w:r>
              <w:t>Sensitivity, % (95%</w:t>
            </w:r>
            <w:r w:rsidR="005E0D57">
              <w:t xml:space="preserve"> </w:t>
            </w:r>
            <w:r>
              <w:t>CI)</w:t>
            </w:r>
          </w:p>
        </w:tc>
        <w:tc>
          <w:tcPr>
            <w:tcW w:w="1212" w:type="pct"/>
            <w:tcBorders>
              <w:left w:val="single" w:sz="4" w:space="0" w:color="auto"/>
            </w:tcBorders>
          </w:tcPr>
          <w:p w:rsidR="00E315F4" w:rsidRDefault="00E315F4" w:rsidP="00E315F4">
            <w:pPr>
              <w:pStyle w:val="Tabletext"/>
            </w:pPr>
            <w:r>
              <w:t>94.3 (93.8</w:t>
            </w:r>
            <w:r w:rsidR="005E0D57">
              <w:t>–</w:t>
            </w:r>
            <w:r>
              <w:t>94.8)</w:t>
            </w:r>
          </w:p>
        </w:tc>
        <w:tc>
          <w:tcPr>
            <w:tcW w:w="1212" w:type="pct"/>
          </w:tcPr>
          <w:p w:rsidR="00E315F4" w:rsidRDefault="00E315F4" w:rsidP="00E315F4">
            <w:pPr>
              <w:pStyle w:val="Tabletext"/>
            </w:pPr>
            <w:r>
              <w:t>94.6 (94.0</w:t>
            </w:r>
            <w:r w:rsidR="005E0D57">
              <w:t>–</w:t>
            </w:r>
            <w:r>
              <w:t>95.1)</w:t>
            </w:r>
          </w:p>
        </w:tc>
        <w:tc>
          <w:tcPr>
            <w:tcW w:w="779" w:type="pct"/>
            <w:tcBorders>
              <w:right w:val="single" w:sz="4" w:space="0" w:color="auto"/>
            </w:tcBorders>
          </w:tcPr>
          <w:p w:rsidR="00E315F4" w:rsidRDefault="00E315F4" w:rsidP="00E315F4">
            <w:pPr>
              <w:pStyle w:val="Tabletext"/>
            </w:pPr>
            <w:r>
              <w:t>0.437</w:t>
            </w:r>
          </w:p>
        </w:tc>
      </w:tr>
      <w:tr w:rsidR="00E315F4" w:rsidRPr="00767F7A" w:rsidTr="00970548">
        <w:tc>
          <w:tcPr>
            <w:tcW w:w="1797" w:type="pct"/>
            <w:tcBorders>
              <w:right w:val="single" w:sz="4" w:space="0" w:color="auto"/>
            </w:tcBorders>
          </w:tcPr>
          <w:p w:rsidR="00E315F4" w:rsidRDefault="00E315F4" w:rsidP="00E315F4">
            <w:pPr>
              <w:pStyle w:val="Tabletext"/>
            </w:pPr>
            <w:r>
              <w:t>Specificity,% (95%</w:t>
            </w:r>
            <w:r w:rsidR="005E0D57">
              <w:t xml:space="preserve"> </w:t>
            </w:r>
            <w:r>
              <w:t>CI)</w:t>
            </w:r>
          </w:p>
        </w:tc>
        <w:tc>
          <w:tcPr>
            <w:tcW w:w="1212" w:type="pct"/>
            <w:tcBorders>
              <w:left w:val="single" w:sz="4" w:space="0" w:color="auto"/>
            </w:tcBorders>
          </w:tcPr>
          <w:p w:rsidR="00E315F4" w:rsidRDefault="00E315F4" w:rsidP="00E315F4">
            <w:pPr>
              <w:pStyle w:val="Tabletext"/>
            </w:pPr>
            <w:r>
              <w:t>94.9 (94.7</w:t>
            </w:r>
            <w:r w:rsidR="005E0D57">
              <w:t>–</w:t>
            </w:r>
            <w:r>
              <w:t>95.0)</w:t>
            </w:r>
          </w:p>
        </w:tc>
        <w:tc>
          <w:tcPr>
            <w:tcW w:w="1212" w:type="pct"/>
          </w:tcPr>
          <w:p w:rsidR="00E315F4" w:rsidRDefault="00E315F4" w:rsidP="00E315F4">
            <w:pPr>
              <w:pStyle w:val="Tabletext"/>
            </w:pPr>
            <w:r>
              <w:t>95.6 (95.4</w:t>
            </w:r>
            <w:r w:rsidR="005E0D57">
              <w:t>–</w:t>
            </w:r>
            <w:r>
              <w:t>95.7)</w:t>
            </w:r>
          </w:p>
        </w:tc>
        <w:tc>
          <w:tcPr>
            <w:tcW w:w="779" w:type="pct"/>
            <w:tcBorders>
              <w:right w:val="single" w:sz="4" w:space="0" w:color="auto"/>
            </w:tcBorders>
          </w:tcPr>
          <w:p w:rsidR="00E315F4" w:rsidRPr="0067783C" w:rsidRDefault="00E315F4" w:rsidP="00E315F4">
            <w:pPr>
              <w:pStyle w:val="Tabletext"/>
            </w:pPr>
            <w:r>
              <w:t>&lt;0.0001</w:t>
            </w:r>
          </w:p>
        </w:tc>
      </w:tr>
      <w:tr w:rsidR="00E315F4" w:rsidRPr="00767F7A" w:rsidTr="00970548">
        <w:tc>
          <w:tcPr>
            <w:tcW w:w="1797" w:type="pct"/>
            <w:tcBorders>
              <w:right w:val="single" w:sz="4" w:space="0" w:color="auto"/>
            </w:tcBorders>
          </w:tcPr>
          <w:p w:rsidR="00E315F4" w:rsidRDefault="00E315F4" w:rsidP="00E315F4">
            <w:pPr>
              <w:pStyle w:val="Tabletext"/>
            </w:pPr>
            <w:r>
              <w:t>Predictive value,% (95%</w:t>
            </w:r>
            <w:r w:rsidR="005E0D57">
              <w:t xml:space="preserve"> </w:t>
            </w:r>
            <w:r>
              <w:t>CI)</w:t>
            </w:r>
          </w:p>
        </w:tc>
        <w:tc>
          <w:tcPr>
            <w:tcW w:w="1212" w:type="pct"/>
            <w:tcBorders>
              <w:left w:val="single" w:sz="4" w:space="0" w:color="auto"/>
            </w:tcBorders>
          </w:tcPr>
          <w:p w:rsidR="00E315F4" w:rsidRDefault="00E315F4" w:rsidP="00E315F4">
            <w:pPr>
              <w:pStyle w:val="Tabletext"/>
            </w:pPr>
            <w:r>
              <w:t>63.8 (62.9</w:t>
            </w:r>
            <w:r w:rsidR="005E0D57">
              <w:t>–</w:t>
            </w:r>
            <w:r>
              <w:t>64.6)</w:t>
            </w:r>
          </w:p>
        </w:tc>
        <w:tc>
          <w:tcPr>
            <w:tcW w:w="1212" w:type="pct"/>
          </w:tcPr>
          <w:p w:rsidR="00E315F4" w:rsidRDefault="00E315F4" w:rsidP="00E315F4">
            <w:pPr>
              <w:pStyle w:val="Tabletext"/>
            </w:pPr>
            <w:r>
              <w:t>68.6 (66.7</w:t>
            </w:r>
            <w:r w:rsidR="005E0D57">
              <w:t>–</w:t>
            </w:r>
            <w:r>
              <w:t>69.5)</w:t>
            </w:r>
          </w:p>
        </w:tc>
        <w:tc>
          <w:tcPr>
            <w:tcW w:w="779" w:type="pct"/>
            <w:tcBorders>
              <w:right w:val="single" w:sz="4" w:space="0" w:color="auto"/>
            </w:tcBorders>
          </w:tcPr>
          <w:p w:rsidR="00E315F4" w:rsidRDefault="00E315F4" w:rsidP="00E315F4">
            <w:pPr>
              <w:pStyle w:val="Tabletext"/>
            </w:pPr>
            <w:r>
              <w:t>&lt;0.0001</w:t>
            </w:r>
          </w:p>
        </w:tc>
      </w:tr>
      <w:tr w:rsidR="00E315F4" w:rsidRPr="00767F7A" w:rsidTr="00970548">
        <w:tc>
          <w:tcPr>
            <w:tcW w:w="5000" w:type="pct"/>
            <w:gridSpan w:val="4"/>
            <w:tcBorders>
              <w:right w:val="single" w:sz="4" w:space="0" w:color="auto"/>
            </w:tcBorders>
          </w:tcPr>
          <w:p w:rsidR="00E315F4" w:rsidRDefault="00970548" w:rsidP="00E315F4">
            <w:pPr>
              <w:pStyle w:val="Tabletext"/>
            </w:pPr>
            <w:r>
              <w:t xml:space="preserve">Source: Palmer </w:t>
            </w:r>
            <w:r w:rsidR="00E315F4">
              <w:t>2012, Table 3</w:t>
            </w:r>
          </w:p>
        </w:tc>
      </w:tr>
    </w:tbl>
    <w:p w:rsidR="00E315F4" w:rsidRDefault="00E315F4" w:rsidP="00970548">
      <w:pPr>
        <w:pStyle w:val="Tabletext"/>
      </w:pPr>
      <w:r>
        <w:t>Abbr</w:t>
      </w:r>
      <w:r w:rsidR="005E0D57">
        <w:t xml:space="preserve">eviations: LBC, liquid-based cytology; CI, </w:t>
      </w:r>
      <w:r>
        <w:t>confidence interval</w:t>
      </w:r>
    </w:p>
    <w:p w:rsidR="00E315F4" w:rsidRPr="00270FB9" w:rsidRDefault="00E315F4" w:rsidP="00AB012A">
      <w:pPr>
        <w:pStyle w:val="Tabletext"/>
        <w:numPr>
          <w:ilvl w:val="0"/>
          <w:numId w:val="45"/>
        </w:numPr>
      </w:pPr>
      <w:r w:rsidRPr="00270FB9">
        <w:t>P</w:t>
      </w:r>
      <w:r>
        <w:t xml:space="preserve"> </w:t>
      </w:r>
      <w:r w:rsidRPr="00270FB9">
        <w:t>values calculated using</w:t>
      </w:r>
      <w:r w:rsidR="005E0D57">
        <w:t xml:space="preserve"> two-tailed Fisher’s Exact Test</w:t>
      </w:r>
      <w:r w:rsidRPr="00270FB9">
        <w:t xml:space="preserve"> </w:t>
      </w:r>
    </w:p>
    <w:p w:rsidR="00E315F4" w:rsidRDefault="00E315F4" w:rsidP="00E315F4">
      <w:pPr>
        <w:pStyle w:val="Caption"/>
        <w:keepNext w:val="0"/>
      </w:pPr>
    </w:p>
    <w:p w:rsidR="00E315F4" w:rsidRPr="00BC5AC9" w:rsidRDefault="00E315F4" w:rsidP="00E315F4">
      <w:pPr>
        <w:pStyle w:val="Caption"/>
      </w:pPr>
      <w:bookmarkStart w:id="493" w:name="_Ref332103343"/>
      <w:bookmarkStart w:id="494" w:name="_Toc331766512"/>
      <w:bookmarkStart w:id="495" w:name="_Toc335666049"/>
      <w:bookmarkStart w:id="496" w:name="_Toc337547014"/>
      <w:r>
        <w:lastRenderedPageBreak/>
        <w:t xml:space="preserve">Table </w:t>
      </w:r>
      <w:fldSimple w:instr=" SEQ Table \* ARABIC ">
        <w:r w:rsidR="003361A8">
          <w:rPr>
            <w:noProof/>
          </w:rPr>
          <w:t>77</w:t>
        </w:r>
      </w:fldSimple>
      <w:bookmarkEnd w:id="493"/>
      <w:r>
        <w:tab/>
        <w:t>Comparison of sensitivity, specificity and predictive value for a report of high grade dyskaryosis</w:t>
      </w:r>
      <w:r w:rsidRPr="0073261F">
        <w:rPr>
          <w:vertAlign w:val="superscript"/>
        </w:rPr>
        <w:t>a</w:t>
      </w:r>
      <w:r w:rsidR="00BC5AC9">
        <w:t>—</w:t>
      </w:r>
      <w:r>
        <w:t>LBC man</w:t>
      </w:r>
      <w:r w:rsidR="00BC5AC9">
        <w:t>ual versus LBC a</w:t>
      </w:r>
      <w:r w:rsidR="00970548">
        <w:t xml:space="preserve">uto (ThinPrep): Palmer </w:t>
      </w:r>
      <w:r>
        <w:t>2012</w:t>
      </w:r>
      <w:r w:rsidR="001873A8">
        <w:t>*</w:t>
      </w:r>
      <w:r>
        <w:t>.</w:t>
      </w:r>
      <w:bookmarkEnd w:id="496"/>
      <w:r>
        <w:t xml:space="preserve"> </w:t>
      </w:r>
      <w:bookmarkEnd w:id="494"/>
      <w:bookmarkEnd w:id="49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6"/>
        <w:gridCol w:w="2082"/>
        <w:gridCol w:w="1785"/>
        <w:gridCol w:w="1488"/>
      </w:tblGrid>
      <w:tr w:rsidR="00E315F4" w:rsidRPr="00970548" w:rsidTr="00970548">
        <w:tc>
          <w:tcPr>
            <w:tcW w:w="1988" w:type="pct"/>
            <w:tcBorders>
              <w:right w:val="single" w:sz="4" w:space="0" w:color="auto"/>
            </w:tcBorders>
          </w:tcPr>
          <w:p w:rsidR="00E315F4" w:rsidRPr="00970548" w:rsidRDefault="00E315F4" w:rsidP="00E315F4">
            <w:pPr>
              <w:pStyle w:val="Tabletext"/>
              <w:rPr>
                <w:b/>
              </w:rPr>
            </w:pPr>
          </w:p>
        </w:tc>
        <w:tc>
          <w:tcPr>
            <w:tcW w:w="1171" w:type="pct"/>
            <w:tcBorders>
              <w:top w:val="single" w:sz="4" w:space="0" w:color="auto"/>
              <w:left w:val="single" w:sz="4" w:space="0" w:color="auto"/>
            </w:tcBorders>
          </w:tcPr>
          <w:p w:rsidR="00E315F4" w:rsidRPr="00970548" w:rsidRDefault="00970548" w:rsidP="00E315F4">
            <w:pPr>
              <w:pStyle w:val="Tabletext"/>
              <w:rPr>
                <w:b/>
              </w:rPr>
            </w:pPr>
            <w:r>
              <w:rPr>
                <w:b/>
              </w:rPr>
              <w:t>LBC m</w:t>
            </w:r>
            <w:r w:rsidR="005E0D57">
              <w:rPr>
                <w:b/>
              </w:rPr>
              <w:t xml:space="preserve">anual </w:t>
            </w:r>
          </w:p>
          <w:p w:rsidR="00E315F4" w:rsidRPr="00970548" w:rsidRDefault="00E315F4" w:rsidP="00E315F4">
            <w:pPr>
              <w:pStyle w:val="Tabletext"/>
              <w:rPr>
                <w:b/>
              </w:rPr>
            </w:pPr>
            <w:r w:rsidRPr="00970548">
              <w:rPr>
                <w:b/>
              </w:rPr>
              <w:t>N</w:t>
            </w:r>
            <w:r w:rsidR="005E0D57">
              <w:rPr>
                <w:b/>
              </w:rPr>
              <w:t>=</w:t>
            </w:r>
            <w:r w:rsidRPr="00970548">
              <w:rPr>
                <w:b/>
              </w:rPr>
              <w:t>90551</w:t>
            </w:r>
          </w:p>
        </w:tc>
        <w:tc>
          <w:tcPr>
            <w:tcW w:w="1004" w:type="pct"/>
            <w:tcBorders>
              <w:top w:val="single" w:sz="4" w:space="0" w:color="auto"/>
            </w:tcBorders>
          </w:tcPr>
          <w:p w:rsidR="00E315F4" w:rsidRPr="00970548" w:rsidRDefault="00970548" w:rsidP="00E315F4">
            <w:pPr>
              <w:pStyle w:val="Tabletext"/>
              <w:rPr>
                <w:b/>
              </w:rPr>
            </w:pPr>
            <w:r>
              <w:rPr>
                <w:b/>
              </w:rPr>
              <w:t>LBC a</w:t>
            </w:r>
            <w:r w:rsidR="005E0D57">
              <w:rPr>
                <w:b/>
              </w:rPr>
              <w:t xml:space="preserve">utomated </w:t>
            </w:r>
          </w:p>
          <w:p w:rsidR="00E315F4" w:rsidRPr="00970548" w:rsidRDefault="00E315F4" w:rsidP="00E315F4">
            <w:pPr>
              <w:pStyle w:val="Tabletext"/>
              <w:rPr>
                <w:b/>
              </w:rPr>
            </w:pPr>
            <w:r w:rsidRPr="00970548">
              <w:rPr>
                <w:b/>
              </w:rPr>
              <w:t>N</w:t>
            </w:r>
            <w:r w:rsidR="005E0D57">
              <w:rPr>
                <w:b/>
              </w:rPr>
              <w:t>=</w:t>
            </w:r>
            <w:r w:rsidRPr="00970548">
              <w:rPr>
                <w:b/>
              </w:rPr>
              <w:t>79366</w:t>
            </w:r>
          </w:p>
        </w:tc>
        <w:tc>
          <w:tcPr>
            <w:tcW w:w="837" w:type="pct"/>
          </w:tcPr>
          <w:p w:rsidR="00E315F4" w:rsidRPr="00970548" w:rsidRDefault="00E315F4" w:rsidP="00E315F4">
            <w:pPr>
              <w:pStyle w:val="Tabletext"/>
              <w:rPr>
                <w:b/>
              </w:rPr>
            </w:pPr>
            <w:r w:rsidRPr="00970548">
              <w:rPr>
                <w:b/>
              </w:rPr>
              <w:t>P value</w:t>
            </w:r>
            <w:r w:rsidRPr="00970548">
              <w:rPr>
                <w:b/>
                <w:vertAlign w:val="superscript"/>
              </w:rPr>
              <w:t>b</w:t>
            </w:r>
          </w:p>
        </w:tc>
      </w:tr>
      <w:tr w:rsidR="00E315F4" w:rsidRPr="00767F7A" w:rsidTr="00970548">
        <w:tc>
          <w:tcPr>
            <w:tcW w:w="1988" w:type="pct"/>
            <w:tcBorders>
              <w:right w:val="single" w:sz="4" w:space="0" w:color="auto"/>
            </w:tcBorders>
          </w:tcPr>
          <w:p w:rsidR="00E315F4" w:rsidRDefault="00E315F4" w:rsidP="00E315F4">
            <w:pPr>
              <w:pStyle w:val="Tabletext"/>
            </w:pPr>
            <w:r>
              <w:t>Sensitivity,% (</w:t>
            </w:r>
            <w:r w:rsidR="005E0D57">
              <w:t>95% CI</w:t>
            </w:r>
            <w:r>
              <w:t>)</w:t>
            </w:r>
          </w:p>
        </w:tc>
        <w:tc>
          <w:tcPr>
            <w:tcW w:w="1171" w:type="pct"/>
            <w:tcBorders>
              <w:left w:val="single" w:sz="4" w:space="0" w:color="auto"/>
            </w:tcBorders>
          </w:tcPr>
          <w:p w:rsidR="00E315F4" w:rsidRDefault="00E315F4" w:rsidP="00E315F4">
            <w:pPr>
              <w:pStyle w:val="Tabletext"/>
            </w:pPr>
            <w:r>
              <w:t>95.9 (94.8</w:t>
            </w:r>
            <w:r w:rsidR="005E0D57">
              <w:t>–</w:t>
            </w:r>
            <w:r>
              <w:t>97.2)</w:t>
            </w:r>
          </w:p>
        </w:tc>
        <w:tc>
          <w:tcPr>
            <w:tcW w:w="1004" w:type="pct"/>
          </w:tcPr>
          <w:p w:rsidR="00E315F4" w:rsidRDefault="00E315F4" w:rsidP="00E315F4">
            <w:pPr>
              <w:pStyle w:val="Tabletext"/>
            </w:pPr>
            <w:r>
              <w:t>97.2 (96.1</w:t>
            </w:r>
            <w:r w:rsidR="005E0D57">
              <w:t>–</w:t>
            </w:r>
            <w:r>
              <w:t>98.3)</w:t>
            </w:r>
          </w:p>
        </w:tc>
        <w:tc>
          <w:tcPr>
            <w:tcW w:w="837" w:type="pct"/>
            <w:tcBorders>
              <w:right w:val="single" w:sz="4" w:space="0" w:color="auto"/>
            </w:tcBorders>
          </w:tcPr>
          <w:p w:rsidR="00E315F4" w:rsidRDefault="00E315F4" w:rsidP="00E315F4">
            <w:pPr>
              <w:pStyle w:val="Tabletext"/>
            </w:pPr>
            <w:r>
              <w:t>0.141</w:t>
            </w:r>
          </w:p>
        </w:tc>
      </w:tr>
      <w:tr w:rsidR="00E315F4" w:rsidRPr="00767F7A" w:rsidTr="00970548">
        <w:tc>
          <w:tcPr>
            <w:tcW w:w="1988" w:type="pct"/>
            <w:tcBorders>
              <w:right w:val="single" w:sz="4" w:space="0" w:color="auto"/>
            </w:tcBorders>
          </w:tcPr>
          <w:p w:rsidR="00E315F4" w:rsidRDefault="00E315F4" w:rsidP="00E315F4">
            <w:pPr>
              <w:pStyle w:val="Tabletext"/>
            </w:pPr>
            <w:r>
              <w:t>Specificity,% (</w:t>
            </w:r>
            <w:r w:rsidR="005E0D57">
              <w:t>95% CI</w:t>
            </w:r>
            <w:r>
              <w:t>)</w:t>
            </w:r>
          </w:p>
        </w:tc>
        <w:tc>
          <w:tcPr>
            <w:tcW w:w="1171" w:type="pct"/>
            <w:tcBorders>
              <w:left w:val="single" w:sz="4" w:space="0" w:color="auto"/>
            </w:tcBorders>
          </w:tcPr>
          <w:p w:rsidR="00E315F4" w:rsidRDefault="00E315F4" w:rsidP="00E315F4">
            <w:pPr>
              <w:pStyle w:val="Tabletext"/>
            </w:pPr>
            <w:r>
              <w:t>99.9 (99.9</w:t>
            </w:r>
            <w:r w:rsidR="005E0D57">
              <w:t>–</w:t>
            </w:r>
            <w:r>
              <w:t>100)</w:t>
            </w:r>
          </w:p>
        </w:tc>
        <w:tc>
          <w:tcPr>
            <w:tcW w:w="1004" w:type="pct"/>
          </w:tcPr>
          <w:p w:rsidR="00E315F4" w:rsidRDefault="00E315F4" w:rsidP="00E315F4">
            <w:pPr>
              <w:pStyle w:val="Tabletext"/>
            </w:pPr>
            <w:r>
              <w:t>100 (99.9</w:t>
            </w:r>
            <w:r w:rsidR="005E0D57">
              <w:t>–</w:t>
            </w:r>
            <w:r>
              <w:t>100)</w:t>
            </w:r>
          </w:p>
        </w:tc>
        <w:tc>
          <w:tcPr>
            <w:tcW w:w="837" w:type="pct"/>
            <w:tcBorders>
              <w:right w:val="single" w:sz="4" w:space="0" w:color="auto"/>
            </w:tcBorders>
          </w:tcPr>
          <w:p w:rsidR="00E315F4" w:rsidRPr="0067783C" w:rsidRDefault="00E315F4" w:rsidP="00E315F4">
            <w:pPr>
              <w:pStyle w:val="Tabletext"/>
            </w:pPr>
            <w:r>
              <w:t>0.008</w:t>
            </w:r>
          </w:p>
        </w:tc>
      </w:tr>
      <w:tr w:rsidR="00E315F4" w:rsidRPr="00767F7A" w:rsidTr="00970548">
        <w:tc>
          <w:tcPr>
            <w:tcW w:w="1988" w:type="pct"/>
            <w:tcBorders>
              <w:right w:val="single" w:sz="4" w:space="0" w:color="auto"/>
            </w:tcBorders>
          </w:tcPr>
          <w:p w:rsidR="00E315F4" w:rsidRDefault="00E315F4" w:rsidP="00E315F4">
            <w:pPr>
              <w:pStyle w:val="Tabletext"/>
            </w:pPr>
            <w:r>
              <w:t>Predictive value,% (</w:t>
            </w:r>
            <w:r w:rsidR="005E0D57">
              <w:t>95% CI</w:t>
            </w:r>
            <w:r>
              <w:t>)</w:t>
            </w:r>
          </w:p>
        </w:tc>
        <w:tc>
          <w:tcPr>
            <w:tcW w:w="1171" w:type="pct"/>
            <w:tcBorders>
              <w:left w:val="single" w:sz="4" w:space="0" w:color="auto"/>
            </w:tcBorders>
          </w:tcPr>
          <w:p w:rsidR="00E315F4" w:rsidRDefault="00E315F4" w:rsidP="00E315F4">
            <w:pPr>
              <w:pStyle w:val="Tabletext"/>
            </w:pPr>
            <w:r>
              <w:t>95.1 (93.8</w:t>
            </w:r>
            <w:r w:rsidR="005E0D57">
              <w:t>–</w:t>
            </w:r>
            <w:r>
              <w:t>96.4)</w:t>
            </w:r>
          </w:p>
        </w:tc>
        <w:tc>
          <w:tcPr>
            <w:tcW w:w="1004" w:type="pct"/>
          </w:tcPr>
          <w:p w:rsidR="00E315F4" w:rsidRDefault="00E315F4" w:rsidP="00E315F4">
            <w:pPr>
              <w:pStyle w:val="Tabletext"/>
            </w:pPr>
            <w:r>
              <w:t>97.4 (96.4</w:t>
            </w:r>
            <w:r w:rsidR="005E0D57">
              <w:t>–</w:t>
            </w:r>
            <w:r>
              <w:t>98.4)</w:t>
            </w:r>
          </w:p>
        </w:tc>
        <w:tc>
          <w:tcPr>
            <w:tcW w:w="837" w:type="pct"/>
            <w:tcBorders>
              <w:right w:val="single" w:sz="4" w:space="0" w:color="auto"/>
            </w:tcBorders>
          </w:tcPr>
          <w:p w:rsidR="00E315F4" w:rsidRDefault="00E315F4" w:rsidP="00E315F4">
            <w:pPr>
              <w:pStyle w:val="Tabletext"/>
            </w:pPr>
            <w:r>
              <w:t>0.0095</w:t>
            </w:r>
          </w:p>
        </w:tc>
      </w:tr>
      <w:tr w:rsidR="00E315F4" w:rsidRPr="00767F7A" w:rsidTr="00970548">
        <w:tc>
          <w:tcPr>
            <w:tcW w:w="5000" w:type="pct"/>
            <w:gridSpan w:val="4"/>
            <w:tcBorders>
              <w:right w:val="single" w:sz="4" w:space="0" w:color="auto"/>
            </w:tcBorders>
          </w:tcPr>
          <w:p w:rsidR="00E315F4" w:rsidRDefault="00970548" w:rsidP="00E315F4">
            <w:pPr>
              <w:pStyle w:val="Tabletext"/>
            </w:pPr>
            <w:r>
              <w:t xml:space="preserve">Source: Palmer </w:t>
            </w:r>
            <w:r w:rsidR="00E315F4">
              <w:t>2012, Table 4</w:t>
            </w:r>
          </w:p>
        </w:tc>
      </w:tr>
    </w:tbl>
    <w:p w:rsidR="00E315F4" w:rsidRDefault="00E315F4" w:rsidP="00970548">
      <w:pPr>
        <w:pStyle w:val="Tabletext"/>
      </w:pPr>
      <w:r>
        <w:t>Abbr</w:t>
      </w:r>
      <w:r w:rsidR="00BC5AC9">
        <w:t xml:space="preserve">eviations: </w:t>
      </w:r>
      <w:r>
        <w:t xml:space="preserve">LBC, </w:t>
      </w:r>
      <w:r w:rsidR="005E0D57">
        <w:t xml:space="preserve">liquid-based cytology; CI, </w:t>
      </w:r>
      <w:r>
        <w:t>confidence interval</w:t>
      </w:r>
      <w:r w:rsidR="001873A8">
        <w:br/>
        <w:t xml:space="preserve">*Note: </w:t>
      </w:r>
      <w:r w:rsidR="001873A8" w:rsidRPr="001873A8">
        <w:t>False negatives are those found at interval quality control</w:t>
      </w:r>
    </w:p>
    <w:p w:rsidR="00E315F4" w:rsidRDefault="00E315F4" w:rsidP="00AB012A">
      <w:pPr>
        <w:pStyle w:val="Tabletext"/>
        <w:numPr>
          <w:ilvl w:val="0"/>
          <w:numId w:val="46"/>
        </w:numPr>
      </w:pPr>
      <w:r>
        <w:t>Dyskaryosis is the NHSCSP terminology which correlates to High grade under the two-tier classification or HSIL+ under The Bethes</w:t>
      </w:r>
      <w:r w:rsidR="005E0D57">
        <w:t xml:space="preserve">da System (Source: Palmer </w:t>
      </w:r>
      <w:r>
        <w:t>2012 Box 3, p.4)</w:t>
      </w:r>
    </w:p>
    <w:p w:rsidR="00E315F4" w:rsidRPr="00270FB9" w:rsidRDefault="00E315F4" w:rsidP="00AB012A">
      <w:pPr>
        <w:pStyle w:val="Tabletext"/>
        <w:numPr>
          <w:ilvl w:val="0"/>
          <w:numId w:val="46"/>
        </w:numPr>
      </w:pPr>
      <w:r w:rsidRPr="00270FB9">
        <w:t>P</w:t>
      </w:r>
      <w:r>
        <w:t xml:space="preserve"> </w:t>
      </w:r>
      <w:r w:rsidRPr="00270FB9">
        <w:t>values calculated using</w:t>
      </w:r>
      <w:r w:rsidR="005E0D57">
        <w:t xml:space="preserve"> two-tailed Fisher’s Exact Test</w:t>
      </w:r>
      <w:r w:rsidRPr="00270FB9">
        <w:t xml:space="preserve"> </w:t>
      </w:r>
    </w:p>
    <w:p w:rsidR="00E315F4" w:rsidRDefault="00E315F4" w:rsidP="00E315F4">
      <w:pPr>
        <w:pStyle w:val="Caption"/>
      </w:pPr>
    </w:p>
    <w:p w:rsidR="00E315F4" w:rsidRDefault="00E315F4" w:rsidP="00E315F4">
      <w:pPr>
        <w:pStyle w:val="Caption"/>
      </w:pPr>
      <w:bookmarkStart w:id="497" w:name="_Ref332103344"/>
      <w:bookmarkStart w:id="498" w:name="_Toc331766513"/>
      <w:bookmarkStart w:id="499" w:name="_Toc335666050"/>
      <w:bookmarkStart w:id="500" w:name="_Toc337547015"/>
      <w:r>
        <w:t xml:space="preserve">Table </w:t>
      </w:r>
      <w:fldSimple w:instr=" SEQ Table \* ARABIC ">
        <w:r w:rsidR="003361A8">
          <w:rPr>
            <w:noProof/>
          </w:rPr>
          <w:t>78</w:t>
        </w:r>
      </w:fldSimple>
      <w:bookmarkEnd w:id="497"/>
      <w:r>
        <w:tab/>
        <w:t>Comparison of sensitivity, specificity and predictive value for a report of high grade dyskaryosis</w:t>
      </w:r>
      <w:r w:rsidRPr="0073261F">
        <w:rPr>
          <w:vertAlign w:val="superscript"/>
        </w:rPr>
        <w:t>a</w:t>
      </w:r>
      <w:r w:rsidR="00BC5AC9">
        <w:t>—</w:t>
      </w:r>
      <w:r>
        <w:t>LBC man</w:t>
      </w:r>
      <w:r w:rsidR="00BC5AC9">
        <w:t>ual versus LBC a</w:t>
      </w:r>
      <w:r w:rsidR="00970548">
        <w:t xml:space="preserve">uto (ThinPrep): Palmer </w:t>
      </w:r>
      <w:r>
        <w:t>2012</w:t>
      </w:r>
      <w:r w:rsidR="001873A8">
        <w:t>*</w:t>
      </w:r>
      <w:r>
        <w:t>.</w:t>
      </w:r>
      <w:bookmarkEnd w:id="500"/>
      <w:r>
        <w:t xml:space="preserve"> </w:t>
      </w:r>
      <w:bookmarkEnd w:id="498"/>
      <w:bookmarkEnd w:id="49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3"/>
        <w:gridCol w:w="2232"/>
        <w:gridCol w:w="1933"/>
        <w:gridCol w:w="2233"/>
      </w:tblGrid>
      <w:tr w:rsidR="00E315F4" w:rsidRPr="00970548" w:rsidTr="00970548">
        <w:tc>
          <w:tcPr>
            <w:tcW w:w="1402" w:type="pct"/>
            <w:tcBorders>
              <w:right w:val="single" w:sz="4" w:space="0" w:color="auto"/>
            </w:tcBorders>
          </w:tcPr>
          <w:p w:rsidR="00E315F4" w:rsidRPr="00970548" w:rsidRDefault="00E315F4" w:rsidP="00E315F4">
            <w:pPr>
              <w:pStyle w:val="Tabletext"/>
              <w:rPr>
                <w:b/>
              </w:rPr>
            </w:pPr>
          </w:p>
        </w:tc>
        <w:tc>
          <w:tcPr>
            <w:tcW w:w="1255" w:type="pct"/>
            <w:tcBorders>
              <w:top w:val="single" w:sz="4" w:space="0" w:color="auto"/>
              <w:left w:val="single" w:sz="4" w:space="0" w:color="auto"/>
            </w:tcBorders>
          </w:tcPr>
          <w:p w:rsidR="00E315F4" w:rsidRPr="00970548" w:rsidRDefault="00970548" w:rsidP="00E315F4">
            <w:pPr>
              <w:pStyle w:val="Tabletext"/>
              <w:rPr>
                <w:b/>
              </w:rPr>
            </w:pPr>
            <w:r>
              <w:rPr>
                <w:b/>
              </w:rPr>
              <w:t>LBC m</w:t>
            </w:r>
            <w:r w:rsidR="005E0D57">
              <w:rPr>
                <w:b/>
              </w:rPr>
              <w:t xml:space="preserve">anual </w:t>
            </w:r>
          </w:p>
          <w:p w:rsidR="00E315F4" w:rsidRPr="00970548" w:rsidRDefault="00E315F4" w:rsidP="00E315F4">
            <w:pPr>
              <w:pStyle w:val="Tabletext"/>
              <w:rPr>
                <w:b/>
              </w:rPr>
            </w:pPr>
            <w:r w:rsidRPr="00970548">
              <w:rPr>
                <w:b/>
              </w:rPr>
              <w:t>N</w:t>
            </w:r>
            <w:r w:rsidR="005E0D57">
              <w:rPr>
                <w:b/>
              </w:rPr>
              <w:t>=</w:t>
            </w:r>
            <w:r w:rsidRPr="00970548">
              <w:rPr>
                <w:b/>
              </w:rPr>
              <w:t>90551</w:t>
            </w:r>
          </w:p>
        </w:tc>
        <w:tc>
          <w:tcPr>
            <w:tcW w:w="1087" w:type="pct"/>
            <w:tcBorders>
              <w:top w:val="single" w:sz="4" w:space="0" w:color="auto"/>
            </w:tcBorders>
          </w:tcPr>
          <w:p w:rsidR="00E315F4" w:rsidRPr="00970548" w:rsidRDefault="00970548" w:rsidP="00E315F4">
            <w:pPr>
              <w:pStyle w:val="Tabletext"/>
              <w:rPr>
                <w:b/>
              </w:rPr>
            </w:pPr>
            <w:r>
              <w:rPr>
                <w:b/>
              </w:rPr>
              <w:t>LBC a</w:t>
            </w:r>
            <w:r w:rsidR="005E0D57">
              <w:rPr>
                <w:b/>
              </w:rPr>
              <w:t xml:space="preserve">utomated </w:t>
            </w:r>
          </w:p>
          <w:p w:rsidR="00E315F4" w:rsidRPr="00970548" w:rsidRDefault="00E315F4" w:rsidP="00E315F4">
            <w:pPr>
              <w:pStyle w:val="Tabletext"/>
              <w:rPr>
                <w:b/>
              </w:rPr>
            </w:pPr>
            <w:r w:rsidRPr="00970548">
              <w:rPr>
                <w:b/>
              </w:rPr>
              <w:t>N</w:t>
            </w:r>
            <w:r w:rsidR="005E0D57">
              <w:rPr>
                <w:b/>
              </w:rPr>
              <w:t>=</w:t>
            </w:r>
            <w:r w:rsidRPr="00970548">
              <w:rPr>
                <w:b/>
              </w:rPr>
              <w:t>79366</w:t>
            </w:r>
          </w:p>
        </w:tc>
        <w:tc>
          <w:tcPr>
            <w:tcW w:w="1255" w:type="pct"/>
          </w:tcPr>
          <w:p w:rsidR="00E315F4" w:rsidRPr="00970548" w:rsidRDefault="00E315F4" w:rsidP="00E315F4">
            <w:pPr>
              <w:pStyle w:val="Tabletext"/>
              <w:rPr>
                <w:b/>
              </w:rPr>
            </w:pPr>
            <w:r w:rsidRPr="00970548">
              <w:rPr>
                <w:b/>
              </w:rPr>
              <w:t>P value</w:t>
            </w:r>
            <w:r w:rsidRPr="00970548">
              <w:rPr>
                <w:b/>
                <w:vertAlign w:val="superscript"/>
              </w:rPr>
              <w:t>b</w:t>
            </w:r>
          </w:p>
        </w:tc>
      </w:tr>
      <w:tr w:rsidR="00E315F4" w:rsidRPr="00767F7A" w:rsidTr="00970548">
        <w:tc>
          <w:tcPr>
            <w:tcW w:w="1402" w:type="pct"/>
            <w:tcBorders>
              <w:right w:val="single" w:sz="4" w:space="0" w:color="auto"/>
            </w:tcBorders>
          </w:tcPr>
          <w:p w:rsidR="00E315F4" w:rsidRDefault="00E315F4" w:rsidP="00E315F4">
            <w:pPr>
              <w:pStyle w:val="Tabletext"/>
            </w:pPr>
            <w:r>
              <w:t>Sensitivity, % (</w:t>
            </w:r>
            <w:r w:rsidR="005E0D57">
              <w:t>95% CI</w:t>
            </w:r>
            <w:r>
              <w:t>)</w:t>
            </w:r>
          </w:p>
        </w:tc>
        <w:tc>
          <w:tcPr>
            <w:tcW w:w="1255" w:type="pct"/>
            <w:tcBorders>
              <w:left w:val="single" w:sz="4" w:space="0" w:color="auto"/>
            </w:tcBorders>
          </w:tcPr>
          <w:p w:rsidR="00E315F4" w:rsidRDefault="00E315F4" w:rsidP="00E315F4">
            <w:pPr>
              <w:pStyle w:val="Tabletext"/>
            </w:pPr>
            <w:r>
              <w:t>81.7 (79.5</w:t>
            </w:r>
            <w:r w:rsidR="005E0D57">
              <w:t>–</w:t>
            </w:r>
            <w:r>
              <w:t>83.8)</w:t>
            </w:r>
          </w:p>
        </w:tc>
        <w:tc>
          <w:tcPr>
            <w:tcW w:w="1087" w:type="pct"/>
          </w:tcPr>
          <w:p w:rsidR="00E315F4" w:rsidRDefault="00E315F4" w:rsidP="00E315F4">
            <w:pPr>
              <w:pStyle w:val="Tabletext"/>
            </w:pPr>
            <w:r>
              <w:t>79.9 (77.6</w:t>
            </w:r>
            <w:r w:rsidR="005E0D57">
              <w:t>–</w:t>
            </w:r>
            <w:r>
              <w:t>82.3)</w:t>
            </w:r>
          </w:p>
        </w:tc>
        <w:tc>
          <w:tcPr>
            <w:tcW w:w="1255" w:type="pct"/>
            <w:tcBorders>
              <w:right w:val="single" w:sz="4" w:space="0" w:color="auto"/>
            </w:tcBorders>
          </w:tcPr>
          <w:p w:rsidR="00E315F4" w:rsidRDefault="00E315F4" w:rsidP="00E315F4">
            <w:pPr>
              <w:pStyle w:val="Tabletext"/>
            </w:pPr>
            <w:r>
              <w:t>0.152 (2-tail P=0.296)</w:t>
            </w:r>
          </w:p>
        </w:tc>
      </w:tr>
      <w:tr w:rsidR="00E315F4" w:rsidRPr="00767F7A" w:rsidTr="00970548">
        <w:tc>
          <w:tcPr>
            <w:tcW w:w="1402" w:type="pct"/>
            <w:tcBorders>
              <w:right w:val="single" w:sz="4" w:space="0" w:color="auto"/>
            </w:tcBorders>
          </w:tcPr>
          <w:p w:rsidR="00E315F4" w:rsidRDefault="00E315F4" w:rsidP="00E315F4">
            <w:pPr>
              <w:pStyle w:val="Tabletext"/>
            </w:pPr>
            <w:r>
              <w:t>Specificity, % (</w:t>
            </w:r>
            <w:r w:rsidR="005E0D57">
              <w:t>95% CI</w:t>
            </w:r>
            <w:r>
              <w:t>)</w:t>
            </w:r>
          </w:p>
        </w:tc>
        <w:tc>
          <w:tcPr>
            <w:tcW w:w="1255" w:type="pct"/>
            <w:tcBorders>
              <w:left w:val="single" w:sz="4" w:space="0" w:color="auto"/>
            </w:tcBorders>
          </w:tcPr>
          <w:p w:rsidR="00E315F4" w:rsidRDefault="00E315F4" w:rsidP="00E315F4">
            <w:pPr>
              <w:pStyle w:val="Tabletext"/>
            </w:pPr>
            <w:r>
              <w:t>99.6 (99.5</w:t>
            </w:r>
            <w:r w:rsidR="005E0D57">
              <w:t>–</w:t>
            </w:r>
            <w:r>
              <w:t>99.6)</w:t>
            </w:r>
          </w:p>
        </w:tc>
        <w:tc>
          <w:tcPr>
            <w:tcW w:w="1087" w:type="pct"/>
          </w:tcPr>
          <w:p w:rsidR="00E315F4" w:rsidRDefault="00E315F4" w:rsidP="00E315F4">
            <w:pPr>
              <w:pStyle w:val="Tabletext"/>
            </w:pPr>
            <w:r>
              <w:t>99.6 (99.6</w:t>
            </w:r>
            <w:r w:rsidR="005E0D57">
              <w:t>–</w:t>
            </w:r>
            <w:r>
              <w:t>99.7)</w:t>
            </w:r>
          </w:p>
        </w:tc>
        <w:tc>
          <w:tcPr>
            <w:tcW w:w="1255" w:type="pct"/>
            <w:tcBorders>
              <w:right w:val="single" w:sz="4" w:space="0" w:color="auto"/>
            </w:tcBorders>
          </w:tcPr>
          <w:p w:rsidR="00E315F4" w:rsidRPr="0067783C" w:rsidRDefault="00E315F4" w:rsidP="00E315F4">
            <w:pPr>
              <w:pStyle w:val="Tabletext"/>
            </w:pPr>
            <w:r>
              <w:t>0.041(2-tail P=0.079)</w:t>
            </w:r>
          </w:p>
        </w:tc>
      </w:tr>
      <w:tr w:rsidR="00E315F4" w:rsidRPr="00767F7A" w:rsidTr="00970548">
        <w:tc>
          <w:tcPr>
            <w:tcW w:w="1402" w:type="pct"/>
            <w:tcBorders>
              <w:right w:val="single" w:sz="4" w:space="0" w:color="auto"/>
            </w:tcBorders>
          </w:tcPr>
          <w:p w:rsidR="00E315F4" w:rsidRDefault="00E315F4" w:rsidP="00E315F4">
            <w:pPr>
              <w:pStyle w:val="Tabletext"/>
            </w:pPr>
            <w:r>
              <w:t>Predictive value,% (</w:t>
            </w:r>
            <w:r w:rsidR="005E0D57">
              <w:t>95% CI</w:t>
            </w:r>
            <w:r>
              <w:t>)</w:t>
            </w:r>
          </w:p>
        </w:tc>
        <w:tc>
          <w:tcPr>
            <w:tcW w:w="1255" w:type="pct"/>
            <w:tcBorders>
              <w:left w:val="single" w:sz="4" w:space="0" w:color="auto"/>
            </w:tcBorders>
          </w:tcPr>
          <w:p w:rsidR="00E315F4" w:rsidRDefault="00E315F4" w:rsidP="00E315F4">
            <w:pPr>
              <w:pStyle w:val="Tabletext"/>
            </w:pPr>
            <w:r>
              <w:t>73.0 (70.6</w:t>
            </w:r>
            <w:r w:rsidR="005E0D57">
              <w:t>–</w:t>
            </w:r>
            <w:r>
              <w:t>75.3)</w:t>
            </w:r>
          </w:p>
        </w:tc>
        <w:tc>
          <w:tcPr>
            <w:tcW w:w="1087" w:type="pct"/>
          </w:tcPr>
          <w:p w:rsidR="00E315F4" w:rsidRDefault="00E315F4" w:rsidP="00E315F4">
            <w:pPr>
              <w:pStyle w:val="Tabletext"/>
            </w:pPr>
            <w:r>
              <w:t>76.0 (73.5</w:t>
            </w:r>
            <w:r w:rsidR="005E0D57">
              <w:t>–</w:t>
            </w:r>
            <w:r>
              <w:t>78.4)</w:t>
            </w:r>
          </w:p>
        </w:tc>
        <w:tc>
          <w:tcPr>
            <w:tcW w:w="1255" w:type="pct"/>
            <w:tcBorders>
              <w:right w:val="single" w:sz="4" w:space="0" w:color="auto"/>
            </w:tcBorders>
          </w:tcPr>
          <w:p w:rsidR="00E315F4" w:rsidRDefault="00E315F4" w:rsidP="00E315F4">
            <w:pPr>
              <w:pStyle w:val="Tabletext"/>
            </w:pPr>
            <w:r>
              <w:t>0.045(2-tail P=0.086)</w:t>
            </w:r>
          </w:p>
        </w:tc>
      </w:tr>
      <w:tr w:rsidR="00E315F4" w:rsidRPr="00767F7A" w:rsidTr="00970548">
        <w:tc>
          <w:tcPr>
            <w:tcW w:w="5000" w:type="pct"/>
            <w:gridSpan w:val="4"/>
            <w:tcBorders>
              <w:right w:val="single" w:sz="4" w:space="0" w:color="auto"/>
            </w:tcBorders>
          </w:tcPr>
          <w:p w:rsidR="00E315F4" w:rsidRDefault="00970548" w:rsidP="00E315F4">
            <w:pPr>
              <w:pStyle w:val="Tabletext"/>
            </w:pPr>
            <w:r>
              <w:t xml:space="preserve">Source: Palmer </w:t>
            </w:r>
            <w:r w:rsidR="00E315F4">
              <w:t>2012, Table 5</w:t>
            </w:r>
          </w:p>
        </w:tc>
      </w:tr>
    </w:tbl>
    <w:p w:rsidR="00E315F4" w:rsidRDefault="00BC5AC9" w:rsidP="00970548">
      <w:pPr>
        <w:pStyle w:val="Tabletext"/>
      </w:pPr>
      <w:r>
        <w:t xml:space="preserve">Abbreviations: </w:t>
      </w:r>
      <w:r w:rsidR="005E0D57">
        <w:t>LBC, liquid-</w:t>
      </w:r>
      <w:r w:rsidR="00E315F4">
        <w:t>b</w:t>
      </w:r>
      <w:r w:rsidR="005E0D57">
        <w:t xml:space="preserve">ased cytology; CI, </w:t>
      </w:r>
      <w:r w:rsidR="00E315F4">
        <w:t>confidence interval</w:t>
      </w:r>
      <w:r w:rsidR="001873A8">
        <w:br/>
        <w:t>*Note:</w:t>
      </w:r>
      <w:r w:rsidR="001873A8" w:rsidRPr="001873A8">
        <w:t xml:space="preserve"> False negative LBC preparations are those found by rapid quality control and those with a primary screener report of low grade</w:t>
      </w:r>
    </w:p>
    <w:p w:rsidR="00E315F4" w:rsidRDefault="00E315F4" w:rsidP="00AB012A">
      <w:pPr>
        <w:pStyle w:val="Tabletext"/>
        <w:numPr>
          <w:ilvl w:val="0"/>
          <w:numId w:val="47"/>
        </w:numPr>
      </w:pPr>
      <w:r>
        <w:t>Dyskaryosis is the NHSCSP terminology which correlates to High grade under the two-tier classification or HSIL+ under The Bethes</w:t>
      </w:r>
      <w:r w:rsidR="00970548">
        <w:t xml:space="preserve">da System (Source: Palmer </w:t>
      </w:r>
      <w:r>
        <w:t>2012 Box 3, p.4)</w:t>
      </w:r>
    </w:p>
    <w:p w:rsidR="00E315F4" w:rsidRPr="00270FB9" w:rsidRDefault="00E315F4" w:rsidP="00AB012A">
      <w:pPr>
        <w:pStyle w:val="Tabletext"/>
        <w:numPr>
          <w:ilvl w:val="0"/>
          <w:numId w:val="47"/>
        </w:numPr>
      </w:pPr>
      <w:r w:rsidRPr="00270FB9">
        <w:t>P</w:t>
      </w:r>
      <w:r>
        <w:t xml:space="preserve"> </w:t>
      </w:r>
      <w:r w:rsidRPr="00270FB9">
        <w:t xml:space="preserve">values calculated using </w:t>
      </w:r>
      <w:r>
        <w:t>one</w:t>
      </w:r>
      <w:r w:rsidRPr="00270FB9">
        <w:t>-tailed Fisher’s Exact Tests</w:t>
      </w:r>
      <w:r>
        <w:t xml:space="preserve"> and two tailed P value presented </w:t>
      </w:r>
      <w:r w:rsidR="00970548">
        <w:t>in parentheses for transparency</w:t>
      </w:r>
    </w:p>
    <w:p w:rsidR="00970548" w:rsidRPr="00970548" w:rsidRDefault="00970548" w:rsidP="008D0453">
      <w:pPr>
        <w:rPr>
          <w:rFonts w:ascii="Gill Sans MT" w:hAnsi="Gill Sans MT"/>
          <w:bCs/>
          <w:szCs w:val="32"/>
        </w:rPr>
      </w:pPr>
    </w:p>
    <w:p w:rsidR="00E315F4" w:rsidRDefault="009F5423" w:rsidP="008D0453">
      <w:r>
        <w:t>The ability of cytology to predict CIN</w:t>
      </w:r>
      <w:r w:rsidR="00970548">
        <w:t xml:space="preserve"> </w:t>
      </w:r>
      <w:r>
        <w:t>2+ and CIN</w:t>
      </w:r>
      <w:r w:rsidR="00970548">
        <w:t xml:space="preserve"> </w:t>
      </w:r>
      <w:r>
        <w:t xml:space="preserve">3+ histology is given in </w:t>
      </w:r>
      <w:r w:rsidR="00086C77">
        <w:fldChar w:fldCharType="begin"/>
      </w:r>
      <w:r w:rsidR="00A157D7">
        <w:instrText xml:space="preserve"> REF _Ref332102654 \h </w:instrText>
      </w:r>
      <w:r w:rsidR="00086C77">
        <w:fldChar w:fldCharType="separate"/>
      </w:r>
      <w:r w:rsidR="003361A8">
        <w:t xml:space="preserve">Table </w:t>
      </w:r>
      <w:r w:rsidR="003361A8">
        <w:rPr>
          <w:noProof/>
        </w:rPr>
        <w:t>79</w:t>
      </w:r>
      <w:r w:rsidR="00086C77">
        <w:fldChar w:fldCharType="end"/>
      </w:r>
      <w:r w:rsidR="00A157D7">
        <w:t xml:space="preserve"> and </w:t>
      </w:r>
      <w:r w:rsidR="00086C77">
        <w:fldChar w:fldCharType="begin"/>
      </w:r>
      <w:r w:rsidR="00A157D7">
        <w:instrText xml:space="preserve"> REF _Ref332102700 \h </w:instrText>
      </w:r>
      <w:r w:rsidR="00086C77">
        <w:fldChar w:fldCharType="separate"/>
      </w:r>
      <w:r w:rsidR="003361A8">
        <w:t xml:space="preserve">Table </w:t>
      </w:r>
      <w:r w:rsidR="003361A8">
        <w:rPr>
          <w:noProof/>
        </w:rPr>
        <w:t>80</w:t>
      </w:r>
      <w:r w:rsidR="00086C77">
        <w:fldChar w:fldCharType="end"/>
      </w:r>
      <w:r w:rsidR="00A157D7">
        <w:t xml:space="preserve">. </w:t>
      </w:r>
      <w:r w:rsidR="008D0453">
        <w:t xml:space="preserve">There is no significant difference between the two arms when examining the positive, abnormal or TPVs. The significantly greater detection by the imager of low-grade cytology was not associated with a reduction in </w:t>
      </w:r>
      <w:r w:rsidR="00322FCF">
        <w:t xml:space="preserve">Abnormal Predictive Value. </w:t>
      </w:r>
    </w:p>
    <w:p w:rsidR="003D1B93" w:rsidRDefault="003D1B93" w:rsidP="003D1B93">
      <w:pPr>
        <w:pStyle w:val="Caption"/>
      </w:pPr>
      <w:bookmarkStart w:id="501" w:name="_Ref332102654"/>
      <w:bookmarkStart w:id="502" w:name="_Toc335666051"/>
      <w:bookmarkStart w:id="503" w:name="_Toc337547016"/>
      <w:r>
        <w:lastRenderedPageBreak/>
        <w:t xml:space="preserve">Table </w:t>
      </w:r>
      <w:fldSimple w:instr=" SEQ Table \* ARABIC ">
        <w:r w:rsidR="003361A8">
          <w:rPr>
            <w:noProof/>
          </w:rPr>
          <w:t>79</w:t>
        </w:r>
      </w:fldSimple>
      <w:bookmarkEnd w:id="501"/>
      <w:r w:rsidR="00BC0FE6">
        <w:tab/>
      </w:r>
      <w:r w:rsidRPr="003D1B93">
        <w:t>Abnormal, positive and total predictive values of cytology for a final histolog</w:t>
      </w:r>
      <w:r>
        <w:t>y</w:t>
      </w:r>
      <w:r w:rsidR="00970548">
        <w:t xml:space="preserve"> of CIN</w:t>
      </w:r>
      <w:r w:rsidR="00994DD6">
        <w:t xml:space="preserve"> 2</w:t>
      </w:r>
      <w:r w:rsidR="00970548">
        <w:t xml:space="preserve">+ for the whole study: Palmer </w:t>
      </w:r>
      <w:r>
        <w:t>2012</w:t>
      </w:r>
      <w:bookmarkEnd w:id="502"/>
      <w:bookmarkEnd w:id="503"/>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1985"/>
        <w:gridCol w:w="1842"/>
        <w:gridCol w:w="993"/>
      </w:tblGrid>
      <w:tr w:rsidR="009F5423" w:rsidRPr="00767F7A" w:rsidTr="009F5423">
        <w:tc>
          <w:tcPr>
            <w:tcW w:w="3652" w:type="dxa"/>
            <w:tcBorders>
              <w:right w:val="single" w:sz="4" w:space="0" w:color="auto"/>
            </w:tcBorders>
          </w:tcPr>
          <w:p w:rsidR="009F5423" w:rsidRDefault="009F5423" w:rsidP="009F5423">
            <w:pPr>
              <w:pStyle w:val="Tabletext"/>
            </w:pPr>
          </w:p>
        </w:tc>
        <w:tc>
          <w:tcPr>
            <w:tcW w:w="4820" w:type="dxa"/>
            <w:gridSpan w:val="3"/>
            <w:tcBorders>
              <w:top w:val="single" w:sz="4" w:space="0" w:color="auto"/>
              <w:left w:val="single" w:sz="4" w:space="0" w:color="auto"/>
            </w:tcBorders>
          </w:tcPr>
          <w:p w:rsidR="009F5423" w:rsidRPr="00970548" w:rsidRDefault="009F5423" w:rsidP="009F5423">
            <w:pPr>
              <w:pStyle w:val="Tabletext"/>
              <w:rPr>
                <w:b/>
              </w:rPr>
            </w:pPr>
            <w:r w:rsidRPr="00970548">
              <w:rPr>
                <w:b/>
              </w:rPr>
              <w:t>Cytological diagnosis for CIN</w:t>
            </w:r>
            <w:r w:rsidR="00994DD6">
              <w:rPr>
                <w:b/>
              </w:rPr>
              <w:t xml:space="preserve"> </w:t>
            </w:r>
            <w:r w:rsidRPr="00970548">
              <w:rPr>
                <w:b/>
              </w:rPr>
              <w:t>2+ on histology</w:t>
            </w:r>
          </w:p>
        </w:tc>
      </w:tr>
      <w:tr w:rsidR="009F5423" w:rsidRPr="00767F7A" w:rsidTr="009F5423">
        <w:tc>
          <w:tcPr>
            <w:tcW w:w="3652" w:type="dxa"/>
            <w:tcBorders>
              <w:right w:val="single" w:sz="4" w:space="0" w:color="auto"/>
            </w:tcBorders>
          </w:tcPr>
          <w:p w:rsidR="009F5423" w:rsidRDefault="009F5423" w:rsidP="009F5423">
            <w:pPr>
              <w:pStyle w:val="Tabletext"/>
            </w:pPr>
          </w:p>
        </w:tc>
        <w:tc>
          <w:tcPr>
            <w:tcW w:w="1985" w:type="dxa"/>
            <w:tcBorders>
              <w:top w:val="single" w:sz="4" w:space="0" w:color="auto"/>
              <w:left w:val="single" w:sz="4" w:space="0" w:color="auto"/>
            </w:tcBorders>
          </w:tcPr>
          <w:p w:rsidR="009F5423" w:rsidRPr="00970548" w:rsidRDefault="00994DD6" w:rsidP="009F5423">
            <w:pPr>
              <w:pStyle w:val="Tabletext"/>
              <w:rPr>
                <w:b/>
              </w:rPr>
            </w:pPr>
            <w:r>
              <w:rPr>
                <w:b/>
              </w:rPr>
              <w:t>LBC m</w:t>
            </w:r>
            <w:r w:rsidR="009F5423" w:rsidRPr="00970548">
              <w:rPr>
                <w:b/>
              </w:rPr>
              <w:t xml:space="preserve">anual  </w:t>
            </w:r>
          </w:p>
        </w:tc>
        <w:tc>
          <w:tcPr>
            <w:tcW w:w="1842" w:type="dxa"/>
            <w:tcBorders>
              <w:top w:val="single" w:sz="4" w:space="0" w:color="auto"/>
            </w:tcBorders>
          </w:tcPr>
          <w:p w:rsidR="009F5423" w:rsidRPr="00970548" w:rsidRDefault="00994DD6" w:rsidP="009F5423">
            <w:pPr>
              <w:pStyle w:val="Tabletext"/>
              <w:rPr>
                <w:b/>
              </w:rPr>
            </w:pPr>
            <w:r>
              <w:rPr>
                <w:b/>
              </w:rPr>
              <w:t>LBC a</w:t>
            </w:r>
            <w:r w:rsidR="009F5423" w:rsidRPr="00970548">
              <w:rPr>
                <w:b/>
              </w:rPr>
              <w:t xml:space="preserve">utomated  </w:t>
            </w:r>
          </w:p>
        </w:tc>
        <w:tc>
          <w:tcPr>
            <w:tcW w:w="993" w:type="dxa"/>
          </w:tcPr>
          <w:p w:rsidR="009F5423" w:rsidRPr="00970548" w:rsidRDefault="009F5423" w:rsidP="009F5423">
            <w:pPr>
              <w:pStyle w:val="Tabletext"/>
              <w:rPr>
                <w:b/>
              </w:rPr>
            </w:pPr>
            <w:r w:rsidRPr="00970548">
              <w:rPr>
                <w:b/>
              </w:rPr>
              <w:t>P value</w:t>
            </w:r>
          </w:p>
        </w:tc>
      </w:tr>
      <w:tr w:rsidR="009F5423" w:rsidRPr="00767F7A" w:rsidTr="009F5423">
        <w:tc>
          <w:tcPr>
            <w:tcW w:w="3652" w:type="dxa"/>
            <w:tcBorders>
              <w:right w:val="single" w:sz="4" w:space="0" w:color="auto"/>
            </w:tcBorders>
          </w:tcPr>
          <w:p w:rsidR="009F5423" w:rsidRDefault="009F5423" w:rsidP="009F5423">
            <w:pPr>
              <w:pStyle w:val="Tabletext"/>
            </w:pPr>
            <w:r>
              <w:t xml:space="preserve">Abnormal </w:t>
            </w:r>
            <w:r w:rsidR="00994DD6">
              <w:t>predictive value</w:t>
            </w:r>
            <w:r w:rsidR="00994DD6" w:rsidRPr="003D1B93">
              <w:rPr>
                <w:vertAlign w:val="superscript"/>
              </w:rPr>
              <w:t>a</w:t>
            </w:r>
            <w:r>
              <w:t>,% (</w:t>
            </w:r>
            <w:r w:rsidR="005E0D57">
              <w:t>95% CI</w:t>
            </w:r>
            <w:r>
              <w:t>)</w:t>
            </w:r>
          </w:p>
        </w:tc>
        <w:tc>
          <w:tcPr>
            <w:tcW w:w="1985" w:type="dxa"/>
            <w:tcBorders>
              <w:left w:val="single" w:sz="4" w:space="0" w:color="auto"/>
            </w:tcBorders>
          </w:tcPr>
          <w:p w:rsidR="009F5423" w:rsidRDefault="009F5423" w:rsidP="009F5423">
            <w:pPr>
              <w:pStyle w:val="Tabletext"/>
            </w:pPr>
            <w:r>
              <w:t>28.0 (26.0</w:t>
            </w:r>
            <w:r w:rsidR="005E0D57">
              <w:t>–</w:t>
            </w:r>
            <w:r>
              <w:t>30.0)</w:t>
            </w:r>
          </w:p>
        </w:tc>
        <w:tc>
          <w:tcPr>
            <w:tcW w:w="1842" w:type="dxa"/>
          </w:tcPr>
          <w:p w:rsidR="009F5423" w:rsidRDefault="009F5423" w:rsidP="009F5423">
            <w:pPr>
              <w:pStyle w:val="Tabletext"/>
            </w:pPr>
            <w:r>
              <w:t>28.4 (25.9</w:t>
            </w:r>
            <w:r w:rsidR="005E0D57">
              <w:t>–</w:t>
            </w:r>
            <w:r>
              <w:t>31.0)</w:t>
            </w:r>
          </w:p>
        </w:tc>
        <w:tc>
          <w:tcPr>
            <w:tcW w:w="993" w:type="dxa"/>
            <w:tcBorders>
              <w:right w:val="single" w:sz="4" w:space="0" w:color="auto"/>
            </w:tcBorders>
          </w:tcPr>
          <w:p w:rsidR="009F5423" w:rsidRDefault="009F5423" w:rsidP="009F5423">
            <w:pPr>
              <w:pStyle w:val="Tabletext"/>
            </w:pPr>
            <w:r>
              <w:t>0.807</w:t>
            </w:r>
          </w:p>
        </w:tc>
      </w:tr>
      <w:tr w:rsidR="009F5423" w:rsidRPr="00767F7A" w:rsidTr="009F5423">
        <w:tc>
          <w:tcPr>
            <w:tcW w:w="3652" w:type="dxa"/>
            <w:tcBorders>
              <w:right w:val="single" w:sz="4" w:space="0" w:color="auto"/>
            </w:tcBorders>
          </w:tcPr>
          <w:p w:rsidR="009F5423" w:rsidRDefault="009F5423" w:rsidP="003D1B93">
            <w:pPr>
              <w:pStyle w:val="Tabletext"/>
            </w:pPr>
            <w:r>
              <w:t xml:space="preserve">Positive </w:t>
            </w:r>
            <w:r w:rsidR="00994DD6">
              <w:t>predictive value</w:t>
            </w:r>
            <w:r w:rsidR="00994DD6" w:rsidRPr="003D1B93">
              <w:rPr>
                <w:vertAlign w:val="superscript"/>
              </w:rPr>
              <w:t>b</w:t>
            </w:r>
            <w:r>
              <w:t>,% (</w:t>
            </w:r>
            <w:r w:rsidR="005E0D57">
              <w:t>95% CI</w:t>
            </w:r>
            <w:r>
              <w:t>)</w:t>
            </w:r>
          </w:p>
        </w:tc>
        <w:tc>
          <w:tcPr>
            <w:tcW w:w="1985" w:type="dxa"/>
            <w:tcBorders>
              <w:left w:val="single" w:sz="4" w:space="0" w:color="auto"/>
            </w:tcBorders>
          </w:tcPr>
          <w:p w:rsidR="009F5423" w:rsidRDefault="009F5423" w:rsidP="009F5423">
            <w:pPr>
              <w:pStyle w:val="Tabletext"/>
            </w:pPr>
            <w:r>
              <w:t>78.5 (76.7</w:t>
            </w:r>
            <w:r w:rsidR="005E0D57">
              <w:t>–</w:t>
            </w:r>
            <w:r>
              <w:t>80.3)</w:t>
            </w:r>
          </w:p>
        </w:tc>
        <w:tc>
          <w:tcPr>
            <w:tcW w:w="1842" w:type="dxa"/>
          </w:tcPr>
          <w:p w:rsidR="009F5423" w:rsidRDefault="009F5423" w:rsidP="009F5423">
            <w:pPr>
              <w:pStyle w:val="Tabletext"/>
            </w:pPr>
            <w:r>
              <w:t>80.7 (78.5</w:t>
            </w:r>
            <w:r w:rsidR="005E0D57">
              <w:t>–</w:t>
            </w:r>
            <w:r>
              <w:t>82.9)</w:t>
            </w:r>
          </w:p>
        </w:tc>
        <w:tc>
          <w:tcPr>
            <w:tcW w:w="993" w:type="dxa"/>
            <w:tcBorders>
              <w:right w:val="single" w:sz="4" w:space="0" w:color="auto"/>
            </w:tcBorders>
          </w:tcPr>
          <w:p w:rsidR="009F5423" w:rsidRPr="0067783C" w:rsidRDefault="009F5423" w:rsidP="009F5423">
            <w:pPr>
              <w:pStyle w:val="Tabletext"/>
            </w:pPr>
            <w:r>
              <w:t>0.140</w:t>
            </w:r>
          </w:p>
        </w:tc>
      </w:tr>
      <w:tr w:rsidR="009F5423" w:rsidRPr="00767F7A" w:rsidTr="009F5423">
        <w:tc>
          <w:tcPr>
            <w:tcW w:w="3652" w:type="dxa"/>
            <w:tcBorders>
              <w:right w:val="single" w:sz="4" w:space="0" w:color="auto"/>
            </w:tcBorders>
          </w:tcPr>
          <w:p w:rsidR="009F5423" w:rsidRDefault="009F5423" w:rsidP="009F5423">
            <w:pPr>
              <w:pStyle w:val="Tabletext"/>
            </w:pPr>
            <w:r>
              <w:t xml:space="preserve">Total </w:t>
            </w:r>
            <w:r w:rsidR="00994DD6">
              <w:t>predictive value</w:t>
            </w:r>
            <w:r w:rsidR="00994DD6">
              <w:rPr>
                <w:vertAlign w:val="superscript"/>
              </w:rPr>
              <w:t>c</w:t>
            </w:r>
            <w:r>
              <w:t>,% (</w:t>
            </w:r>
            <w:r w:rsidR="005E0D57">
              <w:t>95% CI</w:t>
            </w:r>
            <w:r>
              <w:t>)</w:t>
            </w:r>
          </w:p>
        </w:tc>
        <w:tc>
          <w:tcPr>
            <w:tcW w:w="1985" w:type="dxa"/>
            <w:tcBorders>
              <w:left w:val="single" w:sz="4" w:space="0" w:color="auto"/>
            </w:tcBorders>
          </w:tcPr>
          <w:p w:rsidR="009F5423" w:rsidRDefault="009F5423" w:rsidP="009F5423">
            <w:pPr>
              <w:pStyle w:val="Tabletext"/>
            </w:pPr>
            <w:r>
              <w:t>51.8 (50.3</w:t>
            </w:r>
            <w:r w:rsidR="005E0D57">
              <w:t>–</w:t>
            </w:r>
            <w:r>
              <w:t>53.4)</w:t>
            </w:r>
          </w:p>
        </w:tc>
        <w:tc>
          <w:tcPr>
            <w:tcW w:w="1842" w:type="dxa"/>
          </w:tcPr>
          <w:p w:rsidR="009F5423" w:rsidRDefault="009F5423" w:rsidP="009F5423">
            <w:pPr>
              <w:pStyle w:val="Tabletext"/>
            </w:pPr>
            <w:r>
              <w:t>52.8 (50.8</w:t>
            </w:r>
            <w:r w:rsidR="005E0D57">
              <w:t>–</w:t>
            </w:r>
            <w:r>
              <w:t>54.7)</w:t>
            </w:r>
          </w:p>
        </w:tc>
        <w:tc>
          <w:tcPr>
            <w:tcW w:w="993" w:type="dxa"/>
            <w:tcBorders>
              <w:right w:val="single" w:sz="4" w:space="0" w:color="auto"/>
            </w:tcBorders>
          </w:tcPr>
          <w:p w:rsidR="009F5423" w:rsidRDefault="009F5423" w:rsidP="009F5423">
            <w:pPr>
              <w:pStyle w:val="Tabletext"/>
            </w:pPr>
            <w:r>
              <w:t>0.478</w:t>
            </w:r>
          </w:p>
        </w:tc>
      </w:tr>
      <w:tr w:rsidR="009F5423" w:rsidRPr="00767F7A" w:rsidTr="009F5423">
        <w:tc>
          <w:tcPr>
            <w:tcW w:w="8472" w:type="dxa"/>
            <w:gridSpan w:val="4"/>
            <w:tcBorders>
              <w:right w:val="single" w:sz="4" w:space="0" w:color="auto"/>
            </w:tcBorders>
          </w:tcPr>
          <w:p w:rsidR="009F5423" w:rsidRDefault="00994DD6" w:rsidP="009F5423">
            <w:pPr>
              <w:pStyle w:val="Tabletext"/>
            </w:pPr>
            <w:r>
              <w:t xml:space="preserve">Source: Palmer </w:t>
            </w:r>
            <w:r w:rsidR="009F5423">
              <w:t>2012, Table 6</w:t>
            </w:r>
          </w:p>
        </w:tc>
      </w:tr>
    </w:tbl>
    <w:p w:rsidR="003D1B93" w:rsidRDefault="003D1B93" w:rsidP="00994DD6">
      <w:pPr>
        <w:pStyle w:val="Tabletext"/>
      </w:pPr>
      <w:r>
        <w:t>a.</w:t>
      </w:r>
      <w:r>
        <w:tab/>
        <w:t>APV is the percentage referred with borderline changes or m</w:t>
      </w:r>
      <w:r w:rsidR="005E0D57">
        <w:t>ild dyskaryosis that have CIN2+</w:t>
      </w:r>
    </w:p>
    <w:p w:rsidR="003D1B93" w:rsidRDefault="003D1B93" w:rsidP="00994DD6">
      <w:pPr>
        <w:pStyle w:val="Tabletext"/>
        <w:ind w:left="720" w:hanging="720"/>
      </w:pPr>
      <w:r>
        <w:t>b.</w:t>
      </w:r>
      <w:r>
        <w:tab/>
        <w:t>PPV is the percentage of cases referred for high-grade cytological abnormalities (moderate dyskaryosis or worse) that are found on biopsy to have cervical intraepithelial neop</w:t>
      </w:r>
      <w:r w:rsidR="005E0D57">
        <w:t>lasia grade 2 or worse (CIN2+)</w:t>
      </w:r>
    </w:p>
    <w:p w:rsidR="009F5423" w:rsidRDefault="003D1B93" w:rsidP="00994DD6">
      <w:pPr>
        <w:pStyle w:val="Tabletext"/>
      </w:pPr>
      <w:r>
        <w:t>c.</w:t>
      </w:r>
      <w:r>
        <w:tab/>
        <w:t xml:space="preserve">TPV is the percentage of all </w:t>
      </w:r>
      <w:r w:rsidR="005E0D57">
        <w:t>women</w:t>
      </w:r>
      <w:r w:rsidR="00994DD6">
        <w:t xml:space="preserve"> referred to colposcopy who have CIN 2+</w:t>
      </w:r>
    </w:p>
    <w:p w:rsidR="00994DD6" w:rsidRDefault="00994DD6" w:rsidP="00994DD6">
      <w:pPr>
        <w:pStyle w:val="Tabletext"/>
      </w:pPr>
    </w:p>
    <w:p w:rsidR="00A157D7" w:rsidRDefault="00A157D7" w:rsidP="00A157D7">
      <w:pPr>
        <w:pStyle w:val="Caption"/>
      </w:pPr>
      <w:bookmarkStart w:id="504" w:name="_Ref332102700"/>
      <w:bookmarkStart w:id="505" w:name="_Toc335666052"/>
      <w:bookmarkStart w:id="506" w:name="_Toc337547017"/>
      <w:r>
        <w:t xml:space="preserve">Table </w:t>
      </w:r>
      <w:fldSimple w:instr=" SEQ Table \* ARABIC ">
        <w:r w:rsidR="003361A8">
          <w:rPr>
            <w:noProof/>
          </w:rPr>
          <w:t>80</w:t>
        </w:r>
      </w:fldSimple>
      <w:bookmarkEnd w:id="504"/>
      <w:r w:rsidR="00BC0FE6">
        <w:tab/>
      </w:r>
      <w:r w:rsidRPr="003D1B93">
        <w:t>Abnormal, positive and total predictive values of cytology for a final histolog</w:t>
      </w:r>
      <w:r>
        <w:t>y of CIN</w:t>
      </w:r>
      <w:r w:rsidR="00994DD6">
        <w:t xml:space="preserve"> 3</w:t>
      </w:r>
      <w:r>
        <w:t>+ for</w:t>
      </w:r>
      <w:r w:rsidR="00994DD6">
        <w:t xml:space="preserve"> the whole study: Palmer </w:t>
      </w:r>
      <w:r>
        <w:t>2012</w:t>
      </w:r>
      <w:bookmarkEnd w:id="505"/>
      <w:bookmarkEnd w:id="506"/>
    </w:p>
    <w:tbl>
      <w:tblPr>
        <w:tblW w:w="8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52"/>
        <w:gridCol w:w="1985"/>
        <w:gridCol w:w="1842"/>
        <w:gridCol w:w="993"/>
      </w:tblGrid>
      <w:tr w:rsidR="009F5423" w:rsidRPr="00767F7A" w:rsidTr="009F5423">
        <w:tc>
          <w:tcPr>
            <w:tcW w:w="3652" w:type="dxa"/>
            <w:tcBorders>
              <w:right w:val="single" w:sz="4" w:space="0" w:color="auto"/>
            </w:tcBorders>
          </w:tcPr>
          <w:p w:rsidR="009F5423" w:rsidRDefault="009F5423" w:rsidP="009F5423">
            <w:pPr>
              <w:pStyle w:val="Tabletext"/>
            </w:pPr>
          </w:p>
        </w:tc>
        <w:tc>
          <w:tcPr>
            <w:tcW w:w="4820" w:type="dxa"/>
            <w:gridSpan w:val="3"/>
            <w:tcBorders>
              <w:top w:val="single" w:sz="4" w:space="0" w:color="auto"/>
              <w:left w:val="single" w:sz="4" w:space="0" w:color="auto"/>
            </w:tcBorders>
          </w:tcPr>
          <w:p w:rsidR="009F5423" w:rsidRPr="00994DD6" w:rsidRDefault="009F5423" w:rsidP="009F5423">
            <w:pPr>
              <w:pStyle w:val="Tabletext"/>
              <w:rPr>
                <w:b/>
              </w:rPr>
            </w:pPr>
            <w:r w:rsidRPr="00994DD6">
              <w:rPr>
                <w:b/>
              </w:rPr>
              <w:t>Cytological diagnosis for CIN3+ on histology</w:t>
            </w:r>
          </w:p>
        </w:tc>
      </w:tr>
      <w:tr w:rsidR="009F5423" w:rsidRPr="00767F7A" w:rsidTr="009F5423">
        <w:tc>
          <w:tcPr>
            <w:tcW w:w="3652" w:type="dxa"/>
            <w:tcBorders>
              <w:right w:val="single" w:sz="4" w:space="0" w:color="auto"/>
            </w:tcBorders>
          </w:tcPr>
          <w:p w:rsidR="009F5423" w:rsidRDefault="009F5423" w:rsidP="009F5423">
            <w:pPr>
              <w:pStyle w:val="Tabletext"/>
            </w:pPr>
          </w:p>
        </w:tc>
        <w:tc>
          <w:tcPr>
            <w:tcW w:w="1985" w:type="dxa"/>
            <w:tcBorders>
              <w:top w:val="single" w:sz="4" w:space="0" w:color="auto"/>
              <w:left w:val="single" w:sz="4" w:space="0" w:color="auto"/>
            </w:tcBorders>
          </w:tcPr>
          <w:p w:rsidR="009F5423" w:rsidRDefault="005E0D57" w:rsidP="009F5423">
            <w:pPr>
              <w:pStyle w:val="Tabletext"/>
            </w:pPr>
            <w:r>
              <w:t>LBC Manual</w:t>
            </w:r>
          </w:p>
        </w:tc>
        <w:tc>
          <w:tcPr>
            <w:tcW w:w="1842" w:type="dxa"/>
            <w:tcBorders>
              <w:top w:val="single" w:sz="4" w:space="0" w:color="auto"/>
            </w:tcBorders>
          </w:tcPr>
          <w:p w:rsidR="009F5423" w:rsidRDefault="005E0D57" w:rsidP="009F5423">
            <w:pPr>
              <w:pStyle w:val="Tabletext"/>
            </w:pPr>
            <w:r>
              <w:t>LBC Automated</w:t>
            </w:r>
          </w:p>
        </w:tc>
        <w:tc>
          <w:tcPr>
            <w:tcW w:w="993" w:type="dxa"/>
          </w:tcPr>
          <w:p w:rsidR="009F5423" w:rsidRDefault="009F5423" w:rsidP="009F5423">
            <w:pPr>
              <w:pStyle w:val="Tabletext"/>
            </w:pPr>
            <w:r>
              <w:t>P value</w:t>
            </w:r>
          </w:p>
        </w:tc>
      </w:tr>
      <w:tr w:rsidR="003D1B93" w:rsidRPr="00767F7A" w:rsidTr="009F5423">
        <w:tc>
          <w:tcPr>
            <w:tcW w:w="3652" w:type="dxa"/>
            <w:tcBorders>
              <w:right w:val="single" w:sz="4" w:space="0" w:color="auto"/>
            </w:tcBorders>
          </w:tcPr>
          <w:p w:rsidR="003D1B93" w:rsidRDefault="003D1B93" w:rsidP="003D1B93">
            <w:pPr>
              <w:pStyle w:val="Tabletext"/>
            </w:pPr>
            <w:r>
              <w:t xml:space="preserve">Abnormal </w:t>
            </w:r>
            <w:r w:rsidR="005E0D57">
              <w:t>predictive value</w:t>
            </w:r>
            <w:r w:rsidR="005E0D57" w:rsidRPr="003D1B93">
              <w:rPr>
                <w:vertAlign w:val="superscript"/>
              </w:rPr>
              <w:t>a</w:t>
            </w:r>
            <w:r>
              <w:t>,% (</w:t>
            </w:r>
            <w:r w:rsidR="005E0D57">
              <w:t>95% CI</w:t>
            </w:r>
            <w:r>
              <w:t>)</w:t>
            </w:r>
          </w:p>
        </w:tc>
        <w:tc>
          <w:tcPr>
            <w:tcW w:w="1985" w:type="dxa"/>
            <w:tcBorders>
              <w:left w:val="single" w:sz="4" w:space="0" w:color="auto"/>
            </w:tcBorders>
          </w:tcPr>
          <w:p w:rsidR="003D1B93" w:rsidRDefault="003D1B93" w:rsidP="003D1B93">
            <w:pPr>
              <w:pStyle w:val="Tabletext"/>
            </w:pPr>
            <w:r>
              <w:t>8.1 (7.0</w:t>
            </w:r>
            <w:r w:rsidR="005E0D57">
              <w:t>–</w:t>
            </w:r>
            <w:r>
              <w:t>9.4)</w:t>
            </w:r>
          </w:p>
        </w:tc>
        <w:tc>
          <w:tcPr>
            <w:tcW w:w="1842" w:type="dxa"/>
          </w:tcPr>
          <w:p w:rsidR="003D1B93" w:rsidRDefault="003D1B93" w:rsidP="003D1B93">
            <w:pPr>
              <w:pStyle w:val="Tabletext"/>
            </w:pPr>
            <w:r>
              <w:t>6.6 (5.3</w:t>
            </w:r>
            <w:r w:rsidR="005E0D57">
              <w:t>–</w:t>
            </w:r>
            <w:r>
              <w:t>8.1)</w:t>
            </w:r>
          </w:p>
        </w:tc>
        <w:tc>
          <w:tcPr>
            <w:tcW w:w="993" w:type="dxa"/>
            <w:tcBorders>
              <w:right w:val="single" w:sz="4" w:space="0" w:color="auto"/>
            </w:tcBorders>
          </w:tcPr>
          <w:p w:rsidR="003D1B93" w:rsidRDefault="003D1B93" w:rsidP="003D1B93">
            <w:pPr>
              <w:pStyle w:val="Tabletext"/>
            </w:pPr>
            <w:r>
              <w:t>0.126</w:t>
            </w:r>
          </w:p>
        </w:tc>
      </w:tr>
      <w:tr w:rsidR="003D1B93" w:rsidRPr="00767F7A" w:rsidTr="009F5423">
        <w:tc>
          <w:tcPr>
            <w:tcW w:w="3652" w:type="dxa"/>
            <w:tcBorders>
              <w:right w:val="single" w:sz="4" w:space="0" w:color="auto"/>
            </w:tcBorders>
          </w:tcPr>
          <w:p w:rsidR="003D1B93" w:rsidRDefault="003D1B93" w:rsidP="003D1B93">
            <w:pPr>
              <w:pStyle w:val="Tabletext"/>
            </w:pPr>
            <w:r>
              <w:t xml:space="preserve">Positive </w:t>
            </w:r>
            <w:r w:rsidR="005E0D57">
              <w:t>predictive value</w:t>
            </w:r>
            <w:r w:rsidR="005E0D57" w:rsidRPr="003D1B93">
              <w:rPr>
                <w:vertAlign w:val="superscript"/>
              </w:rPr>
              <w:t>b</w:t>
            </w:r>
            <w:r>
              <w:t>,% (</w:t>
            </w:r>
            <w:r w:rsidR="005E0D57">
              <w:t>95% CI</w:t>
            </w:r>
            <w:r>
              <w:t>)</w:t>
            </w:r>
          </w:p>
        </w:tc>
        <w:tc>
          <w:tcPr>
            <w:tcW w:w="1985" w:type="dxa"/>
            <w:tcBorders>
              <w:left w:val="single" w:sz="4" w:space="0" w:color="auto"/>
            </w:tcBorders>
          </w:tcPr>
          <w:p w:rsidR="003D1B93" w:rsidRDefault="003D1B93" w:rsidP="003D1B93">
            <w:pPr>
              <w:pStyle w:val="Tabletext"/>
            </w:pPr>
            <w:r>
              <w:t>50.8 (48.6</w:t>
            </w:r>
            <w:r w:rsidR="005E0D57">
              <w:t>–</w:t>
            </w:r>
            <w:r>
              <w:t>53.0)</w:t>
            </w:r>
          </w:p>
        </w:tc>
        <w:tc>
          <w:tcPr>
            <w:tcW w:w="1842" w:type="dxa"/>
          </w:tcPr>
          <w:p w:rsidR="003D1B93" w:rsidRDefault="003D1B93" w:rsidP="003D1B93">
            <w:pPr>
              <w:pStyle w:val="Tabletext"/>
            </w:pPr>
            <w:r>
              <w:t>52.3 (49.5</w:t>
            </w:r>
            <w:r w:rsidR="005E0D57">
              <w:t>–</w:t>
            </w:r>
            <w:r>
              <w:t>55.1)</w:t>
            </w:r>
          </w:p>
        </w:tc>
        <w:tc>
          <w:tcPr>
            <w:tcW w:w="993" w:type="dxa"/>
            <w:tcBorders>
              <w:right w:val="single" w:sz="4" w:space="0" w:color="auto"/>
            </w:tcBorders>
          </w:tcPr>
          <w:p w:rsidR="003D1B93" w:rsidRPr="0067783C" w:rsidRDefault="003D1B93" w:rsidP="009F5423">
            <w:pPr>
              <w:pStyle w:val="Tabletext"/>
            </w:pPr>
            <w:r>
              <w:t>0.404</w:t>
            </w:r>
          </w:p>
        </w:tc>
      </w:tr>
      <w:tr w:rsidR="003D1B93" w:rsidRPr="00767F7A" w:rsidTr="009F5423">
        <w:tc>
          <w:tcPr>
            <w:tcW w:w="3652" w:type="dxa"/>
            <w:tcBorders>
              <w:right w:val="single" w:sz="4" w:space="0" w:color="auto"/>
            </w:tcBorders>
          </w:tcPr>
          <w:p w:rsidR="003D1B93" w:rsidRDefault="003D1B93" w:rsidP="003D1B93">
            <w:pPr>
              <w:pStyle w:val="Tabletext"/>
            </w:pPr>
            <w:r>
              <w:t xml:space="preserve">Total </w:t>
            </w:r>
            <w:r w:rsidR="005E0D57">
              <w:t>predictive value</w:t>
            </w:r>
            <w:r w:rsidR="005E0D57">
              <w:rPr>
                <w:vertAlign w:val="superscript"/>
              </w:rPr>
              <w:t>c</w:t>
            </w:r>
            <w:r>
              <w:t>,% (</w:t>
            </w:r>
            <w:r w:rsidR="005E0D57">
              <w:t>95% CI</w:t>
            </w:r>
            <w:r>
              <w:t>)</w:t>
            </w:r>
          </w:p>
        </w:tc>
        <w:tc>
          <w:tcPr>
            <w:tcW w:w="1985" w:type="dxa"/>
            <w:tcBorders>
              <w:left w:val="single" w:sz="4" w:space="0" w:color="auto"/>
            </w:tcBorders>
          </w:tcPr>
          <w:p w:rsidR="003D1B93" w:rsidRDefault="003D1B93" w:rsidP="003D1B93">
            <w:pPr>
              <w:pStyle w:val="Tabletext"/>
            </w:pPr>
            <w:r>
              <w:t>28.8 (27.4</w:t>
            </w:r>
            <w:r w:rsidR="005E0D57">
              <w:t>–</w:t>
            </w:r>
            <w:r>
              <w:t>30.2)</w:t>
            </w:r>
          </w:p>
        </w:tc>
        <w:tc>
          <w:tcPr>
            <w:tcW w:w="1842" w:type="dxa"/>
          </w:tcPr>
          <w:p w:rsidR="003D1B93" w:rsidRDefault="003D1B93" w:rsidP="003D1B93">
            <w:pPr>
              <w:pStyle w:val="Tabletext"/>
            </w:pPr>
            <w:r>
              <w:t>28.5 (26.8</w:t>
            </w:r>
            <w:r w:rsidR="005E0D57">
              <w:t>–</w:t>
            </w:r>
            <w:r>
              <w:t>30.3)</w:t>
            </w:r>
          </w:p>
        </w:tc>
        <w:tc>
          <w:tcPr>
            <w:tcW w:w="993" w:type="dxa"/>
            <w:tcBorders>
              <w:right w:val="single" w:sz="4" w:space="0" w:color="auto"/>
            </w:tcBorders>
          </w:tcPr>
          <w:p w:rsidR="003D1B93" w:rsidRDefault="003D1B93" w:rsidP="003D1B93">
            <w:pPr>
              <w:pStyle w:val="Tabletext"/>
            </w:pPr>
            <w:r>
              <w:t>0.823</w:t>
            </w:r>
          </w:p>
        </w:tc>
      </w:tr>
      <w:tr w:rsidR="009F5423" w:rsidRPr="00767F7A" w:rsidTr="009F5423">
        <w:tc>
          <w:tcPr>
            <w:tcW w:w="8472" w:type="dxa"/>
            <w:gridSpan w:val="4"/>
            <w:tcBorders>
              <w:right w:val="single" w:sz="4" w:space="0" w:color="auto"/>
            </w:tcBorders>
          </w:tcPr>
          <w:p w:rsidR="009F5423" w:rsidRDefault="00994DD6" w:rsidP="009F5423">
            <w:pPr>
              <w:pStyle w:val="Tabletext"/>
            </w:pPr>
            <w:r>
              <w:t xml:space="preserve">Source: Palmer </w:t>
            </w:r>
            <w:r w:rsidR="009F5423">
              <w:t xml:space="preserve">2012, Table </w:t>
            </w:r>
            <w:r w:rsidR="003D1B93">
              <w:t>7</w:t>
            </w:r>
          </w:p>
        </w:tc>
      </w:tr>
    </w:tbl>
    <w:p w:rsidR="003D1B93" w:rsidRDefault="003D1B93" w:rsidP="00994DD6">
      <w:pPr>
        <w:pStyle w:val="Tabletext"/>
      </w:pPr>
      <w:r>
        <w:t>a.</w:t>
      </w:r>
      <w:r>
        <w:tab/>
        <w:t>APV is the percentage referred with borderline changes or mild dyskaryosis that have CIN</w:t>
      </w:r>
      <w:r w:rsidR="00994DD6">
        <w:t xml:space="preserve"> </w:t>
      </w:r>
      <w:r w:rsidR="005E0D57">
        <w:t>2+</w:t>
      </w:r>
    </w:p>
    <w:p w:rsidR="003D1B93" w:rsidRDefault="003D1B93" w:rsidP="00994DD6">
      <w:pPr>
        <w:pStyle w:val="Tabletext"/>
        <w:ind w:left="720" w:hanging="720"/>
      </w:pPr>
      <w:r>
        <w:t>b.</w:t>
      </w:r>
      <w:r>
        <w:tab/>
        <w:t>PPV is the percentage of cases referred for high-grade cytological abnormalities (moderate dyskaryosis or worse) that are found on biopsy to have cervical intraepithelial neoplasia grade 2 or worse (CIN</w:t>
      </w:r>
      <w:r w:rsidR="00994DD6">
        <w:t xml:space="preserve"> </w:t>
      </w:r>
      <w:r w:rsidR="005E0D57">
        <w:t>2+)</w:t>
      </w:r>
    </w:p>
    <w:p w:rsidR="003D1B93" w:rsidRDefault="003D1B93" w:rsidP="00994DD6">
      <w:pPr>
        <w:pStyle w:val="Tabletext"/>
      </w:pPr>
      <w:r>
        <w:t>c.</w:t>
      </w:r>
      <w:r>
        <w:tab/>
        <w:t>TP</w:t>
      </w:r>
      <w:r w:rsidR="005E0D57">
        <w:t>V is the percentage of all women referred to colposcopy who</w:t>
      </w:r>
      <w:r>
        <w:t xml:space="preserve"> have CIN</w:t>
      </w:r>
      <w:r w:rsidR="00994DD6">
        <w:t xml:space="preserve"> </w:t>
      </w:r>
      <w:r w:rsidR="005E0D57">
        <w:t>2+</w:t>
      </w:r>
    </w:p>
    <w:p w:rsidR="00EF3DEB" w:rsidRDefault="00EF3DEB" w:rsidP="008D0453"/>
    <w:p w:rsidR="009F5423" w:rsidRPr="00274021" w:rsidRDefault="008D0453" w:rsidP="008D0453">
      <w:r>
        <w:t xml:space="preserve">The results show that image-assisted screening is at least as good as conventional screening in detecting </w:t>
      </w:r>
      <w:r w:rsidR="00906C98">
        <w:t>HSIL</w:t>
      </w:r>
      <w:r>
        <w:t xml:space="preserve"> on cytology. The imager arm showed significantly increased reporting of low-grade cytology. The maintained APV indicates that an imager report of low-grade cytology has the same significance as with manual screening and therefore suggests that there may be increased detection of CIN</w:t>
      </w:r>
      <w:r w:rsidR="00994DD6">
        <w:t xml:space="preserve"> </w:t>
      </w:r>
      <w:r>
        <w:t>2+ as a result of increased numbers of cases reported as low-grade cytology. In addition, TIS is significantly more specific than manual screening.</w:t>
      </w:r>
      <w:r w:rsidR="003F65F0">
        <w:t xml:space="preserve"> Automated slide review in Palmer 2012 averaged 17 slides per hour, a statistically significant increase of 70% compared to manual review.</w:t>
      </w:r>
    </w:p>
    <w:p w:rsidR="00A978A9" w:rsidRDefault="004347D3" w:rsidP="00A978A9">
      <w:pPr>
        <w:pStyle w:val="Heading20"/>
      </w:pPr>
      <w:bookmarkStart w:id="507" w:name="_Toc191822174"/>
      <w:bookmarkStart w:id="508" w:name="_Toc191822224"/>
      <w:bookmarkStart w:id="509" w:name="_Toc191822274"/>
      <w:bookmarkStart w:id="510" w:name="_Toc258501791"/>
      <w:bookmarkStart w:id="511" w:name="_Toc312340167"/>
      <w:bookmarkStart w:id="512" w:name="_Toc337546901"/>
      <w:r w:rsidRPr="00274021">
        <w:t>B.7</w:t>
      </w:r>
      <w:r w:rsidRPr="00274021">
        <w:tab/>
        <w:t>Extended assessment of comparative harms</w:t>
      </w:r>
      <w:bookmarkEnd w:id="507"/>
      <w:bookmarkEnd w:id="508"/>
      <w:bookmarkEnd w:id="509"/>
      <w:bookmarkEnd w:id="510"/>
      <w:bookmarkEnd w:id="511"/>
      <w:bookmarkEnd w:id="512"/>
    </w:p>
    <w:p w:rsidR="004347D3" w:rsidRPr="00E566C3" w:rsidRDefault="000C4E12" w:rsidP="00881BD2">
      <w:r>
        <w:t xml:space="preserve">Collection of cervical cells is regarded as safe (MSAC </w:t>
      </w:r>
      <w:r w:rsidR="00902BC8">
        <w:t>2009</w:t>
      </w:r>
      <w:r>
        <w:t xml:space="preserve"> p.25). </w:t>
      </w:r>
      <w:r w:rsidR="00811374">
        <w:t>A recent syst</w:t>
      </w:r>
      <w:r w:rsidR="00994DD6">
        <w:t>ematic review of screening for cervical c</w:t>
      </w:r>
      <w:r w:rsidR="00811374">
        <w:t xml:space="preserve">ancer </w:t>
      </w:r>
      <w:r w:rsidR="00994DD6">
        <w:t>to assist the US</w:t>
      </w:r>
      <w:r w:rsidR="005E1293">
        <w:t xml:space="preserve"> Preventive Services Task Force in updating its recommendations on cervical cancer screening </w:t>
      </w:r>
      <w:r w:rsidR="004278A7">
        <w:t xml:space="preserve">specifically </w:t>
      </w:r>
      <w:r w:rsidR="00811374">
        <w:t xml:space="preserve">quoted that they, “were </w:t>
      </w:r>
      <w:r w:rsidR="00C32C5C" w:rsidRPr="00C32C5C">
        <w:t xml:space="preserve">unable to </w:t>
      </w:r>
      <w:r w:rsidR="00C32C5C" w:rsidRPr="00C32C5C">
        <w:lastRenderedPageBreak/>
        <w:t xml:space="preserve">identify any studies </w:t>
      </w:r>
      <w:r w:rsidR="00C32C5C">
        <w:t xml:space="preserve">or data </w:t>
      </w:r>
      <w:r w:rsidR="00C32C5C" w:rsidRPr="00C32C5C">
        <w:t>that identified direct harms resulting from collecting the cervical sample for LBC</w:t>
      </w:r>
      <w:r w:rsidR="00811374">
        <w:t>”</w:t>
      </w:r>
      <w:r w:rsidR="002F06AC">
        <w:t xml:space="preserve"> (Vesco </w:t>
      </w:r>
      <w:r w:rsidR="00C32C5C">
        <w:t>20</w:t>
      </w:r>
      <w:r w:rsidR="00811374">
        <w:t>11</w:t>
      </w:r>
      <w:r w:rsidR="00C32C5C">
        <w:t xml:space="preserve"> p.36</w:t>
      </w:r>
      <w:r w:rsidR="005E1293">
        <w:t>)</w:t>
      </w:r>
      <w:r w:rsidR="00C32C5C" w:rsidRPr="00C32C5C">
        <w:t>.</w:t>
      </w:r>
    </w:p>
    <w:p w:rsidR="004347D3" w:rsidRDefault="004347D3" w:rsidP="00136D50">
      <w:pPr>
        <w:pStyle w:val="Heading20"/>
      </w:pPr>
      <w:bookmarkStart w:id="513" w:name="_Toc191822175"/>
      <w:bookmarkStart w:id="514" w:name="_Toc191822225"/>
      <w:bookmarkStart w:id="515" w:name="_Toc191822275"/>
      <w:bookmarkStart w:id="516" w:name="_Toc258501792"/>
      <w:bookmarkStart w:id="517" w:name="_Toc312340168"/>
      <w:bookmarkStart w:id="518" w:name="_Toc337546902"/>
      <w:r w:rsidRPr="00274021">
        <w:t>B.8</w:t>
      </w:r>
      <w:r w:rsidRPr="00274021">
        <w:tab/>
        <w:t>Interpretation of the clinical evidence</w:t>
      </w:r>
      <w:bookmarkEnd w:id="513"/>
      <w:bookmarkEnd w:id="514"/>
      <w:bookmarkEnd w:id="515"/>
      <w:bookmarkEnd w:id="516"/>
      <w:bookmarkEnd w:id="517"/>
      <w:bookmarkEnd w:id="518"/>
    </w:p>
    <w:p w:rsidR="00200EDC" w:rsidRDefault="00FB3161" w:rsidP="00FB3161">
      <w:r>
        <w:t xml:space="preserve">The present review relies on </w:t>
      </w:r>
      <w:r w:rsidR="00333B70">
        <w:t xml:space="preserve">high quality RCT </w:t>
      </w:r>
      <w:r>
        <w:t xml:space="preserve">evidence about the relative </w:t>
      </w:r>
      <w:r w:rsidR="008F1CDB">
        <w:t xml:space="preserve">differences between </w:t>
      </w:r>
      <w:r>
        <w:t xml:space="preserve">LBC </w:t>
      </w:r>
      <w:r w:rsidR="008F1CDB">
        <w:t xml:space="preserve">and conventional cytology </w:t>
      </w:r>
      <w:r>
        <w:t>to detect precancerous cervical lesions to draw conclusions about it</w:t>
      </w:r>
      <w:r w:rsidR="002F06AC">
        <w:t xml:space="preserve">s relative </w:t>
      </w:r>
      <w:r w:rsidR="008F1CDB">
        <w:t>accuracy</w:t>
      </w:r>
      <w:r w:rsidR="002F06AC">
        <w:t xml:space="preserve">. </w:t>
      </w:r>
    </w:p>
    <w:p w:rsidR="004278A7" w:rsidRDefault="00333B70" w:rsidP="004278A7">
      <w:r>
        <w:t xml:space="preserve">Overall </w:t>
      </w:r>
      <w:r w:rsidR="0064141B">
        <w:t>an assessment of the</w:t>
      </w:r>
      <w:r w:rsidR="004278A7">
        <w:t xml:space="preserve"> </w:t>
      </w:r>
      <w:r>
        <w:t xml:space="preserve">study characteristics that could potentially influence test validity, </w:t>
      </w:r>
      <w:r w:rsidR="0064141B">
        <w:t xml:space="preserve">found the following trials demonstrated notable </w:t>
      </w:r>
      <w:r w:rsidR="004278A7">
        <w:t xml:space="preserve">characteristics that differed </w:t>
      </w:r>
      <w:r w:rsidR="00322FCF">
        <w:t xml:space="preserve">from </w:t>
      </w:r>
      <w:r w:rsidR="004278A7">
        <w:t>all other RC</w:t>
      </w:r>
      <w:r w:rsidR="00C41EB6">
        <w:t>Ts</w:t>
      </w:r>
      <w:r w:rsidR="004278A7">
        <w:t>:</w:t>
      </w:r>
    </w:p>
    <w:p w:rsidR="002D2D01" w:rsidRDefault="002D2D01" w:rsidP="00C41EB6">
      <w:pPr>
        <w:numPr>
          <w:ilvl w:val="0"/>
          <w:numId w:val="18"/>
        </w:numPr>
      </w:pPr>
      <w:r>
        <w:t>The Beerman 2009 trial did not described the reference standards applied within the trial, nor the threshold of application</w:t>
      </w:r>
    </w:p>
    <w:p w:rsidR="00CF6B47" w:rsidRDefault="00CF6B47" w:rsidP="00C41EB6">
      <w:pPr>
        <w:numPr>
          <w:ilvl w:val="0"/>
          <w:numId w:val="18"/>
        </w:numPr>
      </w:pPr>
      <w:r w:rsidRPr="00CF6B47">
        <w:t>The RODEO trial is unique in that it represents a different geographical location (remote areas of Brazil) and type of health service (recruitment through mobile units).</w:t>
      </w:r>
    </w:p>
    <w:p w:rsidR="004278A7" w:rsidRDefault="004278A7" w:rsidP="00C41EB6">
      <w:pPr>
        <w:numPr>
          <w:ilvl w:val="0"/>
          <w:numId w:val="18"/>
        </w:numPr>
      </w:pPr>
      <w:r>
        <w:t xml:space="preserve">The NTCC trial was unique in the application of different reference standards between the arms of the trial. </w:t>
      </w:r>
    </w:p>
    <w:p w:rsidR="00333B70" w:rsidRDefault="004278A7" w:rsidP="00C41EB6">
      <w:pPr>
        <w:numPr>
          <w:ilvl w:val="0"/>
          <w:numId w:val="18"/>
        </w:numPr>
      </w:pPr>
      <w:r>
        <w:t>The NTCC and MAVARIC performed HPV triage on LBC samples only which went on to inform the application of the reference standard.</w:t>
      </w:r>
    </w:p>
    <w:p w:rsidR="004278A7" w:rsidRDefault="00C41EB6" w:rsidP="00C41EB6">
      <w:pPr>
        <w:numPr>
          <w:ilvl w:val="0"/>
          <w:numId w:val="18"/>
        </w:numPr>
      </w:pPr>
      <w:r w:rsidRPr="004278A7">
        <w:t xml:space="preserve">Obwegeser 2001 </w:t>
      </w:r>
      <w:r>
        <w:t xml:space="preserve">used different </w:t>
      </w:r>
      <w:r w:rsidR="004278A7" w:rsidRPr="004278A7">
        <w:t>tool</w:t>
      </w:r>
      <w:r>
        <w:t>s</w:t>
      </w:r>
      <w:r w:rsidR="004278A7" w:rsidRPr="004278A7">
        <w:t xml:space="preserve"> between the arms within </w:t>
      </w:r>
      <w:r>
        <w:t>the</w:t>
      </w:r>
      <w:r w:rsidR="004278A7" w:rsidRPr="004278A7">
        <w:t xml:space="preserve"> trial (a spatula for the collection of cells for conventional slides and cytobrush to collect cells for LBC).</w:t>
      </w:r>
    </w:p>
    <w:p w:rsidR="00D53404" w:rsidRDefault="00C41EB6" w:rsidP="00D53404">
      <w:r>
        <w:t>The results of the</w:t>
      </w:r>
      <w:r w:rsidR="002D2D01">
        <w:t xml:space="preserve"> NTCC, MAVARIC and Obwegeser 2001 trials are viewed with caution due to the imbalance of confounding factors between arms. Ho</w:t>
      </w:r>
      <w:r>
        <w:t>wever for the remaining trials, c</w:t>
      </w:r>
      <w:r w:rsidR="00D53404">
        <w:t xml:space="preserve">ompared to conventional cytology, cell enrichment </w:t>
      </w:r>
      <w:r w:rsidR="005E0D57">
        <w:t>liquid-based</w:t>
      </w:r>
      <w:r w:rsidR="00D53404">
        <w:t xml:space="preserve"> cytology</w:t>
      </w:r>
      <w:r w:rsidR="00CA694C">
        <w:t xml:space="preserve"> results in</w:t>
      </w:r>
      <w:r w:rsidR="00D53404">
        <w:t>:</w:t>
      </w:r>
    </w:p>
    <w:p w:rsidR="00D53404" w:rsidRDefault="00CA694C" w:rsidP="002F06AC">
      <w:pPr>
        <w:pStyle w:val="Bulletedbodytext"/>
      </w:pPr>
      <w:r>
        <w:t>fewer</w:t>
      </w:r>
      <w:r w:rsidR="00D53404">
        <w:t xml:space="preserve"> unsatisfactory tests (furthermore</w:t>
      </w:r>
      <w:r w:rsidR="00BC5AC9">
        <w:t>,</w:t>
      </w:r>
      <w:r w:rsidR="00D53404">
        <w:t xml:space="preserve"> cell enrichment LBC is associated with a lower rate of unsatisfact</w:t>
      </w:r>
      <w:r>
        <w:t>ory tests than cell filtration) and</w:t>
      </w:r>
    </w:p>
    <w:p w:rsidR="00655E8D" w:rsidRDefault="00655E8D" w:rsidP="002F06AC">
      <w:pPr>
        <w:pStyle w:val="Bulletedbodytext"/>
      </w:pPr>
      <w:proofErr w:type="gramStart"/>
      <w:r w:rsidRPr="00655E8D">
        <w:t>si</w:t>
      </w:r>
      <w:r w:rsidR="002F06AC">
        <w:t>gnificantly</w:t>
      </w:r>
      <w:proofErr w:type="gramEnd"/>
      <w:r w:rsidR="002F06AC">
        <w:t xml:space="preserve"> </w:t>
      </w:r>
      <w:r w:rsidR="004C112A">
        <w:t xml:space="preserve">less normal outcomes and </w:t>
      </w:r>
      <w:r w:rsidR="002F06AC">
        <w:t>more ASCUS</w:t>
      </w:r>
      <w:r w:rsidR="00CA694C">
        <w:t xml:space="preserve"> </w:t>
      </w:r>
      <w:r w:rsidR="003F65F0">
        <w:t>(+AGUS)</w:t>
      </w:r>
      <w:r w:rsidR="002F06AC">
        <w:t>.</w:t>
      </w:r>
    </w:p>
    <w:p w:rsidR="00655E8D" w:rsidRDefault="00655E8D" w:rsidP="00655E8D">
      <w:r>
        <w:t xml:space="preserve">Upon application of the reference standard, compared to conventional cytology, cell enrichment </w:t>
      </w:r>
      <w:r w:rsidR="005E0D57">
        <w:t>liquid-based</w:t>
      </w:r>
      <w:r>
        <w:t xml:space="preserve"> cytology</w:t>
      </w:r>
      <w:r w:rsidR="002F06AC">
        <w:t>:</w:t>
      </w:r>
    </w:p>
    <w:p w:rsidR="00D53404" w:rsidRDefault="00D53404" w:rsidP="002F06AC">
      <w:pPr>
        <w:pStyle w:val="Bulletedbodytext"/>
      </w:pPr>
      <w:r>
        <w:t>demonstrates a significantly greater sensitivity to detect CIN 1+ at a test threshold of ASCUS (pLSIL)</w:t>
      </w:r>
    </w:p>
    <w:p w:rsidR="00D53404" w:rsidRDefault="00D53404" w:rsidP="002F06AC">
      <w:pPr>
        <w:pStyle w:val="Bulletedbodytext"/>
      </w:pPr>
      <w:r>
        <w:lastRenderedPageBreak/>
        <w:t xml:space="preserve">demonstrates a significantly reduced specificity to detect CIN 1+ at a </w:t>
      </w:r>
      <w:r w:rsidR="00BC5AC9">
        <w:t>test threshold of ASCUS (pLSIL)</w:t>
      </w:r>
    </w:p>
    <w:p w:rsidR="00D53404" w:rsidRDefault="00D53404" w:rsidP="002F06AC">
      <w:pPr>
        <w:pStyle w:val="Bulletedbodytext"/>
      </w:pPr>
      <w:proofErr w:type="gramStart"/>
      <w:r>
        <w:t>is</w:t>
      </w:r>
      <w:proofErr w:type="gramEnd"/>
      <w:r>
        <w:t xml:space="preserve"> not significantly different in the </w:t>
      </w:r>
      <w:r w:rsidR="008F1CDB">
        <w:t>PPV for</w:t>
      </w:r>
      <w:r>
        <w:t xml:space="preserve"> CIN</w:t>
      </w:r>
      <w:r w:rsidR="00BC5AC9">
        <w:t xml:space="preserve"> </w:t>
      </w:r>
      <w:r>
        <w:t>2+ or CIN</w:t>
      </w:r>
      <w:r w:rsidR="00BC5AC9">
        <w:t xml:space="preserve"> </w:t>
      </w:r>
      <w:r>
        <w:t>3+ at a test threshold of ASCUS+ (pLSIL), LSIL+ or HSIL+.</w:t>
      </w:r>
    </w:p>
    <w:p w:rsidR="00D53404" w:rsidRDefault="00D53404" w:rsidP="00D53404">
      <w:r>
        <w:t xml:space="preserve">These conclusions are similar to those reached in MSAC’s </w:t>
      </w:r>
      <w:r w:rsidRPr="00583406">
        <w:t xml:space="preserve">second review </w:t>
      </w:r>
      <w:r>
        <w:t xml:space="preserve">of LBC in </w:t>
      </w:r>
      <w:r w:rsidRPr="00583406">
        <w:t>2009</w:t>
      </w:r>
      <w:r>
        <w:t xml:space="preserve"> </w:t>
      </w:r>
      <w:r w:rsidRPr="00583406">
        <w:t>(</w:t>
      </w:r>
      <w:r>
        <w:t xml:space="preserve">MSAC </w:t>
      </w:r>
      <w:r w:rsidR="00902BC8">
        <w:t>2009</w:t>
      </w:r>
      <w:r w:rsidRPr="00583406">
        <w:t>)</w:t>
      </w:r>
      <w:r>
        <w:t>.</w:t>
      </w:r>
    </w:p>
    <w:p w:rsidR="00BA4C57" w:rsidRDefault="00BA4C57" w:rsidP="00BA4C57">
      <w:r>
        <w:t>Compared to conventional cytology, cell filtration liquid-based cytology results in:</w:t>
      </w:r>
    </w:p>
    <w:p w:rsidR="00BA4C57" w:rsidRDefault="00BA4C57" w:rsidP="00BA4C57">
      <w:pPr>
        <w:pStyle w:val="Bulletedbodytext"/>
      </w:pPr>
      <w:r>
        <w:t>fewer unsatisfactory tests and,</w:t>
      </w:r>
    </w:p>
    <w:p w:rsidR="00BA4C57" w:rsidRDefault="00BA4C57" w:rsidP="00BA4C57">
      <w:pPr>
        <w:pStyle w:val="Bulletedbodytext"/>
      </w:pPr>
      <w:proofErr w:type="gramStart"/>
      <w:r>
        <w:t>similar</w:t>
      </w:r>
      <w:proofErr w:type="gramEnd"/>
      <w:r>
        <w:t xml:space="preserve"> to increased rates of LSIL (although trials are heterogenous with </w:t>
      </w:r>
      <w:r w:rsidRPr="00BA4C57">
        <w:t>the baseline test yield results vary</w:t>
      </w:r>
      <w:r>
        <w:t xml:space="preserve">ing </w:t>
      </w:r>
      <w:r w:rsidRPr="00BA4C57">
        <w:t xml:space="preserve">between trials </w:t>
      </w:r>
      <w:r w:rsidR="001A3CFB" w:rsidRPr="00BA4C57">
        <w:t>as</w:t>
      </w:r>
      <w:r w:rsidR="001A3CFB">
        <w:t xml:space="preserve"> well</w:t>
      </w:r>
      <w:r w:rsidRPr="00BA4C57">
        <w:t xml:space="preserve"> the relative difference</w:t>
      </w:r>
      <w:r>
        <w:t>)</w:t>
      </w:r>
      <w:r w:rsidRPr="00BA4C57">
        <w:t xml:space="preserve">. </w:t>
      </w:r>
    </w:p>
    <w:p w:rsidR="003F65F0" w:rsidRDefault="003F65F0" w:rsidP="00BA4C57"/>
    <w:p w:rsidR="00BA4C57" w:rsidRDefault="00BA4C57" w:rsidP="00BA4C57">
      <w:r>
        <w:t>Upon application of the reference standard, compared to conventional cytology, cell filtration liquid-based cytology:</w:t>
      </w:r>
    </w:p>
    <w:p w:rsidR="00BA4C57" w:rsidRDefault="00BA4C57" w:rsidP="00BA4C57">
      <w:pPr>
        <w:pStyle w:val="Bulletedbodytext"/>
      </w:pPr>
      <w:proofErr w:type="gramStart"/>
      <w:r>
        <w:t>demonstrates</w:t>
      </w:r>
      <w:proofErr w:type="gramEnd"/>
      <w:r>
        <w:t xml:space="preserve"> a significantly greater sensitivity to detect CIN 1+ at a test threshold of ASCUS (pLSIL)</w:t>
      </w:r>
      <w:r w:rsidR="003F65F0" w:rsidRPr="003F65F0">
        <w:t xml:space="preserve"> </w:t>
      </w:r>
      <w:r w:rsidR="003F65F0" w:rsidRPr="002E2A50">
        <w:t>(96.3% vs. 92.0%, P=0.0244</w:t>
      </w:r>
      <w:r w:rsidR="003F65F0">
        <w:t>; an absolute increase of 4.3%)</w:t>
      </w:r>
    </w:p>
    <w:p w:rsidR="00BA4C57" w:rsidRDefault="00BA4C57" w:rsidP="00BA4C57">
      <w:pPr>
        <w:pStyle w:val="Bulletedbodytext"/>
      </w:pPr>
      <w:proofErr w:type="gramStart"/>
      <w:r>
        <w:t>demonstrates</w:t>
      </w:r>
      <w:proofErr w:type="gramEnd"/>
      <w:r>
        <w:t xml:space="preserve"> a significantly reduced specificity to detect CIN 1+ at a test threshold of ASCUS (pLSIL)</w:t>
      </w:r>
      <w:r w:rsidR="003F65F0" w:rsidRPr="003F65F0">
        <w:t xml:space="preserve"> </w:t>
      </w:r>
      <w:r w:rsidR="003F65F0" w:rsidRPr="002E2A50">
        <w:t>(97.7% vs. 98.</w:t>
      </w:r>
      <w:r w:rsidR="003F65F0">
        <w:t>2</w:t>
      </w:r>
      <w:r w:rsidR="003F65F0" w:rsidRPr="002E2A50">
        <w:t>%, P &lt; 0.0001</w:t>
      </w:r>
      <w:r w:rsidR="003F65F0">
        <w:t>, an absolute decrease of 0.5%</w:t>
      </w:r>
      <w:r w:rsidR="003F65F0" w:rsidRPr="002E2A50">
        <w:t>).</w:t>
      </w:r>
    </w:p>
    <w:p w:rsidR="00BA4C57" w:rsidRDefault="00BA4C57" w:rsidP="00BA4C57">
      <w:pPr>
        <w:pStyle w:val="Bulletedbodytext"/>
      </w:pPr>
      <w:proofErr w:type="gramStart"/>
      <w:r>
        <w:t>is</w:t>
      </w:r>
      <w:proofErr w:type="gramEnd"/>
      <w:r>
        <w:t xml:space="preserve"> not significantly different in the PPV for CIN 2+ or CIN 3+ at a test threshold of ASCUS+ (pLSIL), LSIL+ or HSIL+.</w:t>
      </w:r>
    </w:p>
    <w:p w:rsidR="00BA4C57" w:rsidRDefault="00BA4C57" w:rsidP="002D2D01"/>
    <w:p w:rsidR="003F65F0" w:rsidRDefault="003F65F0" w:rsidP="003F65F0">
      <w:pPr>
        <w:pStyle w:val="ListParagraph"/>
      </w:pPr>
      <w:r w:rsidRPr="00DC6EEA">
        <w:t>CIN 1</w:t>
      </w:r>
      <w:r>
        <w:t xml:space="preserve"> </w:t>
      </w:r>
      <w:r w:rsidRPr="00DC6EEA">
        <w:t>is the histopathologic manifestation of a carcinogenic or non-carcinogenic HPV infection that rarely progresses to cancer</w:t>
      </w:r>
      <w:r>
        <w:t xml:space="preserve"> (Arbyn 2009).</w:t>
      </w:r>
      <w:r w:rsidRPr="00DC6EEA">
        <w:t xml:space="preserve"> </w:t>
      </w:r>
      <w:r>
        <w:t xml:space="preserve">The Australian cervical screening guidelines </w:t>
      </w:r>
      <w:r w:rsidRPr="009E148E">
        <w:t>take the conservative approach whereby the clinical investigation for  a pL</w:t>
      </w:r>
      <w:r>
        <w:t xml:space="preserve">SIL outcome is follow up CC </w:t>
      </w:r>
      <w:r w:rsidRPr="009E148E">
        <w:t>in 12 months</w:t>
      </w:r>
      <w:r>
        <w:t xml:space="preserve"> (NHMRC 2005). Given the transient nature of much CIN1, Arbyn recommends that</w:t>
      </w:r>
      <w:r w:rsidRPr="00CD45C5">
        <w:t xml:space="preserve"> surrogate outcomes such as reduction of incidence of CIN 3</w:t>
      </w:r>
      <w:r>
        <w:t>+</w:t>
      </w:r>
      <w:r w:rsidRPr="00CD45C5">
        <w:t>, increased detection rate of CIN 3+ or CIN 2+, or increased, similar or hardly reduced positi</w:t>
      </w:r>
      <w:r>
        <w:t>ve predictive provide more robust comparative assessment of the screening technology</w:t>
      </w:r>
      <w:r w:rsidRPr="00CD45C5">
        <w:t xml:space="preserve">. CIN 3 </w:t>
      </w:r>
      <w:r>
        <w:t xml:space="preserve">in particular is </w:t>
      </w:r>
      <w:r w:rsidRPr="00CD45C5">
        <w:t xml:space="preserve">the direct precursor of invasive cancer, and therefore a </w:t>
      </w:r>
      <w:r>
        <w:t xml:space="preserve">good </w:t>
      </w:r>
      <w:r w:rsidRPr="00CD45C5">
        <w:t xml:space="preserve">proxy outcome of trials evaluating new </w:t>
      </w:r>
      <w:r>
        <w:t>technologies.</w:t>
      </w:r>
    </w:p>
    <w:p w:rsidR="003F65F0" w:rsidRDefault="003F65F0" w:rsidP="003F65F0">
      <w:r w:rsidRPr="00A075C2">
        <w:t>Although false positives are undesirable in a screening program, the follow up investigation in this circumstance does not expose patients to a high risk of adverse outcome.</w:t>
      </w:r>
    </w:p>
    <w:p w:rsidR="003F65F0" w:rsidRDefault="003F65F0" w:rsidP="003F65F0">
      <w:r w:rsidRPr="00C62016">
        <w:lastRenderedPageBreak/>
        <w:t xml:space="preserve">These conclusions are similar to those reached in MSAC’s second review of LBC in 2009 (MSAC </w:t>
      </w:r>
      <w:r>
        <w:t>2009</w:t>
      </w:r>
      <w:r w:rsidRPr="00C62016">
        <w:t>).</w:t>
      </w:r>
    </w:p>
    <w:p w:rsidR="003F65F0" w:rsidRDefault="003F65F0" w:rsidP="003F65F0">
      <w:r>
        <w:t>Importantly given the level of evidence and the number of trials now available it was possible to pool the numbers of cervical cancers or CIN 3+ detected thereby increasing the power to detect any difference between LBC and CC. The pooled OR (OR 0.69, 95% CI 0.50 to -0.95) indicates that the odds of detecting CIN3+ with conventional cytology is 31% lower than with LBC.</w:t>
      </w:r>
    </w:p>
    <w:p w:rsidR="001873A8" w:rsidRDefault="00947991" w:rsidP="001873A8">
      <w:r>
        <w:t xml:space="preserve">In regard to the comparison of manual versus automated review, the results of the MAVARIC trial are confounded due to triage HPV testing, the results of which dictated the </w:t>
      </w:r>
      <w:r w:rsidR="00140CA4">
        <w:t>application</w:t>
      </w:r>
      <w:r>
        <w:t xml:space="preserve"> of the reference standard. The results from the study by Palmer 2012 showed </w:t>
      </w:r>
      <w:r w:rsidRPr="00EF3DEB">
        <w:t xml:space="preserve">that image-assisted screening is </w:t>
      </w:r>
      <w:r>
        <w:t xml:space="preserve">at least as good as </w:t>
      </w:r>
      <w:r w:rsidRPr="00EF3DEB">
        <w:t xml:space="preserve">screening </w:t>
      </w:r>
      <w:r>
        <w:t xml:space="preserve">with conventional cytology and </w:t>
      </w:r>
      <w:r w:rsidRPr="00EF3DEB">
        <w:t>is significantly more specific than manual screening.</w:t>
      </w:r>
      <w:r>
        <w:t xml:space="preserve"> </w:t>
      </w:r>
      <w:r w:rsidR="00C977FE">
        <w:t>Palmer and MAVARIC both note</w:t>
      </w:r>
      <w:r w:rsidR="00CF6B47">
        <w:t xml:space="preserve"> that productivity increased sign</w:t>
      </w:r>
      <w:r w:rsidR="003F65F0">
        <w:t>ificantly</w:t>
      </w:r>
      <w:r w:rsidR="00CF6B47">
        <w:t xml:space="preserve"> with imager assisted </w:t>
      </w:r>
      <w:r w:rsidR="001A3CFB">
        <w:t xml:space="preserve">reading. </w:t>
      </w:r>
      <w:r w:rsidR="001873A8">
        <w:t>conclusions reached in the Palmer 2012 trial are sim</w:t>
      </w:r>
      <w:r w:rsidR="007F13EE">
        <w:t>ilar to those reached in MSAC’s</w:t>
      </w:r>
      <w:r w:rsidR="001873A8" w:rsidRPr="00583406">
        <w:t xml:space="preserve"> review </w:t>
      </w:r>
      <w:r w:rsidR="001873A8">
        <w:t xml:space="preserve">of </w:t>
      </w:r>
      <w:r w:rsidR="007F13EE">
        <w:t xml:space="preserve">automated review of </w:t>
      </w:r>
      <w:r w:rsidR="001873A8">
        <w:t xml:space="preserve">LBC in </w:t>
      </w:r>
      <w:r w:rsidR="001873A8" w:rsidRPr="00583406">
        <w:t>2009</w:t>
      </w:r>
      <w:r w:rsidR="001873A8">
        <w:t xml:space="preserve"> </w:t>
      </w:r>
      <w:r w:rsidR="001873A8" w:rsidRPr="00583406">
        <w:t>(</w:t>
      </w:r>
      <w:r w:rsidR="001873A8">
        <w:t xml:space="preserve">MSAC </w:t>
      </w:r>
      <w:r w:rsidR="00902BC8">
        <w:t>2009</w:t>
      </w:r>
      <w:r w:rsidR="001873A8" w:rsidRPr="00583406">
        <w:t>)</w:t>
      </w:r>
      <w:r w:rsidR="001873A8">
        <w:t>.</w:t>
      </w:r>
    </w:p>
    <w:p w:rsidR="00D53404" w:rsidRDefault="00D53404" w:rsidP="00D53404">
      <w:r>
        <w:t>The evidence base used to reach the conclu</w:t>
      </w:r>
      <w:r w:rsidR="00CA694C">
        <w:t xml:space="preserve">sions above are summarised in </w:t>
      </w:r>
      <w:r w:rsidR="00086C77">
        <w:fldChar w:fldCharType="begin"/>
      </w:r>
      <w:r w:rsidR="00CA694C">
        <w:instrText xml:space="preserve"> REF _Ref335999153 \h </w:instrText>
      </w:r>
      <w:r w:rsidR="00086C77">
        <w:fldChar w:fldCharType="separate"/>
      </w:r>
      <w:r w:rsidR="003361A8">
        <w:t xml:space="preserve">Table </w:t>
      </w:r>
      <w:r w:rsidR="003361A8">
        <w:rPr>
          <w:noProof/>
        </w:rPr>
        <w:t>81</w:t>
      </w:r>
      <w:r w:rsidR="00086C77">
        <w:fldChar w:fldCharType="end"/>
      </w:r>
      <w:r>
        <w:t xml:space="preserve"> with respect to important features of the evidence outlined in Section B.8 of the PBAC Guidelines.</w:t>
      </w:r>
    </w:p>
    <w:p w:rsidR="002F06AC" w:rsidRDefault="002F06AC" w:rsidP="00D53404">
      <w:pPr>
        <w:sectPr w:rsidR="002F06AC" w:rsidSect="008846BA">
          <w:headerReference w:type="default" r:id="rId35"/>
          <w:pgSz w:w="11907" w:h="16840" w:code="9"/>
          <w:pgMar w:top="1418" w:right="1418" w:bottom="1701" w:left="1814" w:header="720" w:footer="720" w:gutter="0"/>
          <w:paperSrc w:first="7" w:other="7"/>
          <w:cols w:space="720"/>
          <w:noEndnote/>
          <w:docGrid w:linePitch="299"/>
        </w:sectPr>
      </w:pPr>
    </w:p>
    <w:p w:rsidR="00D53404" w:rsidRDefault="00D53404" w:rsidP="00D53404">
      <w:pPr>
        <w:pStyle w:val="Caption"/>
      </w:pPr>
      <w:bookmarkStart w:id="519" w:name="_Ref335999153"/>
      <w:bookmarkStart w:id="520" w:name="_Toc335666053"/>
      <w:bookmarkStart w:id="521" w:name="_Toc337547018"/>
      <w:r>
        <w:lastRenderedPageBreak/>
        <w:t xml:space="preserve">Table </w:t>
      </w:r>
      <w:fldSimple w:instr=" SEQ Table \* ARABIC ">
        <w:r w:rsidR="003361A8">
          <w:rPr>
            <w:noProof/>
          </w:rPr>
          <w:t>81</w:t>
        </w:r>
      </w:fldSimple>
      <w:bookmarkEnd w:id="519"/>
      <w:r>
        <w:tab/>
        <w:t>Summary of the evidence base supporting the therapeutic claims</w:t>
      </w:r>
      <w:bookmarkEnd w:id="520"/>
      <w:bookmarkEnd w:id="5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4"/>
        <w:gridCol w:w="2891"/>
        <w:gridCol w:w="2554"/>
        <w:gridCol w:w="3010"/>
        <w:gridCol w:w="3768"/>
      </w:tblGrid>
      <w:tr w:rsidR="00CA694C" w:rsidTr="00BC5AC9">
        <w:trPr>
          <w:cantSplit/>
          <w:tblHeader/>
        </w:trPr>
        <w:tc>
          <w:tcPr>
            <w:tcW w:w="1714" w:type="dxa"/>
          </w:tcPr>
          <w:p w:rsidR="00D53404" w:rsidRPr="00E143A4" w:rsidRDefault="00D53404" w:rsidP="00281AE4">
            <w:pPr>
              <w:pStyle w:val="Tabletext"/>
              <w:rPr>
                <w:b/>
              </w:rPr>
            </w:pPr>
            <w:r w:rsidRPr="00E143A4">
              <w:rPr>
                <w:b/>
              </w:rPr>
              <w:t>Comparison</w:t>
            </w:r>
          </w:p>
        </w:tc>
        <w:tc>
          <w:tcPr>
            <w:tcW w:w="0" w:type="auto"/>
          </w:tcPr>
          <w:p w:rsidR="00D53404" w:rsidRPr="00E143A4" w:rsidRDefault="00D53404" w:rsidP="00281AE4">
            <w:pPr>
              <w:pStyle w:val="Tabletext"/>
              <w:rPr>
                <w:b/>
              </w:rPr>
            </w:pPr>
            <w:r w:rsidRPr="00E143A4">
              <w:rPr>
                <w:b/>
              </w:rPr>
              <w:t>Therapeutic claim</w:t>
            </w:r>
          </w:p>
        </w:tc>
        <w:tc>
          <w:tcPr>
            <w:tcW w:w="0" w:type="auto"/>
          </w:tcPr>
          <w:p w:rsidR="00D53404" w:rsidRPr="00E143A4" w:rsidRDefault="00D53404" w:rsidP="00281AE4">
            <w:pPr>
              <w:pStyle w:val="Tabletext"/>
              <w:rPr>
                <w:b/>
              </w:rPr>
            </w:pPr>
            <w:r w:rsidRPr="00E143A4">
              <w:rPr>
                <w:b/>
              </w:rPr>
              <w:t>The level and quality of the evidence</w:t>
            </w:r>
          </w:p>
        </w:tc>
        <w:tc>
          <w:tcPr>
            <w:tcW w:w="0" w:type="auto"/>
          </w:tcPr>
          <w:p w:rsidR="00D53404" w:rsidRPr="00E143A4" w:rsidRDefault="00D53404" w:rsidP="00281AE4">
            <w:pPr>
              <w:pStyle w:val="Tabletext"/>
              <w:rPr>
                <w:b/>
              </w:rPr>
            </w:pPr>
            <w:r w:rsidRPr="00E143A4">
              <w:rPr>
                <w:b/>
              </w:rPr>
              <w:t xml:space="preserve">Statistical precision </w:t>
            </w:r>
            <w:r>
              <w:rPr>
                <w:b/>
              </w:rPr>
              <w:t xml:space="preserve">and size of </w:t>
            </w:r>
            <w:r w:rsidRPr="00E143A4">
              <w:rPr>
                <w:b/>
              </w:rPr>
              <w:t>the effect</w:t>
            </w:r>
          </w:p>
        </w:tc>
        <w:tc>
          <w:tcPr>
            <w:tcW w:w="0" w:type="auto"/>
          </w:tcPr>
          <w:p w:rsidR="00D53404" w:rsidRPr="00E143A4" w:rsidRDefault="00D53404" w:rsidP="00281AE4">
            <w:pPr>
              <w:pStyle w:val="Tabletext"/>
              <w:rPr>
                <w:b/>
              </w:rPr>
            </w:pPr>
            <w:r w:rsidRPr="00E143A4">
              <w:rPr>
                <w:b/>
              </w:rPr>
              <w:t>Consistency of the results over the trials presented</w:t>
            </w:r>
          </w:p>
        </w:tc>
      </w:tr>
      <w:tr w:rsidR="00BC5AC9" w:rsidTr="002741E1">
        <w:trPr>
          <w:cantSplit/>
        </w:trPr>
        <w:tc>
          <w:tcPr>
            <w:tcW w:w="1714" w:type="dxa"/>
            <w:vMerge w:val="restart"/>
          </w:tcPr>
          <w:p w:rsidR="00BC5AC9" w:rsidRDefault="00BC5AC9" w:rsidP="00281AE4">
            <w:pPr>
              <w:pStyle w:val="Tabletext"/>
            </w:pPr>
            <w:r>
              <w:t>Cell enrichment LBC vs. conventional cytology</w:t>
            </w:r>
          </w:p>
        </w:tc>
        <w:tc>
          <w:tcPr>
            <w:tcW w:w="0" w:type="auto"/>
          </w:tcPr>
          <w:p w:rsidR="00BC5AC9" w:rsidRDefault="00BC5AC9" w:rsidP="00281AE4">
            <w:pPr>
              <w:pStyle w:val="Tabletext"/>
            </w:pPr>
            <w:r>
              <w:t>Cell enrichment LBC results in fewer unsatisfactory tests</w:t>
            </w:r>
          </w:p>
        </w:tc>
        <w:tc>
          <w:tcPr>
            <w:tcW w:w="0" w:type="auto"/>
            <w:vMerge w:val="restart"/>
            <w:vAlign w:val="center"/>
          </w:tcPr>
          <w:p w:rsidR="00BC5AC9" w:rsidRDefault="00BC5AC9" w:rsidP="002741E1">
            <w:pPr>
              <w:pStyle w:val="Tabletext"/>
            </w:pPr>
            <w:r>
              <w:t>Single head-to-head RCT of over 80,000 slides</w:t>
            </w:r>
          </w:p>
          <w:p w:rsidR="00BC5AC9" w:rsidRDefault="00BC5AC9" w:rsidP="002741E1">
            <w:pPr>
              <w:pStyle w:val="Tabletext"/>
            </w:pPr>
            <w:r>
              <w:t>(Beerman 2009)</w:t>
            </w:r>
          </w:p>
        </w:tc>
        <w:tc>
          <w:tcPr>
            <w:tcW w:w="0" w:type="auto"/>
            <w:vAlign w:val="center"/>
          </w:tcPr>
          <w:p w:rsidR="00BC5AC9" w:rsidRDefault="00BC5AC9" w:rsidP="00281AE4">
            <w:pPr>
              <w:pStyle w:val="Tabletext"/>
            </w:pPr>
            <w:r>
              <w:t>% of tests (n/N)</w:t>
            </w:r>
            <w:r>
              <w:br/>
              <w:t>LBC: 0.1% (46/35315)</w:t>
            </w:r>
            <w:r>
              <w:br/>
              <w:t>CC: 0.9% (435/51132)</w:t>
            </w:r>
          </w:p>
          <w:p w:rsidR="00BC5AC9" w:rsidRDefault="00BC5AC9" w:rsidP="00281AE4">
            <w:pPr>
              <w:pStyle w:val="Tabletext"/>
            </w:pPr>
            <w:r>
              <w:t>OR (95% CI):</w:t>
            </w:r>
            <w:r>
              <w:br/>
              <w:t>0.15 (0.11, 0.21) (</w:t>
            </w:r>
            <w:r w:rsidR="00086C77">
              <w:fldChar w:fldCharType="begin"/>
            </w:r>
            <w:r w:rsidR="00086C77">
              <w:instrText xml:space="preserve"> REF _Ref333993174 \h  \* MERGEFORMAT </w:instrText>
            </w:r>
            <w:r w:rsidR="00086C77">
              <w:fldChar w:fldCharType="separate"/>
            </w:r>
            <w:r w:rsidR="003361A8">
              <w:t xml:space="preserve">Table </w:t>
            </w:r>
            <w:r w:rsidR="003361A8">
              <w:rPr>
                <w:noProof/>
              </w:rPr>
              <w:t>24</w:t>
            </w:r>
            <w:r w:rsidR="00086C77">
              <w:fldChar w:fldCharType="end"/>
            </w:r>
            <w:r>
              <w:t>)</w:t>
            </w:r>
          </w:p>
        </w:tc>
        <w:tc>
          <w:tcPr>
            <w:tcW w:w="0" w:type="auto"/>
          </w:tcPr>
          <w:p w:rsidR="00BC5AC9" w:rsidRDefault="00BC5AC9" w:rsidP="00281AE4">
            <w:pPr>
              <w:pStyle w:val="Tabletext"/>
            </w:pPr>
            <w:r>
              <w:t>Not applicable (only one trial with evidence). Although unsatisfactory tests consistently lower with LBC (of either method compared with conventional cytology)</w:t>
            </w:r>
          </w:p>
        </w:tc>
      </w:tr>
      <w:tr w:rsidR="00BA4C57" w:rsidTr="002741E1">
        <w:trPr>
          <w:cantSplit/>
        </w:trPr>
        <w:tc>
          <w:tcPr>
            <w:tcW w:w="1714" w:type="dxa"/>
            <w:vMerge/>
          </w:tcPr>
          <w:p w:rsidR="00BA4C57" w:rsidRDefault="00BA4C57" w:rsidP="00281AE4">
            <w:pPr>
              <w:pStyle w:val="Tabletext"/>
            </w:pPr>
          </w:p>
        </w:tc>
        <w:tc>
          <w:tcPr>
            <w:tcW w:w="0" w:type="auto"/>
          </w:tcPr>
          <w:p w:rsidR="00BA4C57" w:rsidRDefault="00BA4C57" w:rsidP="00BA4C57">
            <w:pPr>
              <w:pStyle w:val="Tabletext"/>
            </w:pPr>
            <w:r>
              <w:t xml:space="preserve">Cell enrichment </w:t>
            </w:r>
            <w:r w:rsidRPr="00332AD3">
              <w:t xml:space="preserve">demonstrates a </w:t>
            </w:r>
            <w:r w:rsidRPr="00332AD3">
              <w:rPr>
                <w:b/>
                <w:i/>
              </w:rPr>
              <w:t>significantly greater sensitivity</w:t>
            </w:r>
            <w:r w:rsidRPr="00332AD3">
              <w:t xml:space="preserve"> to detect CIN 1+ at a test threshold of ASCUS (pLSIL)</w:t>
            </w:r>
          </w:p>
        </w:tc>
        <w:tc>
          <w:tcPr>
            <w:tcW w:w="0" w:type="auto"/>
            <w:vMerge/>
            <w:vAlign w:val="center"/>
          </w:tcPr>
          <w:p w:rsidR="00BA4C57" w:rsidRDefault="00BA4C57" w:rsidP="002741E1">
            <w:pPr>
              <w:pStyle w:val="Tabletext"/>
            </w:pPr>
          </w:p>
        </w:tc>
        <w:tc>
          <w:tcPr>
            <w:tcW w:w="0" w:type="auto"/>
            <w:vAlign w:val="center"/>
          </w:tcPr>
          <w:p w:rsidR="00BA4C57" w:rsidRDefault="00BA4C57" w:rsidP="00BA4C57">
            <w:pPr>
              <w:pStyle w:val="Tabletext"/>
            </w:pPr>
            <w:r>
              <w:t>Sensitivity [95% CI]</w:t>
            </w:r>
          </w:p>
          <w:p w:rsidR="00BA4C57" w:rsidRDefault="00BA4C57" w:rsidP="00BA4C57">
            <w:pPr>
              <w:pStyle w:val="Tabletext"/>
            </w:pPr>
            <w:r>
              <w:t>LBC: 96.24% [93.54, 97.84]</w:t>
            </w:r>
          </w:p>
          <w:p w:rsidR="00BA4C57" w:rsidRDefault="00BA4C57" w:rsidP="00BA4C57">
            <w:pPr>
              <w:pStyle w:val="Tabletext"/>
            </w:pPr>
            <w:r>
              <w:t>CC: 92.04% [88.87, 94.37]</w:t>
            </w:r>
          </w:p>
          <w:p w:rsidR="00BA4C57" w:rsidRDefault="00BA4C57" w:rsidP="00BA4C57">
            <w:pPr>
              <w:pStyle w:val="Tabletext"/>
            </w:pPr>
            <w:r>
              <w:t>P=0.0244 (</w:t>
            </w:r>
            <w:r w:rsidR="00086C77">
              <w:fldChar w:fldCharType="begin"/>
            </w:r>
            <w:r w:rsidR="00086C77">
              <w:instrText xml:space="preserve"> REF _Ref332828410 \h  \* MERGEFORMAT </w:instrText>
            </w:r>
            <w:r w:rsidR="00086C77">
              <w:fldChar w:fldCharType="separate"/>
            </w:r>
            <w:r w:rsidR="003361A8">
              <w:t xml:space="preserve">Table </w:t>
            </w:r>
            <w:r w:rsidR="003361A8">
              <w:rPr>
                <w:noProof/>
              </w:rPr>
              <w:t>50</w:t>
            </w:r>
            <w:r w:rsidR="00086C77">
              <w:fldChar w:fldCharType="end"/>
            </w:r>
            <w:r>
              <w:t>)</w:t>
            </w:r>
          </w:p>
        </w:tc>
        <w:tc>
          <w:tcPr>
            <w:tcW w:w="0" w:type="auto"/>
          </w:tcPr>
          <w:p w:rsidR="00BA4C57" w:rsidRDefault="00FA676C" w:rsidP="00281AE4">
            <w:pPr>
              <w:pStyle w:val="Tabletext"/>
            </w:pPr>
            <w:r>
              <w:t>Not applicable for evidence from a single trial</w:t>
            </w:r>
          </w:p>
        </w:tc>
      </w:tr>
      <w:tr w:rsidR="00BA4C57" w:rsidTr="00BA4C57">
        <w:trPr>
          <w:cantSplit/>
        </w:trPr>
        <w:tc>
          <w:tcPr>
            <w:tcW w:w="1714" w:type="dxa"/>
            <w:vMerge/>
          </w:tcPr>
          <w:p w:rsidR="00BA4C57" w:rsidRDefault="00BA4C57" w:rsidP="00281AE4">
            <w:pPr>
              <w:pStyle w:val="Tabletext"/>
            </w:pPr>
          </w:p>
        </w:tc>
        <w:tc>
          <w:tcPr>
            <w:tcW w:w="0" w:type="auto"/>
          </w:tcPr>
          <w:p w:rsidR="00BA4C57" w:rsidRDefault="00BA4C57" w:rsidP="00BA4C57">
            <w:pPr>
              <w:pStyle w:val="Tabletext"/>
            </w:pPr>
            <w:r>
              <w:t xml:space="preserve">Cell enrichment </w:t>
            </w:r>
            <w:r w:rsidRPr="00332AD3">
              <w:t xml:space="preserve">demonstrates a </w:t>
            </w:r>
            <w:r w:rsidRPr="00332AD3">
              <w:rPr>
                <w:b/>
                <w:i/>
              </w:rPr>
              <w:t>significantly reduced specificity</w:t>
            </w:r>
            <w:r w:rsidRPr="00332AD3">
              <w:t xml:space="preserve"> to detect CIN 1+ at a test threshold of ASCUS (pLSIL)</w:t>
            </w:r>
          </w:p>
        </w:tc>
        <w:tc>
          <w:tcPr>
            <w:tcW w:w="0" w:type="auto"/>
            <w:vMerge/>
            <w:vAlign w:val="center"/>
          </w:tcPr>
          <w:p w:rsidR="00BA4C57" w:rsidRDefault="00BA4C57" w:rsidP="002741E1">
            <w:pPr>
              <w:pStyle w:val="Tabletext"/>
            </w:pPr>
          </w:p>
        </w:tc>
        <w:tc>
          <w:tcPr>
            <w:tcW w:w="0" w:type="auto"/>
          </w:tcPr>
          <w:p w:rsidR="00BA4C57" w:rsidRDefault="00BA4C57" w:rsidP="00BA4C57">
            <w:pPr>
              <w:pStyle w:val="Tabletext"/>
            </w:pPr>
            <w:r>
              <w:t>Specificity (n/N) [95% CI]</w:t>
            </w:r>
          </w:p>
          <w:p w:rsidR="00BA4C57" w:rsidRDefault="00BA4C57" w:rsidP="00BA4C57">
            <w:pPr>
              <w:pStyle w:val="Tabletext"/>
            </w:pPr>
            <w:r>
              <w:t>LBC: 97.75% [97.58, 97.90]</w:t>
            </w:r>
          </w:p>
          <w:p w:rsidR="00BA4C57" w:rsidRDefault="00BA4C57" w:rsidP="00BA4C57">
            <w:pPr>
              <w:pStyle w:val="Tabletext"/>
            </w:pPr>
            <w:r>
              <w:t>CC: 98.17% [98.05, 98.28]</w:t>
            </w:r>
          </w:p>
          <w:p w:rsidR="00BA4C57" w:rsidRDefault="00BA4C57" w:rsidP="00BA4C57">
            <w:pPr>
              <w:pStyle w:val="Tabletext"/>
            </w:pPr>
            <w:r>
              <w:t>P &lt; 0.0001 (</w:t>
            </w:r>
            <w:r w:rsidR="00086C77">
              <w:fldChar w:fldCharType="begin"/>
            </w:r>
            <w:r>
              <w:instrText xml:space="preserve"> REF _Ref332828410 \h </w:instrText>
            </w:r>
            <w:r w:rsidR="00086C77">
              <w:fldChar w:fldCharType="separate"/>
            </w:r>
            <w:r w:rsidR="003361A8">
              <w:t xml:space="preserve">Table </w:t>
            </w:r>
            <w:r w:rsidR="003361A8">
              <w:rPr>
                <w:noProof/>
              </w:rPr>
              <w:t>50</w:t>
            </w:r>
            <w:r w:rsidR="00086C77">
              <w:fldChar w:fldCharType="end"/>
            </w:r>
            <w:r>
              <w:t>)</w:t>
            </w:r>
          </w:p>
        </w:tc>
        <w:tc>
          <w:tcPr>
            <w:tcW w:w="0" w:type="auto"/>
          </w:tcPr>
          <w:p w:rsidR="00BA4C57" w:rsidRDefault="00FA676C" w:rsidP="00281AE4">
            <w:pPr>
              <w:pStyle w:val="Tabletext"/>
            </w:pPr>
            <w:r>
              <w:t>Not applicable for evidence from a single trial</w:t>
            </w:r>
          </w:p>
        </w:tc>
      </w:tr>
      <w:tr w:rsidR="00BA4C57" w:rsidTr="002741E1">
        <w:trPr>
          <w:cantSplit/>
        </w:trPr>
        <w:tc>
          <w:tcPr>
            <w:tcW w:w="1714" w:type="dxa"/>
            <w:vMerge/>
          </w:tcPr>
          <w:p w:rsidR="00BA4C57" w:rsidRDefault="00BA4C57" w:rsidP="00281AE4">
            <w:pPr>
              <w:pStyle w:val="Tabletext"/>
            </w:pPr>
          </w:p>
        </w:tc>
        <w:tc>
          <w:tcPr>
            <w:tcW w:w="0" w:type="auto"/>
          </w:tcPr>
          <w:p w:rsidR="00BA4C57" w:rsidRDefault="00BA4C57" w:rsidP="00281AE4">
            <w:pPr>
              <w:pStyle w:val="Tabletext"/>
            </w:pPr>
            <w:r>
              <w:t>Higher</w:t>
            </w:r>
            <w:r w:rsidRPr="00332AD3">
              <w:t xml:space="preserve"> detection of </w:t>
            </w:r>
            <w:r>
              <w:t>ASCUS (pLSIL)</w:t>
            </w:r>
          </w:p>
        </w:tc>
        <w:tc>
          <w:tcPr>
            <w:tcW w:w="0" w:type="auto"/>
            <w:vMerge/>
            <w:vAlign w:val="center"/>
          </w:tcPr>
          <w:p w:rsidR="00BA4C57" w:rsidRDefault="00BA4C57" w:rsidP="002741E1">
            <w:pPr>
              <w:pStyle w:val="Tabletext"/>
            </w:pPr>
          </w:p>
        </w:tc>
        <w:tc>
          <w:tcPr>
            <w:tcW w:w="0" w:type="auto"/>
            <w:vAlign w:val="center"/>
          </w:tcPr>
          <w:p w:rsidR="00BA4C57" w:rsidRDefault="00BA4C57" w:rsidP="00BA4C57">
            <w:pPr>
              <w:pStyle w:val="Tabletext"/>
            </w:pPr>
            <w:r>
              <w:t>Test yield comparison</w:t>
            </w:r>
          </w:p>
          <w:p w:rsidR="00BA4C57" w:rsidRDefault="00BA4C57" w:rsidP="00BA4C57">
            <w:pPr>
              <w:pStyle w:val="Tabletext"/>
            </w:pPr>
            <w:r>
              <w:t>LBC: 2.07% (730/35,315)</w:t>
            </w:r>
          </w:p>
          <w:p w:rsidR="00BA4C57" w:rsidRDefault="00BA4C57" w:rsidP="00BA4C57">
            <w:pPr>
              <w:pStyle w:val="Tabletext"/>
            </w:pPr>
            <w:r>
              <w:t>CC: 0.87% (443/51132)</w:t>
            </w:r>
          </w:p>
          <w:p w:rsidR="00BA4C57" w:rsidRDefault="00BA4C57" w:rsidP="00BA4C57">
            <w:pPr>
              <w:pStyle w:val="Tabletext"/>
            </w:pPr>
            <w:r>
              <w:t>P&lt;0.0001 (</w:t>
            </w:r>
            <w:r w:rsidR="00086C77">
              <w:fldChar w:fldCharType="begin"/>
            </w:r>
            <w:r>
              <w:instrText xml:space="preserve"> REF _Ref334006555 \h </w:instrText>
            </w:r>
            <w:r w:rsidR="00086C77">
              <w:fldChar w:fldCharType="separate"/>
            </w:r>
            <w:r w:rsidR="003361A8">
              <w:t xml:space="preserve">Table </w:t>
            </w:r>
            <w:r w:rsidR="003361A8">
              <w:rPr>
                <w:noProof/>
              </w:rPr>
              <w:t>32</w:t>
            </w:r>
            <w:r w:rsidR="00086C77">
              <w:fldChar w:fldCharType="end"/>
            </w:r>
            <w:r>
              <w:t>)</w:t>
            </w:r>
          </w:p>
        </w:tc>
        <w:tc>
          <w:tcPr>
            <w:tcW w:w="0" w:type="auto"/>
          </w:tcPr>
          <w:p w:rsidR="00BA4C57" w:rsidRDefault="00740986" w:rsidP="00281AE4">
            <w:pPr>
              <w:pStyle w:val="Tabletext"/>
            </w:pPr>
            <w:r w:rsidRPr="00740986">
              <w:t>Consistent increase in ASCUS reported in RODEO trial</w:t>
            </w:r>
          </w:p>
        </w:tc>
      </w:tr>
      <w:tr w:rsidR="00BA4C57" w:rsidTr="00BA4C57">
        <w:trPr>
          <w:cantSplit/>
        </w:trPr>
        <w:tc>
          <w:tcPr>
            <w:tcW w:w="1714" w:type="dxa"/>
            <w:vMerge/>
          </w:tcPr>
          <w:p w:rsidR="00BA4C57" w:rsidRDefault="00BA4C57" w:rsidP="00281AE4">
            <w:pPr>
              <w:pStyle w:val="Tabletext"/>
            </w:pPr>
          </w:p>
        </w:tc>
        <w:tc>
          <w:tcPr>
            <w:tcW w:w="0" w:type="auto"/>
          </w:tcPr>
          <w:p w:rsidR="00BA4C57" w:rsidRDefault="00BA4C57" w:rsidP="00BA4C57">
            <w:pPr>
              <w:pStyle w:val="Tabletext"/>
            </w:pPr>
            <w:r>
              <w:t xml:space="preserve">No difference </w:t>
            </w:r>
            <w:r w:rsidRPr="00332AD3">
              <w:t xml:space="preserve">in the detection of </w:t>
            </w:r>
            <w:r>
              <w:t>LSIL</w:t>
            </w:r>
          </w:p>
        </w:tc>
        <w:tc>
          <w:tcPr>
            <w:tcW w:w="0" w:type="auto"/>
            <w:vMerge/>
            <w:vAlign w:val="center"/>
          </w:tcPr>
          <w:p w:rsidR="00BA4C57" w:rsidRDefault="00BA4C57" w:rsidP="002741E1">
            <w:pPr>
              <w:pStyle w:val="Tabletext"/>
            </w:pPr>
          </w:p>
        </w:tc>
        <w:tc>
          <w:tcPr>
            <w:tcW w:w="0" w:type="auto"/>
          </w:tcPr>
          <w:p w:rsidR="00BA4C57" w:rsidRDefault="00BA4C57" w:rsidP="00BA4C57">
            <w:pPr>
              <w:pStyle w:val="Tabletext"/>
            </w:pPr>
            <w:r>
              <w:t>Test yield comparison</w:t>
            </w:r>
          </w:p>
          <w:p w:rsidR="00BA4C57" w:rsidRDefault="00BA4C57" w:rsidP="00BA4C57">
            <w:pPr>
              <w:pStyle w:val="Tabletext"/>
            </w:pPr>
            <w:r>
              <w:t>LBC: 0.27% (94/35,315)</w:t>
            </w:r>
          </w:p>
          <w:p w:rsidR="00BA4C57" w:rsidRDefault="00BA4C57" w:rsidP="00BA4C57">
            <w:pPr>
              <w:pStyle w:val="Tabletext"/>
            </w:pPr>
            <w:r>
              <w:t>CC: 0.22% (110/51132)</w:t>
            </w:r>
          </w:p>
          <w:p w:rsidR="00BA4C57" w:rsidRDefault="00BA4C57" w:rsidP="00BA4C57">
            <w:pPr>
              <w:pStyle w:val="Tabletext"/>
            </w:pPr>
            <w:r>
              <w:t>P=0.13 (</w:t>
            </w:r>
            <w:r w:rsidR="00086C77">
              <w:fldChar w:fldCharType="begin"/>
            </w:r>
            <w:r>
              <w:instrText xml:space="preserve"> REF _Ref334006555 \h </w:instrText>
            </w:r>
            <w:r w:rsidR="00086C77">
              <w:fldChar w:fldCharType="separate"/>
            </w:r>
            <w:r w:rsidR="003361A8">
              <w:t xml:space="preserve">Table </w:t>
            </w:r>
            <w:r w:rsidR="003361A8">
              <w:rPr>
                <w:noProof/>
              </w:rPr>
              <w:t>32</w:t>
            </w:r>
            <w:r w:rsidR="00086C77">
              <w:fldChar w:fldCharType="end"/>
            </w:r>
            <w:r>
              <w:t>)</w:t>
            </w:r>
          </w:p>
        </w:tc>
        <w:tc>
          <w:tcPr>
            <w:tcW w:w="0" w:type="auto"/>
          </w:tcPr>
          <w:p w:rsidR="00740986" w:rsidRDefault="00740986" w:rsidP="00740986">
            <w:pPr>
              <w:pStyle w:val="Tabletext"/>
            </w:pPr>
            <w:r>
              <w:t>RODEO trial reported</w:t>
            </w:r>
          </w:p>
          <w:p w:rsidR="00740986" w:rsidRDefault="00740986" w:rsidP="00740986">
            <w:pPr>
              <w:pStyle w:val="Tabletext"/>
            </w:pPr>
            <w:r>
              <w:t>LBC= 0.7%(42/6001)</w:t>
            </w:r>
          </w:p>
          <w:p w:rsidR="00740986" w:rsidRDefault="00740986" w:rsidP="00740986">
            <w:pPr>
              <w:pStyle w:val="Tabletext"/>
            </w:pPr>
            <w:r>
              <w:t>CC=0.3%(18/6047)</w:t>
            </w:r>
          </w:p>
          <w:p w:rsidR="00BA4C57" w:rsidRDefault="00740986" w:rsidP="00740986">
            <w:pPr>
              <w:pStyle w:val="Tabletext"/>
            </w:pPr>
            <w:r>
              <w:t>P&lt;0.001(</w:t>
            </w:r>
            <w:r w:rsidR="00086C77">
              <w:fldChar w:fldCharType="begin"/>
            </w:r>
            <w:r>
              <w:instrText xml:space="preserve"> REF _Ref334006536 \h </w:instrText>
            </w:r>
            <w:r w:rsidR="00086C77">
              <w:fldChar w:fldCharType="separate"/>
            </w:r>
            <w:r w:rsidR="003361A8">
              <w:t xml:space="preserve">Table </w:t>
            </w:r>
            <w:r w:rsidR="003361A8">
              <w:rPr>
                <w:noProof/>
              </w:rPr>
              <w:t>33</w:t>
            </w:r>
            <w:r w:rsidR="00086C77">
              <w:fldChar w:fldCharType="end"/>
            </w:r>
            <w:r>
              <w:t>)*</w:t>
            </w:r>
          </w:p>
        </w:tc>
      </w:tr>
      <w:tr w:rsidR="00740986" w:rsidTr="00740986">
        <w:trPr>
          <w:cantSplit/>
          <w:trHeight w:val="1238"/>
        </w:trPr>
        <w:tc>
          <w:tcPr>
            <w:tcW w:w="1714" w:type="dxa"/>
            <w:vMerge/>
          </w:tcPr>
          <w:p w:rsidR="00740986" w:rsidRDefault="00740986" w:rsidP="00281AE4">
            <w:pPr>
              <w:pStyle w:val="Tabletext"/>
            </w:pPr>
          </w:p>
        </w:tc>
        <w:tc>
          <w:tcPr>
            <w:tcW w:w="0" w:type="auto"/>
          </w:tcPr>
          <w:p w:rsidR="00740986" w:rsidRDefault="00740986" w:rsidP="00BA4C57">
            <w:pPr>
              <w:pStyle w:val="Tabletext"/>
            </w:pPr>
            <w:r>
              <w:t xml:space="preserve">No difference </w:t>
            </w:r>
            <w:r w:rsidRPr="00332AD3">
              <w:t xml:space="preserve">in the detection of </w:t>
            </w:r>
            <w:r>
              <w:t>HSIL</w:t>
            </w:r>
          </w:p>
        </w:tc>
        <w:tc>
          <w:tcPr>
            <w:tcW w:w="0" w:type="auto"/>
            <w:vMerge/>
            <w:vAlign w:val="center"/>
          </w:tcPr>
          <w:p w:rsidR="00740986" w:rsidRDefault="00740986" w:rsidP="002741E1">
            <w:pPr>
              <w:pStyle w:val="Tabletext"/>
            </w:pPr>
          </w:p>
        </w:tc>
        <w:tc>
          <w:tcPr>
            <w:tcW w:w="0" w:type="auto"/>
          </w:tcPr>
          <w:p w:rsidR="00740986" w:rsidRDefault="00740986" w:rsidP="00BA4C57">
            <w:pPr>
              <w:pStyle w:val="Tabletext"/>
            </w:pPr>
            <w:r>
              <w:t>Test yield comparison</w:t>
            </w:r>
          </w:p>
          <w:p w:rsidR="00740986" w:rsidRDefault="00740986" w:rsidP="00BA4C57">
            <w:pPr>
              <w:pStyle w:val="Tabletext"/>
            </w:pPr>
            <w:r>
              <w:t>LBC: 0.64% (226/35,315)</w:t>
            </w:r>
          </w:p>
          <w:p w:rsidR="00740986" w:rsidRDefault="00740986" w:rsidP="00BA4C57">
            <w:pPr>
              <w:pStyle w:val="Tabletext"/>
            </w:pPr>
            <w:r>
              <w:t>CC: 0.56% (</w:t>
            </w:r>
            <w:r w:rsidRPr="003548DA">
              <w:t>288</w:t>
            </w:r>
            <w:r>
              <w:t>/51132)</w:t>
            </w:r>
          </w:p>
          <w:p w:rsidR="00740986" w:rsidRDefault="00740986" w:rsidP="00BA4C57">
            <w:pPr>
              <w:pStyle w:val="Tabletext"/>
            </w:pPr>
            <w:r>
              <w:t>P=0.15 (</w:t>
            </w:r>
            <w:r w:rsidR="00086C77">
              <w:fldChar w:fldCharType="begin"/>
            </w:r>
            <w:r>
              <w:instrText xml:space="preserve"> REF _Ref334006555 \h </w:instrText>
            </w:r>
            <w:r w:rsidR="00086C77">
              <w:fldChar w:fldCharType="separate"/>
            </w:r>
            <w:r w:rsidR="003361A8">
              <w:t xml:space="preserve">Table </w:t>
            </w:r>
            <w:r w:rsidR="003361A8">
              <w:rPr>
                <w:noProof/>
              </w:rPr>
              <w:t>32</w:t>
            </w:r>
            <w:r w:rsidR="00086C77">
              <w:fldChar w:fldCharType="end"/>
            </w:r>
            <w:r>
              <w:t>)</w:t>
            </w:r>
          </w:p>
        </w:tc>
        <w:tc>
          <w:tcPr>
            <w:tcW w:w="0" w:type="auto"/>
          </w:tcPr>
          <w:p w:rsidR="00740986" w:rsidRDefault="00740986" w:rsidP="00281AE4">
            <w:pPr>
              <w:pStyle w:val="Tabletext"/>
            </w:pPr>
            <w:r w:rsidRPr="00740986">
              <w:t>Consistent with no difference reported in RODEO trial</w:t>
            </w:r>
          </w:p>
        </w:tc>
      </w:tr>
      <w:tr w:rsidR="00CA694C" w:rsidTr="00BC5AC9">
        <w:trPr>
          <w:cantSplit/>
        </w:trPr>
        <w:tc>
          <w:tcPr>
            <w:tcW w:w="1714" w:type="dxa"/>
          </w:tcPr>
          <w:p w:rsidR="00C41EB6" w:rsidRDefault="00BC5AC9" w:rsidP="00281AE4">
            <w:pPr>
              <w:pStyle w:val="Tabletext"/>
            </w:pPr>
            <w:r>
              <w:lastRenderedPageBreak/>
              <w:t>Cell enrichment LBC vs. conventional cytology</w:t>
            </w:r>
          </w:p>
        </w:tc>
        <w:tc>
          <w:tcPr>
            <w:tcW w:w="0" w:type="auto"/>
          </w:tcPr>
          <w:p w:rsidR="00C41EB6" w:rsidRDefault="00C41EB6" w:rsidP="00AF355A">
            <w:pPr>
              <w:pStyle w:val="Tabletext"/>
            </w:pPr>
            <w:r>
              <w:t>No difference in PPV at various test thresholds</w:t>
            </w:r>
          </w:p>
        </w:tc>
        <w:tc>
          <w:tcPr>
            <w:tcW w:w="0" w:type="auto"/>
          </w:tcPr>
          <w:p w:rsidR="00BC5AC9" w:rsidRDefault="00BC5AC9" w:rsidP="00BC5AC9">
            <w:pPr>
              <w:pStyle w:val="Tabletext"/>
            </w:pPr>
            <w:r>
              <w:t>Single head-to-head RCT of over 80,000 slides</w:t>
            </w:r>
          </w:p>
          <w:p w:rsidR="00C41EB6" w:rsidRDefault="00BC5AC9" w:rsidP="00BC5AC9">
            <w:pPr>
              <w:pStyle w:val="Tabletext"/>
            </w:pPr>
            <w:r>
              <w:t>(Beerman 2009)</w:t>
            </w:r>
          </w:p>
        </w:tc>
        <w:tc>
          <w:tcPr>
            <w:tcW w:w="0" w:type="auto"/>
          </w:tcPr>
          <w:p w:rsidR="00C41EB6" w:rsidRDefault="00C41EB6" w:rsidP="00C41EB6">
            <w:pPr>
              <w:pStyle w:val="Tabletext"/>
            </w:pPr>
            <w:r>
              <w:t>Comparative PPV RR (</w:t>
            </w:r>
            <w:r w:rsidR="005E0D57">
              <w:t>95% CI</w:t>
            </w:r>
            <w:r>
              <w:t>)</w:t>
            </w:r>
          </w:p>
          <w:p w:rsidR="00C41EB6" w:rsidRDefault="00C41EB6" w:rsidP="00C41EB6">
            <w:pPr>
              <w:pStyle w:val="Tabletext"/>
            </w:pPr>
            <w:r>
              <w:t>ASCUS+:</w:t>
            </w:r>
            <w:r w:rsidRPr="00C41EB6">
              <w:t>1.04[0.91,1.18]</w:t>
            </w:r>
          </w:p>
          <w:p w:rsidR="00C41EB6" w:rsidRDefault="00C41EB6" w:rsidP="00C41EB6">
            <w:pPr>
              <w:pStyle w:val="Tabletext"/>
            </w:pPr>
            <w:r>
              <w:t>LSIL+:</w:t>
            </w:r>
            <w:r w:rsidRPr="00C41EB6">
              <w:t>0.98[0.9,1.07]</w:t>
            </w:r>
          </w:p>
          <w:p w:rsidR="00C41EB6" w:rsidRDefault="00C41EB6" w:rsidP="00C41EB6">
            <w:pPr>
              <w:pStyle w:val="Tabletext"/>
            </w:pPr>
            <w:r>
              <w:t xml:space="preserve">HSIL+: </w:t>
            </w:r>
            <w:r w:rsidRPr="00C41EB6">
              <w:t>1[0.92,1.07]</w:t>
            </w:r>
          </w:p>
          <w:p w:rsidR="00C41EB6" w:rsidRDefault="00C41EB6" w:rsidP="00C41EB6">
            <w:pPr>
              <w:pStyle w:val="Tabletext"/>
            </w:pPr>
            <w:r>
              <w:t xml:space="preserve"> SCC: </w:t>
            </w:r>
            <w:r w:rsidRPr="00C41EB6">
              <w:t>1.33[0.76,2.35]</w:t>
            </w:r>
          </w:p>
          <w:p w:rsidR="00C41EB6" w:rsidRDefault="00C41EB6" w:rsidP="00C41EB6">
            <w:pPr>
              <w:pStyle w:val="Tabletext"/>
            </w:pPr>
            <w:r>
              <w:t>(</w:t>
            </w:r>
            <w:r w:rsidRPr="00C41EB6">
              <w:t>RR &lt;1 indicates performance of CC is better than LBC</w:t>
            </w:r>
            <w:r>
              <w:t>)</w:t>
            </w:r>
          </w:p>
        </w:tc>
        <w:tc>
          <w:tcPr>
            <w:tcW w:w="0" w:type="auto"/>
          </w:tcPr>
          <w:p w:rsidR="00C41EB6" w:rsidRDefault="002741E1" w:rsidP="00281AE4">
            <w:pPr>
              <w:pStyle w:val="Tabletext"/>
            </w:pPr>
            <w:r>
              <w:t>Not applicable for evidence from a single trial</w:t>
            </w:r>
          </w:p>
        </w:tc>
      </w:tr>
      <w:tr w:rsidR="002741E1" w:rsidTr="00BC5AC9">
        <w:trPr>
          <w:cantSplit/>
        </w:trPr>
        <w:tc>
          <w:tcPr>
            <w:tcW w:w="1714" w:type="dxa"/>
            <w:vMerge w:val="restart"/>
          </w:tcPr>
          <w:p w:rsidR="002741E1" w:rsidRDefault="002741E1" w:rsidP="00281AE4">
            <w:pPr>
              <w:pStyle w:val="Tabletext"/>
            </w:pPr>
            <w:r>
              <w:t>Cell enrichment LBC vs. cell filtration LBC</w:t>
            </w:r>
          </w:p>
        </w:tc>
        <w:tc>
          <w:tcPr>
            <w:tcW w:w="0" w:type="auto"/>
          </w:tcPr>
          <w:p w:rsidR="002741E1" w:rsidRDefault="002741E1" w:rsidP="00281AE4">
            <w:pPr>
              <w:pStyle w:val="Tabletext"/>
            </w:pPr>
            <w:r>
              <w:t>Cell enrichment LBC results in less unsatisfactory tests</w:t>
            </w:r>
          </w:p>
        </w:tc>
        <w:tc>
          <w:tcPr>
            <w:tcW w:w="0" w:type="auto"/>
            <w:vMerge w:val="restart"/>
          </w:tcPr>
          <w:p w:rsidR="002741E1" w:rsidRDefault="002741E1" w:rsidP="00281AE4">
            <w:pPr>
              <w:pStyle w:val="Tabletext"/>
            </w:pPr>
            <w:r>
              <w:t>Indirect comparison via conventional cytology with a single RCT of each LBC method compared with CC</w:t>
            </w:r>
          </w:p>
          <w:p w:rsidR="002741E1" w:rsidRDefault="002741E1" w:rsidP="00281AE4">
            <w:pPr>
              <w:pStyle w:val="Tabletext"/>
            </w:pPr>
            <w:r>
              <w:t>(Beerman and Strander for cell enrichment and cell filtration respectively)</w:t>
            </w:r>
          </w:p>
        </w:tc>
        <w:tc>
          <w:tcPr>
            <w:tcW w:w="0" w:type="auto"/>
          </w:tcPr>
          <w:p w:rsidR="002741E1" w:rsidRDefault="002741E1" w:rsidP="00281AE4">
            <w:pPr>
              <w:pStyle w:val="Tabletext"/>
            </w:pPr>
            <w:r>
              <w:t>Indirect estimate of effect</w:t>
            </w:r>
          </w:p>
          <w:p w:rsidR="002741E1" w:rsidRDefault="002741E1" w:rsidP="00281AE4">
            <w:pPr>
              <w:pStyle w:val="Tabletext"/>
            </w:pPr>
            <w:r>
              <w:t>OR (95% CI)</w:t>
            </w:r>
          </w:p>
          <w:p w:rsidR="002741E1" w:rsidRDefault="002741E1" w:rsidP="00281AE4">
            <w:pPr>
              <w:pStyle w:val="Tabletext"/>
            </w:pPr>
            <w:r>
              <w:t>0.3586 (0.19, 0.69), p=0.0022</w:t>
            </w:r>
          </w:p>
          <w:p w:rsidR="002741E1" w:rsidRDefault="002741E1" w:rsidP="00281AE4">
            <w:pPr>
              <w:pStyle w:val="Tabletext"/>
            </w:pPr>
            <w:r>
              <w:t>(</w:t>
            </w:r>
            <w:r w:rsidR="00086C77">
              <w:fldChar w:fldCharType="begin"/>
            </w:r>
            <w:r>
              <w:instrText xml:space="preserve"> REF _Ref333955921 \h </w:instrText>
            </w:r>
            <w:r w:rsidR="00086C77">
              <w:fldChar w:fldCharType="separate"/>
            </w:r>
            <w:r w:rsidR="003361A8">
              <w:t xml:space="preserve">Table </w:t>
            </w:r>
            <w:r w:rsidR="003361A8">
              <w:rPr>
                <w:noProof/>
              </w:rPr>
              <w:t>31</w:t>
            </w:r>
            <w:r w:rsidR="00086C77">
              <w:fldChar w:fldCharType="end"/>
            </w:r>
            <w:r>
              <w:t>)</w:t>
            </w:r>
          </w:p>
        </w:tc>
        <w:tc>
          <w:tcPr>
            <w:tcW w:w="0" w:type="auto"/>
          </w:tcPr>
          <w:p w:rsidR="002741E1" w:rsidRDefault="002741E1" w:rsidP="00281AE4">
            <w:pPr>
              <w:pStyle w:val="Tabletext"/>
            </w:pPr>
            <w:r>
              <w:t>Not applicable</w:t>
            </w:r>
          </w:p>
        </w:tc>
      </w:tr>
      <w:tr w:rsidR="002741E1" w:rsidTr="00BC5AC9">
        <w:trPr>
          <w:cantSplit/>
        </w:trPr>
        <w:tc>
          <w:tcPr>
            <w:tcW w:w="1714" w:type="dxa"/>
            <w:vMerge/>
          </w:tcPr>
          <w:p w:rsidR="002741E1" w:rsidRDefault="002741E1" w:rsidP="00281AE4">
            <w:pPr>
              <w:pStyle w:val="Tabletext"/>
            </w:pPr>
          </w:p>
        </w:tc>
        <w:tc>
          <w:tcPr>
            <w:tcW w:w="0" w:type="auto"/>
          </w:tcPr>
          <w:p w:rsidR="002741E1" w:rsidRDefault="002741E1" w:rsidP="00281AE4">
            <w:pPr>
              <w:pStyle w:val="Tabletext"/>
            </w:pPr>
            <w:r>
              <w:t xml:space="preserve">No difference </w:t>
            </w:r>
            <w:r w:rsidRPr="00332AD3">
              <w:t>in the detection of CIN</w:t>
            </w:r>
            <w:r>
              <w:t xml:space="preserve"> 1</w:t>
            </w:r>
            <w:r w:rsidRPr="00332AD3">
              <w:t>+</w:t>
            </w:r>
          </w:p>
        </w:tc>
        <w:tc>
          <w:tcPr>
            <w:tcW w:w="0" w:type="auto"/>
            <w:vMerge/>
          </w:tcPr>
          <w:p w:rsidR="002741E1" w:rsidRDefault="002741E1" w:rsidP="00281AE4">
            <w:pPr>
              <w:pStyle w:val="Tabletext"/>
            </w:pPr>
          </w:p>
        </w:tc>
        <w:tc>
          <w:tcPr>
            <w:tcW w:w="0" w:type="auto"/>
          </w:tcPr>
          <w:p w:rsidR="002741E1" w:rsidRDefault="002741E1" w:rsidP="00281AE4">
            <w:pPr>
              <w:pStyle w:val="Tabletext"/>
            </w:pPr>
            <w:r>
              <w:t>Sensitivity:</w:t>
            </w:r>
          </w:p>
          <w:p w:rsidR="002741E1" w:rsidRDefault="002741E1" w:rsidP="00281AE4">
            <w:pPr>
              <w:pStyle w:val="Tabletext"/>
            </w:pPr>
            <w:r>
              <w:t>Indirect OR (95%):</w:t>
            </w:r>
            <w:r>
              <w:br/>
            </w:r>
            <w:r w:rsidRPr="003548DA">
              <w:t>0.3319 (0.0165, 6.6684), p=0.47</w:t>
            </w:r>
          </w:p>
          <w:p w:rsidR="002741E1" w:rsidRDefault="002741E1" w:rsidP="00281AE4">
            <w:pPr>
              <w:pStyle w:val="Tabletext"/>
            </w:pPr>
            <w:r>
              <w:t>Specificity:</w:t>
            </w:r>
          </w:p>
          <w:p w:rsidR="002741E1" w:rsidRDefault="002741E1" w:rsidP="00281AE4">
            <w:pPr>
              <w:pStyle w:val="Tabletext"/>
            </w:pPr>
            <w:r>
              <w:t>Indirect OR (95%):</w:t>
            </w:r>
            <w:r>
              <w:br/>
            </w:r>
            <w:r w:rsidRPr="00FA5AED">
              <w:t>1</w:t>
            </w:r>
            <w:r>
              <w:t>.2596 (0.9542, 1.6627), p=0.10</w:t>
            </w:r>
          </w:p>
          <w:p w:rsidR="002741E1" w:rsidRDefault="002741E1" w:rsidP="00281AE4">
            <w:pPr>
              <w:pStyle w:val="Tabletext"/>
            </w:pPr>
            <w:r>
              <w:t>(</w:t>
            </w:r>
            <w:r w:rsidRPr="003548DA">
              <w:t xml:space="preserve">An OR </w:t>
            </w:r>
            <w:r>
              <w:t>&gt;</w:t>
            </w:r>
            <w:r w:rsidRPr="003548DA">
              <w:t xml:space="preserve">1 indicates performance of </w:t>
            </w:r>
            <w:r>
              <w:t xml:space="preserve">cell enrichment LBC </w:t>
            </w:r>
            <w:r w:rsidRPr="003548DA">
              <w:t xml:space="preserve">is better than </w:t>
            </w:r>
            <w:r>
              <w:t>cell filtration LBC)</w:t>
            </w:r>
          </w:p>
        </w:tc>
        <w:tc>
          <w:tcPr>
            <w:tcW w:w="0" w:type="auto"/>
          </w:tcPr>
          <w:p w:rsidR="002741E1" w:rsidRDefault="002741E1" w:rsidP="00281AE4">
            <w:pPr>
              <w:pStyle w:val="Tabletext"/>
            </w:pPr>
            <w:r>
              <w:t>As above</w:t>
            </w:r>
          </w:p>
        </w:tc>
      </w:tr>
    </w:tbl>
    <w:p w:rsidR="00197183" w:rsidRDefault="00197183" w:rsidP="00197183">
      <w:pPr>
        <w:pStyle w:val="Tablenotes"/>
        <w:spacing w:after="0"/>
      </w:pPr>
      <w:r w:rsidRPr="00C62016">
        <w:t xml:space="preserve">* The sample size in the RODEO </w:t>
      </w:r>
      <w:r w:rsidR="00140CA4" w:rsidRPr="00C62016">
        <w:t>trial</w:t>
      </w:r>
      <w:r w:rsidRPr="00C62016">
        <w:t xml:space="preserve"> is much smaller than the Beerman 2009 trial and the trial represents a different geographical location (remote areas of Brazil) and type of health service (recruitment through mobile units). As such the results are seen to be less comparable with Beerman 2009 and viewed with caution.</w:t>
      </w:r>
    </w:p>
    <w:p w:rsidR="002F06AC" w:rsidRDefault="002F06AC" w:rsidP="00D53404">
      <w:pPr>
        <w:sectPr w:rsidR="002F06AC" w:rsidSect="008846BA">
          <w:pgSz w:w="16840" w:h="11907" w:orient="landscape" w:code="9"/>
          <w:pgMar w:top="1814" w:right="1418" w:bottom="1418" w:left="1701" w:header="720" w:footer="720" w:gutter="0"/>
          <w:paperSrc w:first="7" w:other="7"/>
          <w:cols w:space="720"/>
          <w:noEndnote/>
          <w:docGrid w:linePitch="299"/>
        </w:sectPr>
      </w:pPr>
    </w:p>
    <w:p w:rsidR="00D53404" w:rsidRPr="00760386" w:rsidRDefault="00D53404" w:rsidP="00D53404">
      <w:pPr>
        <w:pStyle w:val="Heading40"/>
      </w:pPr>
      <w:r w:rsidRPr="00760386">
        <w:lastRenderedPageBreak/>
        <w:t>Form of economic evaluation</w:t>
      </w:r>
    </w:p>
    <w:p w:rsidR="003F65F0" w:rsidRDefault="00D53404" w:rsidP="00D53404">
      <w:r>
        <w:t>The differences between cell enrichment LBC and conventional cytology are confined to differences in detection of pLSIL (more with cell enrichment LBC) and differences in rates of unsatisfactory smears (more with conventional cytology). The NCSP guidelines provide almost identical guidance with respect to the follow-up of pLSIL and unsatisfactory smears. That is, repeat the test within a year (as soon as possible in the case of unsatisfactory smears). As such, a cost-minimisation analysis which incorporates the costs of following up</w:t>
      </w:r>
      <w:r w:rsidR="002F06AC">
        <w:t xml:space="preserve"> these repeat tests (whether </w:t>
      </w:r>
      <w:r>
        <w:t>for pLSIL or unsatisfactory tests) should be sufficient to determine the cost-effectiveness of SurePath relative to conventional cytology. All other costs relating to the follow-up of higher grade abnormalities will be the same because the detection of higher grade abnormalities between SurePath and conventional cytology is the same.</w:t>
      </w:r>
    </w:p>
    <w:p w:rsidR="003F65F0" w:rsidRDefault="003F65F0" w:rsidP="00D53404"/>
    <w:p w:rsidR="007E4AAF" w:rsidRPr="000D59CC" w:rsidRDefault="007E4AAF" w:rsidP="005B08A7">
      <w:pPr>
        <w:sectPr w:rsidR="007E4AAF" w:rsidRPr="000D59CC" w:rsidSect="008846BA">
          <w:pgSz w:w="11907" w:h="16840" w:code="9"/>
          <w:pgMar w:top="1418" w:right="1418" w:bottom="1701" w:left="1814" w:header="720" w:footer="720" w:gutter="0"/>
          <w:paperSrc w:first="7" w:other="7"/>
          <w:cols w:space="720"/>
          <w:noEndnote/>
          <w:docGrid w:linePitch="299"/>
        </w:sectPr>
      </w:pPr>
    </w:p>
    <w:p w:rsidR="000D59CC" w:rsidRDefault="000D59CC" w:rsidP="00881BD2">
      <w:pPr>
        <w:pStyle w:val="Heading1"/>
      </w:pPr>
      <w:bookmarkStart w:id="522" w:name="_Toc191822178"/>
      <w:bookmarkStart w:id="523" w:name="_Toc191822228"/>
      <w:bookmarkStart w:id="524" w:name="_Toc191822278"/>
      <w:bookmarkStart w:id="525" w:name="_Toc258501795"/>
      <w:bookmarkStart w:id="526" w:name="_Toc273301505"/>
      <w:bookmarkStart w:id="527" w:name="_Toc337546903"/>
      <w:r>
        <w:lastRenderedPageBreak/>
        <w:t>C.</w:t>
      </w:r>
      <w:r>
        <w:tab/>
      </w:r>
      <w:r w:rsidRPr="006B2F62">
        <w:t>Translating the clinical evaluation to the listing requested for inclusion in the economic evaluation</w:t>
      </w:r>
      <w:bookmarkEnd w:id="522"/>
      <w:bookmarkEnd w:id="523"/>
      <w:bookmarkEnd w:id="524"/>
      <w:bookmarkEnd w:id="525"/>
      <w:bookmarkEnd w:id="526"/>
      <w:bookmarkEnd w:id="52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1"/>
      </w:tblGrid>
      <w:tr w:rsidR="00AF355A" w:rsidTr="00791EC7">
        <w:tc>
          <w:tcPr>
            <w:tcW w:w="8891" w:type="dxa"/>
          </w:tcPr>
          <w:p w:rsidR="00AF355A" w:rsidRDefault="00F9226E" w:rsidP="00337C2F">
            <w:r>
              <w:br/>
            </w:r>
            <w:r w:rsidR="00416FF7">
              <w:t xml:space="preserve">Section C is provided to </w:t>
            </w:r>
            <w:r w:rsidR="002F06AC">
              <w:t>show that the conclusion of non-</w:t>
            </w:r>
            <w:r w:rsidR="00416FF7">
              <w:t>inferiority and the cost-minimisation approach is valid after issues of applicability are addressed.</w:t>
            </w:r>
          </w:p>
          <w:p w:rsidR="003A4F59" w:rsidRDefault="00F41BB7" w:rsidP="003A4F59">
            <w:r>
              <w:t xml:space="preserve">The </w:t>
            </w:r>
            <w:r w:rsidR="00582780">
              <w:t>reference standards applied in the majority of trials are not applicable to the Australian context. For those that are representative of Australian practice the timing of repeat cytology is not known</w:t>
            </w:r>
            <w:r w:rsidR="00740986">
              <w:t xml:space="preserve"> nor the outcome of the repeat test</w:t>
            </w:r>
            <w:r w:rsidR="00582780">
              <w:t xml:space="preserve">. </w:t>
            </w:r>
            <w:r w:rsidR="003A4F59">
              <w:t>Furthermore t</w:t>
            </w:r>
            <w:r w:rsidR="00582780">
              <w:t xml:space="preserve">he </w:t>
            </w:r>
            <w:r>
              <w:t xml:space="preserve">participant </w:t>
            </w:r>
            <w:r w:rsidR="00EF002B">
              <w:t xml:space="preserve">baseline </w:t>
            </w:r>
            <w:r>
              <w:t xml:space="preserve">characteristics </w:t>
            </w:r>
            <w:r w:rsidR="00EF002B">
              <w:t>and test yie</w:t>
            </w:r>
            <w:r w:rsidR="00740986">
              <w:t>l</w:t>
            </w:r>
            <w:r w:rsidR="00EF002B">
              <w:t xml:space="preserve">d outcomes </w:t>
            </w:r>
            <w:r>
              <w:t>are</w:t>
            </w:r>
            <w:r w:rsidR="00582780">
              <w:t xml:space="preserve"> not</w:t>
            </w:r>
            <w:r>
              <w:t xml:space="preserve"> </w:t>
            </w:r>
            <w:r w:rsidR="003A4F59">
              <w:t xml:space="preserve">representative of the Australian population. Nonetheless across varying reference standards, patient characteristics and test yield outcomes </w:t>
            </w:r>
            <w:r w:rsidR="00EF002B">
              <w:t xml:space="preserve">the same </w:t>
            </w:r>
            <w:r w:rsidR="003A4F59">
              <w:t xml:space="preserve">conclusions </w:t>
            </w:r>
            <w:r w:rsidR="00EF002B">
              <w:t xml:space="preserve">that cell enrichment LBC demonstrates non-inferior </w:t>
            </w:r>
            <w:r w:rsidR="003A4F59">
              <w:t xml:space="preserve">accuracy </w:t>
            </w:r>
            <w:r w:rsidR="00EF002B">
              <w:t>compared with</w:t>
            </w:r>
            <w:r w:rsidR="00740986">
              <w:t xml:space="preserve"> cell filtration LBC and </w:t>
            </w:r>
            <w:r w:rsidR="00EF002B">
              <w:t xml:space="preserve">conventional cytology </w:t>
            </w:r>
            <w:r w:rsidR="003A4F59">
              <w:t>are made.</w:t>
            </w:r>
          </w:p>
          <w:p w:rsidR="003A4F59" w:rsidRDefault="00EF002B" w:rsidP="00F41BB7">
            <w:r>
              <w:t>Superior performance in de</w:t>
            </w:r>
            <w:r w:rsidR="003164C2">
              <w:t>creas</w:t>
            </w:r>
            <w:r>
              <w:t>ing the</w:t>
            </w:r>
            <w:r w:rsidR="003164C2">
              <w:t xml:space="preserve"> rates of unsatisfact</w:t>
            </w:r>
            <w:r>
              <w:t>o</w:t>
            </w:r>
            <w:r w:rsidR="003164C2">
              <w:t xml:space="preserve">ry slides with cell enrichment LBC is evident across the trials. </w:t>
            </w:r>
            <w:r>
              <w:t>Differences between LBC and conventional cytology t</w:t>
            </w:r>
            <w:r w:rsidR="003164C2">
              <w:t>est yield outcomes are variable across trials and could be a reflection of LBC being new to the trial centres. However a</w:t>
            </w:r>
            <w:r w:rsidR="00582780">
              <w:t xml:space="preserve"> conservative position has been taken in </w:t>
            </w:r>
            <w:r w:rsidR="003A4F59">
              <w:t>assuming increased rates</w:t>
            </w:r>
            <w:r w:rsidR="003164C2">
              <w:t xml:space="preserve"> of ASCUS outcomes with cell enric</w:t>
            </w:r>
            <w:r w:rsidR="003A4F59">
              <w:t>hment LBC in the</w:t>
            </w:r>
            <w:r w:rsidR="003164C2">
              <w:t xml:space="preserve"> cost mini</w:t>
            </w:r>
            <w:r>
              <w:t>mi</w:t>
            </w:r>
            <w:r w:rsidR="003164C2">
              <w:t xml:space="preserve">sation calculations. </w:t>
            </w:r>
            <w:r w:rsidR="003A4F59">
              <w:t>W</w:t>
            </w:r>
            <w:r w:rsidR="003A4F59" w:rsidRPr="003A4F59">
              <w:t xml:space="preserve">eighted proportions of </w:t>
            </w:r>
            <w:r w:rsidR="00740986">
              <w:t xml:space="preserve">unsatisfactory slides and </w:t>
            </w:r>
            <w:r w:rsidR="003A4F59" w:rsidRPr="003A4F59">
              <w:t xml:space="preserve">low grade </w:t>
            </w:r>
            <w:r w:rsidR="003A4F59">
              <w:t xml:space="preserve">abnormalities </w:t>
            </w:r>
            <w:r w:rsidR="00740986">
              <w:t xml:space="preserve">(ASCUS +LSIL) </w:t>
            </w:r>
            <w:r w:rsidR="003A4F59">
              <w:t>across all LBC trials are utilised in the co</w:t>
            </w:r>
            <w:r w:rsidR="003A4F59" w:rsidRPr="003A4F59">
              <w:t xml:space="preserve">st-minimisation calculations in section D. </w:t>
            </w:r>
          </w:p>
          <w:p w:rsidR="00486ADC" w:rsidRDefault="00CD2E20" w:rsidP="00486ADC">
            <w:r>
              <w:t>The lower unsatisfactory outcomes associated with cell enri</w:t>
            </w:r>
            <w:r w:rsidR="00486ADC">
              <w:t>chment LBC are expected to outweigh</w:t>
            </w:r>
            <w:r>
              <w:t xml:space="preserve"> the </w:t>
            </w:r>
            <w:r w:rsidR="009F5C7E">
              <w:t xml:space="preserve">higher rate of </w:t>
            </w:r>
            <w:r>
              <w:t xml:space="preserve">ASCUS outcomes </w:t>
            </w:r>
            <w:r w:rsidR="009F5C7E">
              <w:t>compared</w:t>
            </w:r>
            <w:r>
              <w:t xml:space="preserve"> with conventional cytology.</w:t>
            </w:r>
            <w:r w:rsidR="00740986">
              <w:t xml:space="preserve"> However the outcomes of repeat testing in both situations, performed at 3 months and 12 months, respectively, are not known. Despite the high likelihood that unsatisfactory </w:t>
            </w:r>
            <w:r w:rsidR="00486ADC">
              <w:t>slides harbour cervical abnorma</w:t>
            </w:r>
            <w:r w:rsidR="00740986">
              <w:t>lities</w:t>
            </w:r>
            <w:r w:rsidR="009F5C7E">
              <w:t xml:space="preserve"> </w:t>
            </w:r>
            <w:r w:rsidR="00486ADC">
              <w:t>(OR 2.78</w:t>
            </w:r>
            <w:proofErr w:type="gramStart"/>
            <w:r w:rsidR="00486ADC">
              <w:t>,95</w:t>
            </w:r>
            <w:proofErr w:type="gramEnd"/>
            <w:r w:rsidR="00486ADC">
              <w:t>% CI: 2.31 to 3.35) the follow up testing after repeat unsatisfactory or ASCUS i</w:t>
            </w:r>
            <w:r w:rsidR="00740986">
              <w:t xml:space="preserve">s conservatively assumed </w:t>
            </w:r>
            <w:r w:rsidR="00486ADC">
              <w:t>to be the same in the co</w:t>
            </w:r>
            <w:r w:rsidR="00486ADC" w:rsidRPr="003A4F59">
              <w:t>st-minimisation calculations in section D</w:t>
            </w:r>
            <w:r w:rsidR="00486ADC">
              <w:t xml:space="preserve"> and E</w:t>
            </w:r>
            <w:r w:rsidR="00486ADC" w:rsidRPr="003A4F59">
              <w:t xml:space="preserve">. </w:t>
            </w:r>
          </w:p>
          <w:p w:rsidR="009F5C7E" w:rsidRDefault="009475B9" w:rsidP="009475B9">
            <w:r>
              <w:t xml:space="preserve">Despite potential anxiety </w:t>
            </w:r>
            <w:r w:rsidR="00CA694C">
              <w:t xml:space="preserve">associated with higher rates of </w:t>
            </w:r>
            <w:r>
              <w:t>ASCUS outcomes with cell enrichment LBC</w:t>
            </w:r>
            <w:r w:rsidR="009F5C7E">
              <w:t>. Equally, unsatisfactory results also impose burden and anxiety on women. The fact that 18% of women are currently paying out of pocket for LBC suggest that the benefits of lower unsatisfactory results outweigh the costs of potential anxiety due to abnormal findings. This could be due to the fact that despite experiencing this anxiety,</w:t>
            </w:r>
            <w:r>
              <w:t xml:space="preserve"> women would prefer to know </w:t>
            </w:r>
            <w:r>
              <w:lastRenderedPageBreak/>
              <w:t xml:space="preserve">about </w:t>
            </w:r>
            <w:r w:rsidR="009F5C7E">
              <w:t xml:space="preserve">their </w:t>
            </w:r>
            <w:r>
              <w:t>risk of cervical cancer</w:t>
            </w:r>
            <w:r w:rsidR="009F5C7E">
              <w:t>.</w:t>
            </w:r>
          </w:p>
          <w:p w:rsidR="00F41BB7" w:rsidRDefault="00F41BB7" w:rsidP="009475B9">
            <w:r>
              <w:t xml:space="preserve">A learning curve provides </w:t>
            </w:r>
            <w:r w:rsidR="00140CA4">
              <w:t>a reasonable</w:t>
            </w:r>
            <w:r>
              <w:t xml:space="preserve"> explanation for the increase in the proportion of ASCUS outcomes reported with cell enrichment LBC</w:t>
            </w:r>
            <w:r w:rsidR="000B5A59">
              <w:t xml:space="preserve"> that would be expected to diminish over time. </w:t>
            </w:r>
          </w:p>
          <w:p w:rsidR="009475B9" w:rsidRDefault="00F41BB7" w:rsidP="00CD2E20">
            <w:r>
              <w:t xml:space="preserve">The </w:t>
            </w:r>
            <w:r w:rsidR="00CA694C">
              <w:t xml:space="preserve">trial </w:t>
            </w:r>
            <w:r>
              <w:t>evidence did not distinguish cervical glandular abnormalities. Retrospective evidence provides data to support the increased detection of glandular abnormalities with cell enrichment LBC. Technical differences between cell enrichment LBC and cell filtration LBC provide a plausible rationale supporting this claim.</w:t>
            </w:r>
          </w:p>
        </w:tc>
      </w:tr>
    </w:tbl>
    <w:p w:rsidR="00AF355A" w:rsidRDefault="00AF355A" w:rsidP="00337C2F"/>
    <w:p w:rsidR="00337C2F" w:rsidRDefault="00337C2F" w:rsidP="00337C2F">
      <w:r>
        <w:t>Section B.8 of this submission concluded that cell enrich</w:t>
      </w:r>
      <w:r w:rsidR="00CA694C">
        <w:t>ment LBC/LBC is non-inferior to</w:t>
      </w:r>
      <w:r w:rsidR="006B2F62">
        <w:t xml:space="preserve"> and</w:t>
      </w:r>
      <w:r>
        <w:t>/</w:t>
      </w:r>
      <w:r w:rsidR="006B2F62">
        <w:t xml:space="preserve">or </w:t>
      </w:r>
      <w:r>
        <w:t xml:space="preserve">no worse than conventional </w:t>
      </w:r>
      <w:r w:rsidR="00743935">
        <w:t>Pap</w:t>
      </w:r>
      <w:r>
        <w:t xml:space="preserve"> smears on a </w:t>
      </w:r>
      <w:r w:rsidR="00CA694C">
        <w:t xml:space="preserve">range of endpoints. </w:t>
      </w:r>
      <w:r>
        <w:t>This conservative conclusion was made on the basis of consistent evidence from a number of head-to-head randomised controlled trials</w:t>
      </w:r>
      <w:r w:rsidR="00CA694C">
        <w:t xml:space="preserve"> (RCTs)</w:t>
      </w:r>
      <w:r>
        <w:t>.</w:t>
      </w:r>
    </w:p>
    <w:p w:rsidR="004E377A" w:rsidRDefault="00337C2F" w:rsidP="00337C2F">
      <w:r>
        <w:t xml:space="preserve">The therapeutic conclusion of non-inferiority is conservative because cell </w:t>
      </w:r>
      <w:r w:rsidR="006B2F62">
        <w:t>enrichment LBC/LBC produces fewer</w:t>
      </w:r>
      <w:r>
        <w:t xml:space="preserve"> unsatisfactory slides than conventional </w:t>
      </w:r>
      <w:r w:rsidR="00743935">
        <w:t>Pap</w:t>
      </w:r>
      <w:r>
        <w:t xml:space="preserve"> smears. This is explained by the fundamental differences in the collection and proces</w:t>
      </w:r>
      <w:r w:rsidR="006B2F62">
        <w:t xml:space="preserve">sing technology between the </w:t>
      </w:r>
      <w:r>
        <w:t>methods discussed in Section A</w:t>
      </w:r>
      <w:r w:rsidR="004E377A">
        <w:t xml:space="preserve"> and discussed further below</w:t>
      </w:r>
      <w:r>
        <w:t xml:space="preserve">. </w:t>
      </w:r>
    </w:p>
    <w:p w:rsidR="00337C2F" w:rsidRDefault="00337C2F" w:rsidP="00337C2F">
      <w:r>
        <w:t>The conclusion of non-inferiority means “the difference between the service and the appropriate comparator can be reduced to a comparison of costs” (MSAC Application 1157: DAP, Table 3 p</w:t>
      </w:r>
      <w:r w:rsidR="006E52EC">
        <w:t>.</w:t>
      </w:r>
      <w:r>
        <w:t>14).</w:t>
      </w:r>
    </w:p>
    <w:p w:rsidR="00337C2F" w:rsidRDefault="00337C2F" w:rsidP="00337C2F">
      <w:r>
        <w:t xml:space="preserve">With identical outcomes and treatment pathways, an economic model of the impact of cell enrichment LBC relative to conventional </w:t>
      </w:r>
      <w:r w:rsidR="00743935">
        <w:t>Pap</w:t>
      </w:r>
      <w:r>
        <w:t xml:space="preserve"> smears is not necessary. The economic evaluation is based directly on the comparative clinical evaluation presented in Section B of this application. The economic evaluation is a cost-minimisation analysis to be presented in th</w:t>
      </w:r>
      <w:r w:rsidR="000270B9">
        <w:t xml:space="preserve">e following section (Section D) </w:t>
      </w:r>
      <w:r w:rsidR="000270B9" w:rsidRPr="000270B9">
        <w:t>followed by cost-effectiveness which is also provided to meet the</w:t>
      </w:r>
      <w:r w:rsidR="000270B9">
        <w:t xml:space="preserve"> requirements of the final DAP.</w:t>
      </w:r>
    </w:p>
    <w:p w:rsidR="00337C2F" w:rsidRDefault="00337C2F" w:rsidP="00337C2F">
      <w:r>
        <w:t xml:space="preserve">Section C is provided to </w:t>
      </w:r>
      <w:r w:rsidR="002F06AC">
        <w:t>show that the conclusion of non-</w:t>
      </w:r>
      <w:r>
        <w:t>inferiority and the cost-minimisation approach is valid after issues of applicability, extrapolation and transformation have been considered.</w:t>
      </w:r>
    </w:p>
    <w:p w:rsidR="00337C2F" w:rsidRPr="00AA1B38" w:rsidRDefault="002F06AC" w:rsidP="00337C2F">
      <w:pPr>
        <w:pStyle w:val="Heading30"/>
      </w:pPr>
      <w:bookmarkStart w:id="528" w:name="_Toc337546904"/>
      <w:r>
        <w:lastRenderedPageBreak/>
        <w:t>C.1.1</w:t>
      </w:r>
      <w:r>
        <w:tab/>
        <w:t>Applicability</w:t>
      </w:r>
      <w:r w:rsidR="00AA1B38">
        <w:t xml:space="preserve"> </w:t>
      </w:r>
      <w:r w:rsidR="00237CB6">
        <w:t xml:space="preserve">of </w:t>
      </w:r>
      <w:r w:rsidR="009F5C7E">
        <w:t>r</w:t>
      </w:r>
      <w:r w:rsidR="00237CB6" w:rsidRPr="00237CB6">
        <w:t>eference standard</w:t>
      </w:r>
      <w:r w:rsidR="00237CB6">
        <w:t>s</w:t>
      </w:r>
      <w:bookmarkEnd w:id="528"/>
    </w:p>
    <w:p w:rsidR="000704A6" w:rsidRDefault="000704A6" w:rsidP="000704A6">
      <w:r>
        <w:t xml:space="preserve">According to the Australian Cervical Screening Guidelines, women with ASCUS+ (pLSIL) or LSIL should be recommended for repeat screening in 12 and 24 months, not colposcopy (NHMRC 2005, </w:t>
      </w:r>
      <w:r w:rsidR="00086C77">
        <w:fldChar w:fldCharType="begin"/>
      </w:r>
      <w:r>
        <w:instrText xml:space="preserve"> REF _Ref336434763 \h </w:instrText>
      </w:r>
      <w:r w:rsidR="00086C77">
        <w:fldChar w:fldCharType="separate"/>
      </w:r>
      <w:r w:rsidR="003361A8">
        <w:t>Appendix A</w:t>
      </w:r>
      <w:r w:rsidR="00086C77">
        <w:fldChar w:fldCharType="end"/>
      </w:r>
      <w:r>
        <w:t>). Referral for colposcopy in Australia would occur based on HSIL+ or repeat LSIL outcome</w:t>
      </w:r>
      <w:r w:rsidR="008F1CDB">
        <w:t xml:space="preserve"> at 12 months</w:t>
      </w:r>
      <w:r>
        <w:t xml:space="preserve">. </w:t>
      </w:r>
    </w:p>
    <w:p w:rsidR="000704A6" w:rsidRDefault="00EF002B" w:rsidP="000704A6">
      <w:r>
        <w:t>The two cell enrichment LBC RCTs do not report sufficient information on the reference standards used to understand the applicability to Australia. Only t</w:t>
      </w:r>
      <w:r w:rsidR="000704A6">
        <w:t>wo cell filtration LBC trials reported the application  of the same  reference standards</w:t>
      </w:r>
      <w:r>
        <w:t xml:space="preserve"> as Australia</w:t>
      </w:r>
      <w:r w:rsidR="000704A6">
        <w:t xml:space="preserve">—NETHCON (N=85,076) and Strander 2007 (N=13,484), however the timing of the repeat screen is not specified in the NETHCON trial and in Strander the repeat was to occur within 4 months, much sooner than required in Australia. </w:t>
      </w:r>
    </w:p>
    <w:p w:rsidR="000704A6" w:rsidRDefault="000704A6" w:rsidP="000704A6">
      <w:r>
        <w:t>The NETHCON trial showed no significant difference in the proportion of each cytological category (including ASCUS and LSIL) between cell filtration LBC and conventional cytology (</w:t>
      </w:r>
      <w:r w:rsidR="00086C77">
        <w:fldChar w:fldCharType="begin"/>
      </w:r>
      <w:r>
        <w:instrText xml:space="preserve"> REF _Ref332791707 \h </w:instrText>
      </w:r>
      <w:r w:rsidR="00086C77">
        <w:fldChar w:fldCharType="separate"/>
      </w:r>
      <w:r w:rsidR="003361A8">
        <w:t xml:space="preserve">Table </w:t>
      </w:r>
      <w:r w:rsidR="003361A8">
        <w:rPr>
          <w:noProof/>
        </w:rPr>
        <w:t>35</w:t>
      </w:r>
      <w:r w:rsidR="00086C77">
        <w:fldChar w:fldCharType="end"/>
      </w:r>
      <w:r>
        <w:t>). A review of the follow up information on test positives in the NETHCON trial indicated that 71.4% and 71.1% ASCUS</w:t>
      </w:r>
      <w:r w:rsidR="00187C39">
        <w:t xml:space="preserve"> </w:t>
      </w:r>
      <w:r>
        <w:t>and LSIL findings with conventional cytology and cell filtration LBC, respectively, remained the same with repeat cytology</w:t>
      </w:r>
      <w:r w:rsidR="00187C39">
        <w:t xml:space="preserve"> although the timing of the follow-up test is unknown</w:t>
      </w:r>
      <w:r w:rsidR="00C118AA">
        <w:t xml:space="preserve"> </w:t>
      </w:r>
      <w:r>
        <w:t>(Siebers et al. 2009, Table</w:t>
      </w:r>
      <w:r w:rsidR="00187C39">
        <w:t xml:space="preserve"> 2).</w:t>
      </w:r>
    </w:p>
    <w:p w:rsidR="00EF002B" w:rsidRDefault="000704A6" w:rsidP="000704A6">
      <w:r>
        <w:t>Strander 2007 detected significantly more LSIL and HSIL with cell filtration LBC compared with conventional cytology. Approximately 50% of the patients with an LSIL finding did not go on to have any histology but it is not known what the repeat smear detected (Strander et al. 2007, Table 3)</w:t>
      </w:r>
      <w:r w:rsidR="00582780">
        <w:t>.</w:t>
      </w:r>
    </w:p>
    <w:p w:rsidR="000704A6" w:rsidRPr="000704A6" w:rsidRDefault="00B82D1E" w:rsidP="000704A6">
      <w:r>
        <w:t>T</w:t>
      </w:r>
      <w:r w:rsidR="000704A6">
        <w:t xml:space="preserve">he </w:t>
      </w:r>
      <w:r w:rsidR="00C118AA">
        <w:t xml:space="preserve">proportion of persistent low grade </w:t>
      </w:r>
      <w:r w:rsidR="00140CA4">
        <w:t>abnormalities</w:t>
      </w:r>
      <w:r w:rsidR="00C118AA">
        <w:t xml:space="preserve"> (ASCUS and/or LSIL) </w:t>
      </w:r>
      <w:r w:rsidR="000704A6">
        <w:t xml:space="preserve">in the Strander 2007 trial is unknown. </w:t>
      </w:r>
      <w:r w:rsidR="00237CB6">
        <w:t xml:space="preserve">In the NETHCON trial </w:t>
      </w:r>
      <w:r>
        <w:t xml:space="preserve">71% of </w:t>
      </w:r>
      <w:r w:rsidR="00237CB6">
        <w:t xml:space="preserve">ASCUS and LSIL </w:t>
      </w:r>
      <w:r>
        <w:t>persisted</w:t>
      </w:r>
      <w:r w:rsidR="00C118AA">
        <w:t xml:space="preserve"> at an unknown timepoint</w:t>
      </w:r>
      <w:r w:rsidR="00237CB6">
        <w:t>. It is therefore uncertain what the result of the repeat smear will detect</w:t>
      </w:r>
      <w:r w:rsidR="00312FB3">
        <w:t xml:space="preserve"> and generally trial outcomes reported reflect more invasive assessment (such as colposcopy) sooner than would occur in Australia</w:t>
      </w:r>
      <w:r w:rsidR="00237CB6">
        <w:t xml:space="preserve">. </w:t>
      </w:r>
    </w:p>
    <w:p w:rsidR="00237CB6" w:rsidRPr="00AA1B38" w:rsidRDefault="00237CB6" w:rsidP="00237CB6">
      <w:pPr>
        <w:pStyle w:val="Heading30"/>
      </w:pPr>
      <w:bookmarkStart w:id="529" w:name="_Toc337546905"/>
      <w:r>
        <w:t>C.1.2</w:t>
      </w:r>
      <w:r>
        <w:tab/>
        <w:t>Applicability of the trial population</w:t>
      </w:r>
      <w:bookmarkEnd w:id="529"/>
    </w:p>
    <w:p w:rsidR="00B64250" w:rsidRDefault="00B64250" w:rsidP="00B64250">
      <w:r>
        <w:t>The clinical setting for the trials included in this submission reflect</w:t>
      </w:r>
      <w:r w:rsidR="002F06AC">
        <w:t>s</w:t>
      </w:r>
      <w:r>
        <w:t xml:space="preserve"> a cervical screening population. Therefore</w:t>
      </w:r>
      <w:r w:rsidR="00AA1B38">
        <w:t>,</w:t>
      </w:r>
      <w:r>
        <w:t xml:space="preserve"> overall the study participants are representative of the cervical cancer screening pop</w:t>
      </w:r>
      <w:r w:rsidR="00AA1B38">
        <w:t>ulation in Australia. T</w:t>
      </w:r>
      <w:r>
        <w:t xml:space="preserve">o verify the applicability of the trial population to Australia the baseline characteristics from the conventional cytology arm of the trials is compared with the </w:t>
      </w:r>
      <w:r>
        <w:lastRenderedPageBreak/>
        <w:t>charac</w:t>
      </w:r>
      <w:r w:rsidR="00AA1B38">
        <w:t xml:space="preserve">teristics reported in the AIHW </w:t>
      </w:r>
      <w:r w:rsidRPr="00AA1B38">
        <w:rPr>
          <w:i/>
        </w:rPr>
        <w:t>Cervi</w:t>
      </w:r>
      <w:r w:rsidR="002F06AC" w:rsidRPr="00AA1B38">
        <w:rPr>
          <w:i/>
        </w:rPr>
        <w:t>cal screening in Australia 2009–</w:t>
      </w:r>
      <w:r w:rsidR="00AA1B38" w:rsidRPr="00AA1B38">
        <w:rPr>
          <w:i/>
        </w:rPr>
        <w:t>2010 report</w:t>
      </w:r>
      <w:r w:rsidR="002741E1">
        <w:rPr>
          <w:i/>
        </w:rPr>
        <w:t xml:space="preserve"> </w:t>
      </w:r>
      <w:r>
        <w:t>(AIHW 2012)</w:t>
      </w:r>
      <w:r w:rsidR="002741E1">
        <w:t xml:space="preserve"> </w:t>
      </w:r>
      <w:r>
        <w:t>(</w:t>
      </w:r>
      <w:r w:rsidR="00086C77">
        <w:fldChar w:fldCharType="begin"/>
      </w:r>
      <w:r>
        <w:instrText xml:space="preserve"> REF _Ref335303869 \h </w:instrText>
      </w:r>
      <w:r w:rsidR="00086C77">
        <w:fldChar w:fldCharType="separate"/>
      </w:r>
      <w:r w:rsidR="003361A8">
        <w:t xml:space="preserve">Table </w:t>
      </w:r>
      <w:r w:rsidR="003361A8">
        <w:rPr>
          <w:noProof/>
        </w:rPr>
        <w:t>82</w:t>
      </w:r>
      <w:r w:rsidR="00086C77">
        <w:fldChar w:fldCharType="end"/>
      </w:r>
      <w:r>
        <w:t xml:space="preserve">). </w:t>
      </w:r>
    </w:p>
    <w:p w:rsidR="00B64250" w:rsidRDefault="00B64250" w:rsidP="00B64250">
      <w:r>
        <w:t>The age of the trial participants appears to be slightly lower than the majority of women participating in the Austral</w:t>
      </w:r>
      <w:r w:rsidR="008150B9">
        <w:t xml:space="preserve">ian cervical screening program </w:t>
      </w:r>
      <w:r>
        <w:t>in 2009–2010.</w:t>
      </w:r>
    </w:p>
    <w:p w:rsidR="00B64250" w:rsidRDefault="00B64250" w:rsidP="00B64250">
      <w:r>
        <w:t>The distribution of cytological outcomes in the conventional arms from the RCTs indicate that more slides were found to be normal and a lower proportion found to have any abnormalities compared with women participating in the Austral</w:t>
      </w:r>
      <w:r w:rsidR="00AA1B38">
        <w:t xml:space="preserve">ian cervical screening program </w:t>
      </w:r>
      <w:r>
        <w:t>in 2009–2010.</w:t>
      </w:r>
    </w:p>
    <w:p w:rsidR="00B64250" w:rsidRDefault="00B64250" w:rsidP="00B64250">
      <w:r>
        <w:t xml:space="preserve">Generally the proportion of histology that was found to contain a low or high grade abnormality was lower </w:t>
      </w:r>
      <w:r w:rsidR="00312FB3">
        <w:t>in the co</w:t>
      </w:r>
      <w:r w:rsidR="00187C39">
        <w:t xml:space="preserve">nventional cytology arm of the </w:t>
      </w:r>
      <w:r w:rsidR="002F06AC">
        <w:t>LBC trial by Strander 2007</w:t>
      </w:r>
      <w:r>
        <w:t xml:space="preserve"> compared with women participating in the Austral</w:t>
      </w:r>
      <w:r w:rsidR="002F06AC">
        <w:t xml:space="preserve">ian cervical screening program </w:t>
      </w:r>
      <w:r>
        <w:t>in 2009–2010.</w:t>
      </w:r>
    </w:p>
    <w:p w:rsidR="00B64250" w:rsidRDefault="00B64250" w:rsidP="00B64250">
      <w:r>
        <w:t>The PPV was difficult to compare</w:t>
      </w:r>
      <w:r w:rsidR="00AA1B38">
        <w:t>,</w:t>
      </w:r>
      <w:r>
        <w:t xml:space="preserve"> given that reported by the AIHW (2012) report captures three categories. However</w:t>
      </w:r>
      <w:r w:rsidR="00AA1B38">
        <w:t>,</w:t>
      </w:r>
      <w:r>
        <w:t xml:space="preserve"> it appears that the</w:t>
      </w:r>
      <w:r w:rsidR="00960575">
        <w:t xml:space="preserve"> approximate average </w:t>
      </w:r>
      <w:r>
        <w:t>PPV</w:t>
      </w:r>
      <w:r w:rsidR="00960575">
        <w:t xml:space="preserve"> for CIN1-3</w:t>
      </w:r>
      <w:r>
        <w:t xml:space="preserve"> based on the test threshold </w:t>
      </w:r>
      <w:r w:rsidR="002741E1">
        <w:t>HSIL</w:t>
      </w:r>
      <w:r>
        <w:t xml:space="preserve"> was similar to </w:t>
      </w:r>
      <w:r w:rsidR="00AA1B38">
        <w:t xml:space="preserve">or </w:t>
      </w:r>
      <w:r>
        <w:t>slightly higher than that reported for cervical scr</w:t>
      </w:r>
      <w:r w:rsidR="002F06AC">
        <w:t xml:space="preserve">eening carried out </w:t>
      </w:r>
      <w:r w:rsidR="00312FB3">
        <w:t xml:space="preserve">in Australia </w:t>
      </w:r>
      <w:r w:rsidR="002F06AC">
        <w:t>between 2009 and</w:t>
      </w:r>
      <w:r w:rsidR="00AA1B38">
        <w:t xml:space="preserve"> </w:t>
      </w:r>
      <w:r>
        <w:t>2010.</w:t>
      </w:r>
    </w:p>
    <w:p w:rsidR="00B64250" w:rsidRDefault="00B64250" w:rsidP="00B64250">
      <w:pPr>
        <w:pStyle w:val="Caption"/>
      </w:pPr>
      <w:bookmarkStart w:id="530" w:name="_Ref335303869"/>
      <w:bookmarkStart w:id="531" w:name="_Toc335666054"/>
      <w:bookmarkStart w:id="532" w:name="_Toc337547019"/>
      <w:r>
        <w:lastRenderedPageBreak/>
        <w:t xml:space="preserve">Table </w:t>
      </w:r>
      <w:fldSimple w:instr=" SEQ Table \* ARABIC ">
        <w:r w:rsidR="003361A8">
          <w:rPr>
            <w:noProof/>
          </w:rPr>
          <w:t>82</w:t>
        </w:r>
      </w:fldSimple>
      <w:bookmarkEnd w:id="530"/>
      <w:r w:rsidR="00BC0FE6">
        <w:tab/>
      </w:r>
      <w:r>
        <w:t>Comparison of RCT baseline characteristics with women</w:t>
      </w:r>
      <w:r w:rsidRPr="00880682">
        <w:t xml:space="preserve"> </w:t>
      </w:r>
      <w:r>
        <w:t xml:space="preserve">participating in the </w:t>
      </w:r>
      <w:r w:rsidRPr="00880682">
        <w:t>Austral</w:t>
      </w:r>
      <w:r w:rsidR="002F06AC">
        <w:t xml:space="preserve">ian cervical screening program </w:t>
      </w:r>
      <w:r w:rsidRPr="00880682">
        <w:t>in 2009–2010</w:t>
      </w:r>
      <w:bookmarkEnd w:id="531"/>
      <w:bookmarkEnd w:id="53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125"/>
        <w:gridCol w:w="2964"/>
      </w:tblGrid>
      <w:tr w:rsidR="00B64250" w:rsidRPr="002F06AC" w:rsidTr="00B64250">
        <w:tc>
          <w:tcPr>
            <w:tcW w:w="2802" w:type="dxa"/>
          </w:tcPr>
          <w:p w:rsidR="00B64250" w:rsidRPr="002F06AC" w:rsidRDefault="00B64250" w:rsidP="00B64250">
            <w:pPr>
              <w:pStyle w:val="Tabletext"/>
              <w:rPr>
                <w:b/>
              </w:rPr>
            </w:pPr>
            <w:r w:rsidRPr="002F06AC">
              <w:rPr>
                <w:b/>
              </w:rPr>
              <w:t>Characteristic</w:t>
            </w:r>
          </w:p>
        </w:tc>
        <w:tc>
          <w:tcPr>
            <w:tcW w:w="3125" w:type="dxa"/>
          </w:tcPr>
          <w:p w:rsidR="00B64250" w:rsidRPr="002F06AC" w:rsidRDefault="00B64250" w:rsidP="00B64250">
            <w:pPr>
              <w:pStyle w:val="Tabletext"/>
              <w:rPr>
                <w:b/>
              </w:rPr>
            </w:pPr>
            <w:r w:rsidRPr="002F06AC">
              <w:rPr>
                <w:b/>
              </w:rPr>
              <w:t>Australian characteristics</w:t>
            </w:r>
          </w:p>
        </w:tc>
        <w:tc>
          <w:tcPr>
            <w:tcW w:w="2964" w:type="dxa"/>
          </w:tcPr>
          <w:p w:rsidR="00B64250" w:rsidRPr="002F06AC" w:rsidRDefault="00B64250" w:rsidP="00B64250">
            <w:pPr>
              <w:pStyle w:val="Tabletext"/>
              <w:rPr>
                <w:b/>
              </w:rPr>
            </w:pPr>
            <w:r w:rsidRPr="002F06AC">
              <w:rPr>
                <w:b/>
              </w:rPr>
              <w:t>Trial characteristics</w:t>
            </w:r>
          </w:p>
        </w:tc>
      </w:tr>
      <w:tr w:rsidR="00B64250" w:rsidTr="00B64250">
        <w:tc>
          <w:tcPr>
            <w:tcW w:w="2802" w:type="dxa"/>
          </w:tcPr>
          <w:p w:rsidR="00B64250" w:rsidRDefault="00B64250" w:rsidP="00B64250">
            <w:pPr>
              <w:pStyle w:val="Tabletext"/>
            </w:pPr>
            <w:r>
              <w:t>Age</w:t>
            </w:r>
          </w:p>
        </w:tc>
        <w:tc>
          <w:tcPr>
            <w:tcW w:w="3125" w:type="dxa"/>
          </w:tcPr>
          <w:p w:rsidR="00B64250" w:rsidRDefault="00AA1B38" w:rsidP="00B64250">
            <w:pPr>
              <w:pStyle w:val="Tabletext"/>
            </w:pPr>
            <w:r>
              <w:t>Target age group is</w:t>
            </w:r>
            <w:r w:rsidR="002F06AC">
              <w:t xml:space="preserve"> women </w:t>
            </w:r>
            <w:r>
              <w:t xml:space="preserve">aged </w:t>
            </w:r>
            <w:r w:rsidR="002F06AC">
              <w:t>20–</w:t>
            </w:r>
            <w:r>
              <w:t>69 years</w:t>
            </w:r>
            <w:r w:rsidR="00B64250">
              <w:br/>
              <w:t xml:space="preserve">95.9% of women are </w:t>
            </w:r>
            <w:r>
              <w:t>20–</w:t>
            </w:r>
            <w:r w:rsidR="00B64250">
              <w:t>69</w:t>
            </w:r>
            <w:r>
              <w:t xml:space="preserve"> years</w:t>
            </w:r>
            <w:r w:rsidR="00B64250">
              <w:t>, participatio</w:t>
            </w:r>
            <w:r w:rsidR="002F06AC">
              <w:t xml:space="preserve">n is highest (~63%) in women </w:t>
            </w:r>
            <w:r>
              <w:t xml:space="preserve">aged </w:t>
            </w:r>
            <w:r w:rsidR="002F06AC">
              <w:t>45–</w:t>
            </w:r>
            <w:r>
              <w:t>54 years</w:t>
            </w:r>
          </w:p>
        </w:tc>
        <w:tc>
          <w:tcPr>
            <w:tcW w:w="2964" w:type="dxa"/>
          </w:tcPr>
          <w:p w:rsidR="00B64250" w:rsidRDefault="00B64250" w:rsidP="00B64250">
            <w:pPr>
              <w:pStyle w:val="Tabletext"/>
            </w:pPr>
            <w:r>
              <w:t>Gen</w:t>
            </w:r>
            <w:r w:rsidR="002F06AC">
              <w:t xml:space="preserve">erally included participants </w:t>
            </w:r>
            <w:r w:rsidR="00AA1B38">
              <w:t xml:space="preserve">aged </w:t>
            </w:r>
            <w:r w:rsidR="002F06AC">
              <w:t>20–</w:t>
            </w:r>
            <w:r w:rsidR="00AA1B38">
              <w:t>65 years</w:t>
            </w:r>
            <w:r>
              <w:br/>
              <w:t>Average age of tri</w:t>
            </w:r>
            <w:r w:rsidR="002F06AC">
              <w:t>als</w:t>
            </w:r>
            <w:r w:rsidR="00AA1B38">
              <w:t>’</w:t>
            </w:r>
            <w:r w:rsidR="002F06AC">
              <w:t xml:space="preserve"> participants ranged from 37–44 years</w:t>
            </w:r>
          </w:p>
        </w:tc>
      </w:tr>
      <w:tr w:rsidR="00B64250" w:rsidTr="00B64250">
        <w:tc>
          <w:tcPr>
            <w:tcW w:w="2802" w:type="dxa"/>
          </w:tcPr>
          <w:p w:rsidR="00B64250" w:rsidRDefault="00B64250" w:rsidP="00B860A6">
            <w:pPr>
              <w:pStyle w:val="Tabletext"/>
            </w:pPr>
            <w:r>
              <w:t>Source</w:t>
            </w:r>
          </w:p>
        </w:tc>
        <w:tc>
          <w:tcPr>
            <w:tcW w:w="3125" w:type="dxa"/>
          </w:tcPr>
          <w:p w:rsidR="00B64250" w:rsidRDefault="00B64250" w:rsidP="00B860A6">
            <w:pPr>
              <w:pStyle w:val="Tabletext"/>
            </w:pPr>
            <w:r w:rsidRPr="00406907">
              <w:t>AIHW 2012 Table 1.2</w:t>
            </w:r>
          </w:p>
        </w:tc>
        <w:tc>
          <w:tcPr>
            <w:tcW w:w="2964" w:type="dxa"/>
          </w:tcPr>
          <w:p w:rsidR="00B64250" w:rsidRDefault="00086C77" w:rsidP="00B860A6">
            <w:pPr>
              <w:pStyle w:val="Tabletext"/>
            </w:pPr>
            <w:r>
              <w:fldChar w:fldCharType="begin"/>
            </w:r>
            <w:r w:rsidR="008150B9">
              <w:instrText xml:space="preserve"> REF _Ref335289356 \h </w:instrText>
            </w:r>
            <w:r>
              <w:fldChar w:fldCharType="separate"/>
            </w:r>
            <w:r w:rsidR="003361A8">
              <w:t xml:space="preserve">Table </w:t>
            </w:r>
            <w:r w:rsidR="003361A8">
              <w:rPr>
                <w:noProof/>
              </w:rPr>
              <w:t>15</w:t>
            </w:r>
            <w:r>
              <w:fldChar w:fldCharType="end"/>
            </w:r>
            <w:r w:rsidR="008150B9">
              <w:t xml:space="preserve"> and </w:t>
            </w:r>
            <w:r>
              <w:fldChar w:fldCharType="begin"/>
            </w:r>
            <w:r w:rsidR="008150B9">
              <w:instrText xml:space="preserve"> REF _Ref167248249 \h </w:instrText>
            </w:r>
            <w:r>
              <w:fldChar w:fldCharType="separate"/>
            </w:r>
            <w:r w:rsidR="003361A8" w:rsidRPr="00274021">
              <w:t xml:space="preserve">Table </w:t>
            </w:r>
            <w:r w:rsidR="003361A8">
              <w:rPr>
                <w:noProof/>
              </w:rPr>
              <w:t>16</w:t>
            </w:r>
            <w:r>
              <w:fldChar w:fldCharType="end"/>
            </w:r>
          </w:p>
        </w:tc>
      </w:tr>
      <w:tr w:rsidR="00B64250" w:rsidTr="00B64250">
        <w:tc>
          <w:tcPr>
            <w:tcW w:w="2802" w:type="dxa"/>
          </w:tcPr>
          <w:p w:rsidR="00B64250" w:rsidRDefault="00B64250" w:rsidP="00B64250">
            <w:pPr>
              <w:pStyle w:val="Tabletext"/>
            </w:pPr>
            <w:r>
              <w:t>Cytology Yield</w:t>
            </w:r>
            <w:r>
              <w:br/>
              <w:t>Unsatisfactory</w:t>
            </w:r>
            <w:r>
              <w:br/>
              <w:t>Negative</w:t>
            </w:r>
            <w:r>
              <w:br/>
              <w:t>Low</w:t>
            </w:r>
            <w:r w:rsidR="00AA1B38">
              <w:t>-</w:t>
            </w:r>
            <w:r>
              <w:t xml:space="preserve">grade </w:t>
            </w:r>
            <w:r w:rsidR="00BC0FE6">
              <w:t>abnormalities</w:t>
            </w:r>
            <w:r w:rsidR="002F06AC" w:rsidRPr="008D077E">
              <w:rPr>
                <w:vertAlign w:val="superscript"/>
              </w:rPr>
              <w:t>a</w:t>
            </w:r>
            <w:r>
              <w:br/>
              <w:t>High</w:t>
            </w:r>
            <w:r w:rsidR="00AA1B38">
              <w:t>-</w:t>
            </w:r>
            <w:r>
              <w:t>grade abnormalities</w:t>
            </w:r>
          </w:p>
        </w:tc>
        <w:tc>
          <w:tcPr>
            <w:tcW w:w="3125" w:type="dxa"/>
          </w:tcPr>
          <w:p w:rsidR="00B64250" w:rsidRDefault="00B64250" w:rsidP="00B64250">
            <w:pPr>
              <w:pStyle w:val="Tabletext"/>
            </w:pPr>
            <w:r>
              <w:br/>
              <w:t>2.1%</w:t>
            </w:r>
            <w:r>
              <w:br/>
              <w:t>92.6%</w:t>
            </w:r>
            <w:r>
              <w:br/>
              <w:t>3.9%</w:t>
            </w:r>
            <w:r>
              <w:br/>
              <w:t>1.4%</w:t>
            </w:r>
          </w:p>
        </w:tc>
        <w:tc>
          <w:tcPr>
            <w:tcW w:w="2964" w:type="dxa"/>
          </w:tcPr>
          <w:p w:rsidR="00B64250" w:rsidRDefault="00B64250" w:rsidP="00B64250">
            <w:pPr>
              <w:pStyle w:val="Tabletext"/>
            </w:pPr>
            <w:r>
              <w:br/>
            </w:r>
            <w:r w:rsidR="00AA1B38">
              <w:t>0–</w:t>
            </w:r>
            <w:r w:rsidR="008D077E">
              <w:t>4.3%</w:t>
            </w:r>
            <w:r w:rsidR="008D077E">
              <w:br/>
              <w:t>95.3%</w:t>
            </w:r>
            <w:r w:rsidR="00AA1B38">
              <w:t>–</w:t>
            </w:r>
            <w:r w:rsidR="008D077E">
              <w:t>97.7%</w:t>
            </w:r>
            <w:r w:rsidR="008D077E">
              <w:br/>
              <w:t>1.01%</w:t>
            </w:r>
            <w:r w:rsidR="00AA1B38">
              <w:t>–</w:t>
            </w:r>
            <w:r w:rsidR="008D077E">
              <w:t>2.79%</w:t>
            </w:r>
            <w:r w:rsidR="008D077E" w:rsidRPr="008D077E">
              <w:rPr>
                <w:vertAlign w:val="superscript"/>
              </w:rPr>
              <w:t>b</w:t>
            </w:r>
            <w:r>
              <w:br/>
              <w:t>0.53%</w:t>
            </w:r>
            <w:r w:rsidR="00AA1B38">
              <w:t>–</w:t>
            </w:r>
            <w:r>
              <w:t>0.51%</w:t>
            </w:r>
          </w:p>
        </w:tc>
      </w:tr>
      <w:tr w:rsidR="00B64250" w:rsidTr="00B64250">
        <w:tc>
          <w:tcPr>
            <w:tcW w:w="2802" w:type="dxa"/>
          </w:tcPr>
          <w:p w:rsidR="00B64250" w:rsidRDefault="00B64250" w:rsidP="00B64250">
            <w:pPr>
              <w:pStyle w:val="Tabletext"/>
            </w:pPr>
            <w:r>
              <w:t>Source</w:t>
            </w:r>
          </w:p>
        </w:tc>
        <w:tc>
          <w:tcPr>
            <w:tcW w:w="3125" w:type="dxa"/>
          </w:tcPr>
          <w:p w:rsidR="00B64250" w:rsidRDefault="00B64250" w:rsidP="00B64250">
            <w:pPr>
              <w:pStyle w:val="Tabletext"/>
            </w:pPr>
            <w:r w:rsidRPr="00406907">
              <w:t xml:space="preserve">AIHW 2012 </w:t>
            </w:r>
            <w:r>
              <w:t xml:space="preserve">Summary </w:t>
            </w:r>
            <w:r w:rsidRPr="00406907">
              <w:t xml:space="preserve">Table </w:t>
            </w:r>
            <w:r w:rsidR="002F06AC">
              <w:t>Latest data 2010 reported only</w:t>
            </w:r>
          </w:p>
        </w:tc>
        <w:tc>
          <w:tcPr>
            <w:tcW w:w="2964" w:type="dxa"/>
          </w:tcPr>
          <w:p w:rsidR="00B64250" w:rsidRDefault="00086C77" w:rsidP="00FC15E5">
            <w:pPr>
              <w:pStyle w:val="Tabletext"/>
            </w:pPr>
            <w:r>
              <w:fldChar w:fldCharType="begin"/>
            </w:r>
            <w:r w:rsidR="008150B9">
              <w:instrText xml:space="preserve"> REF _Ref333923707 \h </w:instrText>
            </w:r>
            <w:r>
              <w:fldChar w:fldCharType="separate"/>
            </w:r>
            <w:r w:rsidR="003361A8">
              <w:t xml:space="preserve">Table </w:t>
            </w:r>
            <w:r w:rsidR="003361A8">
              <w:rPr>
                <w:noProof/>
              </w:rPr>
              <w:t>30</w:t>
            </w:r>
            <w:r>
              <w:fldChar w:fldCharType="end"/>
            </w:r>
            <w:r w:rsidR="008150B9">
              <w:t xml:space="preserve"> and </w:t>
            </w:r>
            <w:r w:rsidR="00FC15E5">
              <w:fldChar w:fldCharType="begin"/>
            </w:r>
            <w:r w:rsidR="00FC15E5">
              <w:instrText xml:space="preserve"> REF _Ref336424990 \h </w:instrText>
            </w:r>
            <w:r w:rsidR="00FC15E5">
              <w:fldChar w:fldCharType="separate"/>
            </w:r>
            <w:r w:rsidR="003361A8">
              <w:t xml:space="preserve">Table </w:t>
            </w:r>
            <w:r w:rsidR="003361A8">
              <w:rPr>
                <w:noProof/>
              </w:rPr>
              <w:t>39</w:t>
            </w:r>
            <w:r w:rsidR="00FC15E5">
              <w:fldChar w:fldCharType="end"/>
            </w:r>
          </w:p>
        </w:tc>
      </w:tr>
      <w:tr w:rsidR="00B64250" w:rsidTr="00B64250">
        <w:tc>
          <w:tcPr>
            <w:tcW w:w="2802" w:type="dxa"/>
          </w:tcPr>
          <w:p w:rsidR="00B64250" w:rsidRDefault="00AA1B38" w:rsidP="00B860A6">
            <w:pPr>
              <w:pStyle w:val="Tabletext"/>
            </w:pPr>
            <w:r>
              <w:t>Histology Yield</w:t>
            </w:r>
            <w:r>
              <w:br/>
              <w:t>Low-</w:t>
            </w:r>
            <w:r w:rsidR="00B64250">
              <w:t xml:space="preserve">grade </w:t>
            </w:r>
            <w:r w:rsidR="00BC0FE6">
              <w:t>abnormalities</w:t>
            </w:r>
            <w:r w:rsidR="008D077E" w:rsidRPr="008D077E">
              <w:rPr>
                <w:vertAlign w:val="superscript"/>
              </w:rPr>
              <w:t>c</w:t>
            </w:r>
            <w:r>
              <w:br/>
              <w:t>High-</w:t>
            </w:r>
            <w:r w:rsidR="008D077E">
              <w:t>grade abnormalities</w:t>
            </w:r>
            <w:r w:rsidR="008D077E" w:rsidRPr="008D077E">
              <w:rPr>
                <w:vertAlign w:val="superscript"/>
              </w:rPr>
              <w:t>c</w:t>
            </w:r>
          </w:p>
        </w:tc>
        <w:tc>
          <w:tcPr>
            <w:tcW w:w="3125" w:type="dxa"/>
          </w:tcPr>
          <w:p w:rsidR="00B64250" w:rsidRDefault="00B64250" w:rsidP="00B860A6">
            <w:pPr>
              <w:pStyle w:val="Tabletext"/>
            </w:pPr>
            <w:r>
              <w:br/>
              <w:t>17.2%</w:t>
            </w:r>
            <w:r>
              <w:br/>
              <w:t>25.9%</w:t>
            </w:r>
          </w:p>
        </w:tc>
        <w:tc>
          <w:tcPr>
            <w:tcW w:w="2964" w:type="dxa"/>
          </w:tcPr>
          <w:p w:rsidR="00B64250" w:rsidRDefault="008D077E" w:rsidP="00B860A6">
            <w:pPr>
              <w:pStyle w:val="Tabletext"/>
            </w:pPr>
            <w:r>
              <w:t>Strande</w:t>
            </w:r>
            <w:r w:rsidR="00A5223F">
              <w:t>r</w:t>
            </w:r>
            <w:r w:rsidR="00AA1B38">
              <w:t xml:space="preserve"> 2007</w:t>
            </w:r>
            <w:r>
              <w:t>r</w:t>
            </w:r>
            <w:r w:rsidRPr="008D077E">
              <w:rPr>
                <w:vertAlign w:val="superscript"/>
              </w:rPr>
              <w:t>d</w:t>
            </w:r>
            <w:r w:rsidR="00B64250">
              <w:br/>
              <w:t>14.5%</w:t>
            </w:r>
            <w:r w:rsidR="00B64250">
              <w:br/>
              <w:t>21.0%</w:t>
            </w:r>
          </w:p>
        </w:tc>
      </w:tr>
      <w:tr w:rsidR="00B64250" w:rsidTr="00B64250">
        <w:tc>
          <w:tcPr>
            <w:tcW w:w="2802" w:type="dxa"/>
          </w:tcPr>
          <w:p w:rsidR="00B64250" w:rsidRDefault="00B64250" w:rsidP="00B860A6">
            <w:pPr>
              <w:pStyle w:val="Tabletext"/>
            </w:pPr>
            <w:r>
              <w:t>Source</w:t>
            </w:r>
          </w:p>
        </w:tc>
        <w:tc>
          <w:tcPr>
            <w:tcW w:w="3125" w:type="dxa"/>
          </w:tcPr>
          <w:p w:rsidR="00B64250" w:rsidRDefault="00B64250" w:rsidP="00B860A6">
            <w:pPr>
              <w:pStyle w:val="Tabletext"/>
            </w:pPr>
            <w:r w:rsidRPr="00406907">
              <w:t xml:space="preserve">AIHW 2012 </w:t>
            </w:r>
            <w:r>
              <w:t xml:space="preserve">Summary </w:t>
            </w:r>
            <w:r w:rsidRPr="00406907">
              <w:t xml:space="preserve">Table </w:t>
            </w:r>
            <w:r w:rsidR="002F06AC">
              <w:t>Latest data 2010 reported only</w:t>
            </w:r>
          </w:p>
        </w:tc>
        <w:tc>
          <w:tcPr>
            <w:tcW w:w="2964" w:type="dxa"/>
          </w:tcPr>
          <w:p w:rsidR="00B64250" w:rsidRDefault="00086C77" w:rsidP="00B860A6">
            <w:pPr>
              <w:pStyle w:val="Tabletext"/>
            </w:pPr>
            <w:r>
              <w:fldChar w:fldCharType="begin"/>
            </w:r>
            <w:r w:rsidR="008150B9">
              <w:instrText xml:space="preserve"> REF _Ref332195156 \h </w:instrText>
            </w:r>
            <w:r>
              <w:fldChar w:fldCharType="separate"/>
            </w:r>
            <w:r w:rsidR="003361A8">
              <w:t xml:space="preserve">Table </w:t>
            </w:r>
            <w:r w:rsidR="003361A8">
              <w:rPr>
                <w:noProof/>
              </w:rPr>
              <w:t>44</w:t>
            </w:r>
            <w:r>
              <w:fldChar w:fldCharType="end"/>
            </w:r>
          </w:p>
        </w:tc>
      </w:tr>
      <w:tr w:rsidR="00B64250" w:rsidTr="00B64250">
        <w:tc>
          <w:tcPr>
            <w:tcW w:w="2802" w:type="dxa"/>
          </w:tcPr>
          <w:p w:rsidR="00B64250" w:rsidRDefault="008D077E" w:rsidP="00B64250">
            <w:pPr>
              <w:pStyle w:val="Tabletext"/>
            </w:pPr>
            <w:r>
              <w:t>Correlation</w:t>
            </w:r>
            <w:r>
              <w:br/>
              <w:t>PPV</w:t>
            </w:r>
            <w:r w:rsidRPr="008D077E">
              <w:rPr>
                <w:vertAlign w:val="superscript"/>
              </w:rPr>
              <w:t>e</w:t>
            </w:r>
            <w:r w:rsidR="00B64250">
              <w:t xml:space="preserve"> for HSIL</w:t>
            </w:r>
          </w:p>
        </w:tc>
        <w:tc>
          <w:tcPr>
            <w:tcW w:w="3125" w:type="dxa"/>
          </w:tcPr>
          <w:p w:rsidR="00B64250" w:rsidRDefault="00B64250" w:rsidP="00B64250">
            <w:pPr>
              <w:pStyle w:val="Tabletext"/>
            </w:pPr>
            <w:r>
              <w:br/>
              <w:t>71.2%</w:t>
            </w:r>
          </w:p>
        </w:tc>
        <w:tc>
          <w:tcPr>
            <w:tcW w:w="2964" w:type="dxa"/>
          </w:tcPr>
          <w:p w:rsidR="00B64250" w:rsidRDefault="00B64250" w:rsidP="00B64250">
            <w:pPr>
              <w:pStyle w:val="Tabletext"/>
            </w:pPr>
            <w:r>
              <w:t>%PPV for HSIL test threshold</w:t>
            </w:r>
            <w:r>
              <w:br/>
              <w:t>CIN</w:t>
            </w:r>
            <w:r w:rsidR="002F06AC">
              <w:t xml:space="preserve"> </w:t>
            </w:r>
            <w:r>
              <w:t>1+ 84%</w:t>
            </w:r>
            <w:r w:rsidR="00AA1B38">
              <w:t>–</w:t>
            </w:r>
            <w:r>
              <w:t>94%</w:t>
            </w:r>
            <w:r>
              <w:br/>
              <w:t>CIN</w:t>
            </w:r>
            <w:r w:rsidR="002F06AC">
              <w:t xml:space="preserve"> </w:t>
            </w:r>
            <w:r>
              <w:t>2+ 81%</w:t>
            </w:r>
            <w:r w:rsidR="00AA1B38">
              <w:t>–</w:t>
            </w:r>
            <w:r>
              <w:t>100%</w:t>
            </w:r>
            <w:r>
              <w:br/>
              <w:t>CIN</w:t>
            </w:r>
            <w:r w:rsidR="002F06AC">
              <w:t xml:space="preserve"> </w:t>
            </w:r>
            <w:r>
              <w:t>3+59%</w:t>
            </w:r>
            <w:r w:rsidR="00AA1B38">
              <w:t>–</w:t>
            </w:r>
            <w:r>
              <w:t>67%</w:t>
            </w:r>
          </w:p>
        </w:tc>
      </w:tr>
      <w:tr w:rsidR="00B64250" w:rsidTr="00B64250">
        <w:tc>
          <w:tcPr>
            <w:tcW w:w="2802" w:type="dxa"/>
          </w:tcPr>
          <w:p w:rsidR="00B64250" w:rsidRDefault="00B64250" w:rsidP="00B860A6">
            <w:pPr>
              <w:pStyle w:val="Tabletext"/>
            </w:pPr>
            <w:r>
              <w:t>Source</w:t>
            </w:r>
          </w:p>
        </w:tc>
        <w:tc>
          <w:tcPr>
            <w:tcW w:w="3125" w:type="dxa"/>
          </w:tcPr>
          <w:p w:rsidR="00B64250" w:rsidRDefault="00B64250" w:rsidP="00B860A6">
            <w:pPr>
              <w:pStyle w:val="Tabletext"/>
            </w:pPr>
            <w:r w:rsidRPr="00406907">
              <w:t xml:space="preserve">AIHW 2012 </w:t>
            </w:r>
            <w:r>
              <w:t xml:space="preserve">Summary </w:t>
            </w:r>
            <w:r w:rsidRPr="00406907">
              <w:t xml:space="preserve">Table </w:t>
            </w:r>
            <w:r w:rsidR="008D077E">
              <w:t>Latest data 2010 reported only</w:t>
            </w:r>
          </w:p>
        </w:tc>
        <w:tc>
          <w:tcPr>
            <w:tcW w:w="2964" w:type="dxa"/>
          </w:tcPr>
          <w:p w:rsidR="00B64250" w:rsidRDefault="008150B9" w:rsidP="008150B9">
            <w:pPr>
              <w:pStyle w:val="Tabletext"/>
            </w:pPr>
            <w:r>
              <w:t>Section B.6.</w:t>
            </w:r>
          </w:p>
        </w:tc>
      </w:tr>
    </w:tbl>
    <w:p w:rsidR="00AA1B38" w:rsidRDefault="00AA1B38" w:rsidP="00AA1B38">
      <w:pPr>
        <w:pStyle w:val="Tabletext"/>
      </w:pPr>
      <w:r>
        <w:t xml:space="preserve">Abbreviations: AIHW, Australian Institute of Health and Welfare; CIN, cervical intraepithelial neoplasia; </w:t>
      </w:r>
      <w:r w:rsidRPr="002741E1">
        <w:t>HSIL</w:t>
      </w:r>
      <w:r>
        <w:t xml:space="preserve">, </w:t>
      </w:r>
      <w:r w:rsidR="002741E1">
        <w:t xml:space="preserve">high-grade squamous intraepithelial lesion; </w:t>
      </w:r>
      <w:r>
        <w:t>PPV, positive predictive value</w:t>
      </w:r>
    </w:p>
    <w:p w:rsidR="008D077E" w:rsidRDefault="00B64250" w:rsidP="00E2792C">
      <w:pPr>
        <w:pStyle w:val="Tabletext"/>
        <w:numPr>
          <w:ilvl w:val="0"/>
          <w:numId w:val="48"/>
        </w:numPr>
      </w:pPr>
      <w:r w:rsidRPr="008D077E">
        <w:t>Low grade</w:t>
      </w:r>
      <w:r w:rsidR="00815255">
        <w:t xml:space="preserve"> abnormalities represent ASCUS (</w:t>
      </w:r>
      <w:r w:rsidRPr="008D077E">
        <w:t>pLSIL</w:t>
      </w:r>
      <w:r w:rsidR="00815255">
        <w:t>)</w:t>
      </w:r>
      <w:r w:rsidRPr="008D077E">
        <w:t xml:space="preserve"> and LSIL as reported in AIHW 2012 Table 3.10. High</w:t>
      </w:r>
      <w:r>
        <w:t xml:space="preserve"> grade </w:t>
      </w:r>
      <w:r w:rsidR="006E52EC">
        <w:t>abnormalities</w:t>
      </w:r>
      <w:r>
        <w:t xml:space="preserve"> represent pHSIL+</w:t>
      </w:r>
      <w:r w:rsidRPr="00A77FAB">
        <w:t xml:space="preserve"> </w:t>
      </w:r>
      <w:r>
        <w:t>as reported in AIHW 2012 Table 3.10</w:t>
      </w:r>
      <w:r w:rsidR="00E2792C">
        <w:t>. Low grade reports in the CC a</w:t>
      </w:r>
      <w:r w:rsidR="007602AE">
        <w:t>r</w:t>
      </w:r>
      <w:r w:rsidR="00E2792C">
        <w:t xml:space="preserve">ms of the trials were much lower than observed in Australian practice. </w:t>
      </w:r>
      <w:r w:rsidR="00815255">
        <w:t>Although l</w:t>
      </w:r>
      <w:r w:rsidR="00E2792C">
        <w:t>ow-grade cytology reports are very common in Australia</w:t>
      </w:r>
      <w:r w:rsidR="00815255">
        <w:t xml:space="preserve"> the rates are declining (a decrease from 5.5% in 2005 to 3.9% in 2010</w:t>
      </w:r>
      <w:proofErr w:type="gramStart"/>
      <w:r w:rsidR="00815255">
        <w:t>)(</w:t>
      </w:r>
      <w:proofErr w:type="gramEnd"/>
      <w:r w:rsidR="00815255">
        <w:t>AIHW 2012 p.31)</w:t>
      </w:r>
      <w:r w:rsidR="00E2792C">
        <w:t>. In part, this is because screening is started at a young age (18–20 years</w:t>
      </w:r>
      <w:r w:rsidR="00815255">
        <w:t>)</w:t>
      </w:r>
      <w:r w:rsidR="00E2792C">
        <w:t>, but also reflects the short two-yearly rescreening interval that results in greater detection of transient abnormalities</w:t>
      </w:r>
      <w:r w:rsidR="00815255">
        <w:t xml:space="preserve"> )(NHMRC 2005 p.31 and AIHW 2012 figure 3.3 p. 32).</w:t>
      </w:r>
    </w:p>
    <w:p w:rsidR="008D077E" w:rsidRDefault="00B64250" w:rsidP="00AB012A">
      <w:pPr>
        <w:pStyle w:val="Tabletext"/>
        <w:numPr>
          <w:ilvl w:val="0"/>
          <w:numId w:val="48"/>
        </w:numPr>
      </w:pPr>
      <w:r>
        <w:t>The pooled result for ASCUS from the cell enrichment trial was combined with the pooled result for LSIL (0.79% +0.22%). Likewise the pooled result for ASCUS from the cell filtration trials was combined with the pooled result for LSIL (2.0%+0.79%).</w:t>
      </w:r>
    </w:p>
    <w:p w:rsidR="008D077E" w:rsidRDefault="00B64250" w:rsidP="00AB012A">
      <w:pPr>
        <w:pStyle w:val="Tabletext"/>
        <w:numPr>
          <w:ilvl w:val="0"/>
          <w:numId w:val="48"/>
        </w:numPr>
      </w:pPr>
      <w:r>
        <w:t xml:space="preserve">Histology outcomes reported as Low grade abnormalities do not represent CIN, High grade </w:t>
      </w:r>
      <w:r w:rsidR="008D077E">
        <w:t>abnormalities</w:t>
      </w:r>
      <w:r>
        <w:t xml:space="preserve"> represented CIN not otherwise specified (NOS). CIN</w:t>
      </w:r>
      <w:r w:rsidR="008D077E">
        <w:t xml:space="preserve"> </w:t>
      </w:r>
      <w:r>
        <w:t>2 and CIN</w:t>
      </w:r>
      <w:r w:rsidR="008D077E">
        <w:t xml:space="preserve"> </w:t>
      </w:r>
      <w:r>
        <w:t>3 AIHW 2012 Table 4.1</w:t>
      </w:r>
    </w:p>
    <w:p w:rsidR="008D077E" w:rsidRDefault="00B64250" w:rsidP="00AB012A">
      <w:pPr>
        <w:pStyle w:val="Tabletext"/>
        <w:numPr>
          <w:ilvl w:val="0"/>
          <w:numId w:val="48"/>
        </w:numPr>
      </w:pPr>
      <w:r>
        <w:t xml:space="preserve">The histology outcomes reported in AIHW2012 </w:t>
      </w:r>
      <w:r w:rsidR="008D077E">
        <w:t>reflect</w:t>
      </w:r>
      <w:r>
        <w:t xml:space="preserve"> the proportion of all histology that is low grade or high grade. All RCTs included in the su</w:t>
      </w:r>
      <w:r w:rsidR="008D077E">
        <w:t xml:space="preserve">bmission except Strander </w:t>
      </w:r>
      <w:r>
        <w:t>2007 report reference standard outcomes from colposcopy and histology combined. This means that it is not possible to determine the proportion of histology that is low grade or high grade because it</w:t>
      </w:r>
      <w:r w:rsidR="008D077E">
        <w:t xml:space="preserve"> i</w:t>
      </w:r>
      <w:r>
        <w:t xml:space="preserve">s not possible to </w:t>
      </w:r>
      <w:r w:rsidR="008D077E">
        <w:t>determine</w:t>
      </w:r>
      <w:r>
        <w:t xml:space="preserve"> the total number of patients who h</w:t>
      </w:r>
      <w:r w:rsidR="008D077E">
        <w:t>ave histology</w:t>
      </w:r>
      <w:r w:rsidR="00960575">
        <w:t xml:space="preserve"> only</w:t>
      </w:r>
      <w:r w:rsidR="008D077E">
        <w:t>. Strander 2007</w:t>
      </w:r>
      <w:r>
        <w:t xml:space="preserve"> does report the </w:t>
      </w:r>
      <w:r w:rsidR="008D077E">
        <w:t>histological</w:t>
      </w:r>
      <w:r>
        <w:t xml:space="preserve"> outcomes for all </w:t>
      </w:r>
      <w:r w:rsidR="00312FB3">
        <w:t xml:space="preserve">cytology </w:t>
      </w:r>
      <w:r>
        <w:t xml:space="preserve">and is therefore used to represent the trial evidence in the submission. </w:t>
      </w:r>
    </w:p>
    <w:p w:rsidR="00B64250" w:rsidRDefault="00B64250" w:rsidP="00AB012A">
      <w:pPr>
        <w:pStyle w:val="Tabletext"/>
        <w:numPr>
          <w:ilvl w:val="0"/>
          <w:numId w:val="48"/>
        </w:numPr>
      </w:pPr>
      <w:r w:rsidRPr="00F525CE">
        <w:t xml:space="preserve">PPV is the positive predictive value, calculated as the proportion of cytology results of possible or definite high-grade that were confirmed on histology to be a high-grade abnormality </w:t>
      </w:r>
      <w:r>
        <w:t>(CIN NOS, CIN</w:t>
      </w:r>
      <w:r w:rsidR="008D077E">
        <w:t xml:space="preserve"> </w:t>
      </w:r>
      <w:r>
        <w:t>2 or CIN</w:t>
      </w:r>
      <w:r w:rsidR="008D077E">
        <w:t xml:space="preserve"> </w:t>
      </w:r>
      <w:r>
        <w:t xml:space="preserve">3) </w:t>
      </w:r>
      <w:r w:rsidR="008D077E">
        <w:t>or cervical cancer</w:t>
      </w:r>
    </w:p>
    <w:p w:rsidR="00AA1B38" w:rsidRDefault="00AA1B38" w:rsidP="00B64250"/>
    <w:p w:rsidR="00B64250" w:rsidRDefault="00B64250" w:rsidP="00B64250">
      <w:r>
        <w:lastRenderedPageBreak/>
        <w:t>Overall the</w:t>
      </w:r>
      <w:r w:rsidR="003F791C">
        <w:t xml:space="preserve">re are </w:t>
      </w:r>
      <w:r>
        <w:t xml:space="preserve">differences </w:t>
      </w:r>
      <w:r w:rsidR="003F791C">
        <w:t xml:space="preserve">between the trial populations and </w:t>
      </w:r>
      <w:r>
        <w:t>the women participating in cervical screening in Australia</w:t>
      </w:r>
      <w:r w:rsidR="003F791C">
        <w:t xml:space="preserve"> in 2010</w:t>
      </w:r>
      <w:r>
        <w:t xml:space="preserve">. </w:t>
      </w:r>
      <w:r w:rsidR="003F791C">
        <w:t>There are also difference</w:t>
      </w:r>
      <w:r w:rsidR="006E52EC">
        <w:t>s</w:t>
      </w:r>
      <w:r w:rsidR="003F791C">
        <w:t xml:space="preserve"> in the </w:t>
      </w:r>
      <w:r w:rsidR="003022C1">
        <w:t>test yield outcomes</w:t>
      </w:r>
      <w:r w:rsidR="003F791C">
        <w:t xml:space="preserve">. </w:t>
      </w:r>
      <w:r w:rsidR="008F1CDB">
        <w:t>Weighted results on an absolutes scale across trials are therefore applied in the cost-</w:t>
      </w:r>
      <w:r w:rsidR="00140CA4">
        <w:t>minimisation</w:t>
      </w:r>
      <w:r w:rsidR="008F1CDB">
        <w:t xml:space="preserve"> analysis in section D.</w:t>
      </w:r>
    </w:p>
    <w:p w:rsidR="00CD2E20" w:rsidRDefault="00CD2E20" w:rsidP="007823AF"/>
    <w:p w:rsidR="00237CB6" w:rsidRPr="00AA1B38" w:rsidRDefault="00237CB6" w:rsidP="00237CB6">
      <w:pPr>
        <w:pStyle w:val="Heading30"/>
      </w:pPr>
      <w:bookmarkStart w:id="533" w:name="_Toc337546906"/>
      <w:r>
        <w:t>C.1.3</w:t>
      </w:r>
      <w:r>
        <w:tab/>
        <w:t xml:space="preserve">Applicability of </w:t>
      </w:r>
      <w:r w:rsidRPr="00237CB6">
        <w:t>unsatisfactory rates from the trials</w:t>
      </w:r>
      <w:bookmarkEnd w:id="533"/>
    </w:p>
    <w:p w:rsidR="00237CB6" w:rsidRDefault="00237CB6" w:rsidP="00237CB6">
      <w:pPr>
        <w:pStyle w:val="Heading40"/>
      </w:pPr>
      <w:r>
        <w:t>Lower rates of unsatisfactory results with cell enrichment</w:t>
      </w:r>
    </w:p>
    <w:p w:rsidR="00237CB6" w:rsidRDefault="00237CB6" w:rsidP="00237CB6">
      <w:r>
        <w:t>The results presented in Section B demonstrate that both cell enrichment LBC and cell filtration LBC are consi</w:t>
      </w:r>
      <w:r w:rsidR="003022C1">
        <w:t>s</w:t>
      </w:r>
      <w:r>
        <w:t>ten</w:t>
      </w:r>
      <w:r w:rsidR="003022C1">
        <w:t>t</w:t>
      </w:r>
      <w:r>
        <w:t>ly associated with lower rates of unsatisfactory cytology results compared with conventional cytology</w:t>
      </w:r>
      <w:r w:rsidR="003022C1">
        <w:t>, despite variations in baseline rates of unsatisfactory slides</w:t>
      </w:r>
      <w:r>
        <w:t>. Furthermore, the results of the indirect comparison showed the odds of producing an unsatisfactory slide with cell enrichment LBC is 65 % lower compared with cell filtration LBC (indirect OR [95% CI] 0.3586 (0.19, 0.69); P=0.0022).</w:t>
      </w:r>
    </w:p>
    <w:p w:rsidR="00237CB6" w:rsidRDefault="00237CB6" w:rsidP="00237CB6">
      <w:r>
        <w:t>Fontaine 2012 performed a systematic review and meta-analysis of 42 studies of varying trial design to compare the unsatisfactory rates between the main platforms of LBC—cell enrichment and cell filtration. The overall pooled unsatisfactory rate of 14 cell enrichment studies was 0.3% compared to 1.3% determined from 28 cell filtration LBC studies. Meta-analysis of four studies that presented data in the same population by the same laboratory for the different LBC methodologies, demonstrated cell enrichment LBC to have a significantly lower rate of unsatisfactory smears compared with cell filtration LBC with a pooled relative risk of 0.44 (95% CI: 0.25 to 0.77). The results from Fontaine 2012 support the conclusions made from the indirect analysis of this submission.</w:t>
      </w:r>
    </w:p>
    <w:p w:rsidR="00237CB6" w:rsidRDefault="00237CB6" w:rsidP="00237CB6">
      <w:pPr>
        <w:pStyle w:val="Heading40"/>
      </w:pPr>
      <w:r>
        <w:t>Possible explanation for the difference in unsatisfactory rates</w:t>
      </w:r>
    </w:p>
    <w:p w:rsidR="007E571E" w:rsidRDefault="007E571E" w:rsidP="007E571E">
      <w:r w:rsidRPr="00C62016">
        <w:t xml:space="preserve">A conventional Pap smear involves the collection of cells from the uterine cervix using a small cytobrush/broom or spatula </w:t>
      </w:r>
      <w:r>
        <w:t xml:space="preserve">which is then </w:t>
      </w:r>
      <w:r w:rsidRPr="00C62016">
        <w:t xml:space="preserve">smeared onto a glass slide. LBC uses a different method for </w:t>
      </w:r>
      <w:r>
        <w:t xml:space="preserve">collecting and </w:t>
      </w:r>
      <w:r w:rsidRPr="00C62016">
        <w:t>preparing cervical cells for cytological examination. The BD SurePath™ cell enrichment LBC is a proprietary, sample collection, preservation</w:t>
      </w:r>
      <w:r>
        <w:t>,</w:t>
      </w:r>
      <w:r w:rsidRPr="00C62016">
        <w:t xml:space="preserve"> transport</w:t>
      </w:r>
      <w:r>
        <w:t xml:space="preserve"> and slide preparation</w:t>
      </w:r>
      <w:r w:rsidRPr="00C62016">
        <w:t xml:space="preserve"> system that consists of the BD SurePath™ sample collection vial containing proprietary preservative solution and sample collection. Cells are collected using a brush, broom or spatula in the same way as they are collected for a conventional Pap </w:t>
      </w:r>
      <w:r>
        <w:t>test</w:t>
      </w:r>
      <w:r w:rsidRPr="00C62016">
        <w:t>, but the head of the brush or spatula is detached into a vial of preservative fluid to produce a cell suspension which is sent to the laboratory</w:t>
      </w:r>
      <w:r>
        <w:t xml:space="preserve"> where a large number of </w:t>
      </w:r>
      <w:r w:rsidR="001A3CFB">
        <w:t>slides</w:t>
      </w:r>
      <w:r>
        <w:t xml:space="preserve"> are prepared together using standardised protocols. Conversely, conventional cytology slides are prepared at the point of collection which </w:t>
      </w:r>
      <w:r>
        <w:lastRenderedPageBreak/>
        <w:t>inevitably introduces wide variability as to the quality of the specimen</w:t>
      </w:r>
      <w:r w:rsidRPr="00C62016">
        <w:t xml:space="preserve">. </w:t>
      </w:r>
      <w:r>
        <w:t>Another</w:t>
      </w:r>
      <w:r w:rsidRPr="00C62016">
        <w:t xml:space="preserve"> benefit of cell enrichment LBC is that 100% of the sampled material is captured. The more material collected </w:t>
      </w:r>
      <w:r>
        <w:t xml:space="preserve">and the better the standardisation of in the quality of the specimen collected, </w:t>
      </w:r>
      <w:r w:rsidRPr="00C62016">
        <w:t xml:space="preserve">the greater the chance of </w:t>
      </w:r>
      <w:r>
        <w:t xml:space="preserve">both achieving a satisfactory sample for review and </w:t>
      </w:r>
      <w:r w:rsidRPr="00C62016">
        <w:t>finding any abnormal cells</w:t>
      </w:r>
      <w:r>
        <w:t>.</w:t>
      </w:r>
    </w:p>
    <w:p w:rsidR="00237CB6" w:rsidRDefault="00237CB6" w:rsidP="00960575">
      <w:r>
        <w:t xml:space="preserve">An explanation for the significant difference between the LBC technologies is the varied collection and preparatory processes involved (Fontaine 2012). Cell enrichment uses a density-sedimentation process to collect viable cells for slide preparation. Cell filtration uses a filtration-based technology which may not separate obscuring elements such as blood and inflammatory cells as effectively as the sedimentation method, which may lead to an increase in unsatisfactory results. Additionally, the cell enrichment methodology requires the entire collection brush to be immersed in a liquid medium that is then sent to the laboratory for processing. In comparison, the cell filtration process requires the brush to be rinsed in a liquid medium before being disposed (Fontaine 2012). </w:t>
      </w:r>
      <w:r w:rsidR="009C0922">
        <w:t>Bigras (2003) demonstrated that 37% of cellular material is lost when the collecting device is discarded as is the case with cell filtration LBC.</w:t>
      </w:r>
    </w:p>
    <w:p w:rsidR="00237CB6" w:rsidRDefault="00237CB6" w:rsidP="00237CB6">
      <w:pPr>
        <w:pStyle w:val="Heading40"/>
      </w:pPr>
      <w:r>
        <w:t xml:space="preserve">Unsatisfactory results associated with cervical abnormalities </w:t>
      </w:r>
    </w:p>
    <w:p w:rsidR="00237CB6" w:rsidRDefault="00237CB6" w:rsidP="00237CB6">
      <w:r>
        <w:t xml:space="preserve">The Bethesda System includes the cytology classification term ‘unsatisfactory’ to define those slides unreliable for the detection of cervical epithelial abnormalities (Randsell 1997). Several studies confirm that those slides classified as unsatisfactory are representative of missed opportunities for screening and are more often associated with a cervical abnormality (Fontaine 2012; Bentz 2002; Ransdell 1997; Nygard 2004). </w:t>
      </w:r>
    </w:p>
    <w:p w:rsidR="00237CB6" w:rsidRDefault="00237CB6" w:rsidP="00237CB6">
      <w:r>
        <w:t>Two studies reprocessed specimens initially classified as unsatisfactory and found that 6.4% (Bentz 2002) and 7.58% (Islam 2004) contained epithelial abnormalities (inclusive of ASCUS and squamous cell carcinoma). A longitudinal study conducted by Ransdell 1997 reported that 16% of initially unsatisfactory Pap smear samples were found to be from patients with squamous intraepithelial lesions or malignancy when follow-up samples were analysed. A study based on seven years of follow-up data at the Cancer Registry of Norway (CRN) demonstrated the risk of unsatisfactory smears masking HSIL findings. Nygard 2004 reported the unadjusted OR of being diagnosed with CIN 2 or CIN 3 after an unsatisfactory smear was 2.78 (95% CI: 2.31 to 3.35) compared with women with a normal index Pap smear, and 3.99 (95% CI: 2.17 to 7.35) of being diagnosed with invasive cervical carcinoma.</w:t>
      </w:r>
    </w:p>
    <w:p w:rsidR="00237CB6" w:rsidRDefault="00237CB6" w:rsidP="00237CB6">
      <w:r>
        <w:t xml:space="preserve">It is essential not to underestimate the significance of unsatisfactory Pap results, as this may result in missed opportunities to diagnose significant disease and prevent cervical carcinoma. Furthermore there is a chance that many women will not return for repeat smears. It is for this reason that women in remote areas of Queensland have had access to LBC since 2006 as </w:t>
      </w:r>
      <w:r>
        <w:lastRenderedPageBreak/>
        <w:t>documented in the Queensland Health Policy and Protocol for use of ThinPrep. Women with an unsatisfactory result who do not return for a repeat smear are at a higher risk of an adverse health outcome.</w:t>
      </w:r>
    </w:p>
    <w:p w:rsidR="00237CB6" w:rsidRDefault="00237CB6" w:rsidP="00237CB6">
      <w:pPr>
        <w:pStyle w:val="Heading40"/>
      </w:pPr>
      <w:r>
        <w:t>Cost of unsatisfactory smear management</w:t>
      </w:r>
    </w:p>
    <w:p w:rsidR="00237CB6" w:rsidRDefault="00237CB6" w:rsidP="00237CB6">
      <w:r>
        <w:t>The Australian NHMRC guidelines state that unsatisfactory results require a repeat smear within 6 to 12 weeks (NHMRC 2005). Patient inconvenience and healthcare costs are associated with repeat cytology. Greater additional costs would therefore be associated with those cytology methods resulting in higher unsatisfactory rates for cell filtration and conventional cytology compared to cell enrichment LBC (Bentz 2002 and Nygard 2004).</w:t>
      </w:r>
    </w:p>
    <w:p w:rsidR="00237CB6" w:rsidRDefault="00237CB6" w:rsidP="00237CB6">
      <w:r>
        <w:t xml:space="preserve"> The use of cell enrichment processing reduces this risk and will also be associated with lower costs due to the reduction of numbers of women required to undergo repeat cytology after an unsatisfactory smear.</w:t>
      </w:r>
    </w:p>
    <w:p w:rsidR="00C118AA" w:rsidRDefault="00C118AA" w:rsidP="00C118AA">
      <w:pPr>
        <w:pStyle w:val="Heading40"/>
      </w:pPr>
      <w:r>
        <w:t>Application of LBC in practice</w:t>
      </w:r>
    </w:p>
    <w:p w:rsidR="00CC110B" w:rsidRDefault="00B57367" w:rsidP="00CC110B">
      <w:r>
        <w:t>Although this submission uses trial based data to demonstrate the implementation effects of LBC</w:t>
      </w:r>
      <w:r w:rsidR="005028DA">
        <w:t xml:space="preserve"> on low grade </w:t>
      </w:r>
      <w:r w:rsidR="00140CA4">
        <w:t>abnormalities</w:t>
      </w:r>
      <w:r>
        <w:t xml:space="preserve">, there are </w:t>
      </w:r>
      <w:r w:rsidR="006F0003">
        <w:t>examples of</w:t>
      </w:r>
      <w:r w:rsidR="001D1C2C">
        <w:t xml:space="preserve"> the routine experiences of LBC when it has been applied in practi</w:t>
      </w:r>
      <w:r>
        <w:t>ce</w:t>
      </w:r>
      <w:r w:rsidR="001D1C2C">
        <w:t xml:space="preserve"> in populations similar to Australia.</w:t>
      </w:r>
      <w:r w:rsidR="008C2B84">
        <w:t xml:space="preserve"> </w:t>
      </w:r>
      <w:r w:rsidR="006F0003">
        <w:t xml:space="preserve">For example </w:t>
      </w:r>
      <w:r w:rsidR="00CC110B">
        <w:t>New Zealand has a National Cervical Screening Programme ‘NZ NCSP’</w:t>
      </w:r>
      <w:r w:rsidR="006F0003">
        <w:t xml:space="preserve"> which undergoes i</w:t>
      </w:r>
      <w:r w:rsidR="00CC110B">
        <w:t xml:space="preserve">ndependent monitoring against key targets reported on a six monthly basis. The latest published Independent Monitoring Report covers the six month period ended December 2010 (NCSP Monitoring report Number 34, </w:t>
      </w:r>
      <w:r w:rsidR="006F0003" w:rsidRPr="00DF3462">
        <w:rPr>
          <w:rFonts w:cs="Calibri"/>
        </w:rPr>
        <w:t>http://www.nsu.govt.nz/health-professionals/1063.aspx</w:t>
      </w:r>
      <w:r w:rsidR="00CC110B">
        <w:t xml:space="preserve">). </w:t>
      </w:r>
    </w:p>
    <w:p w:rsidR="00CC110B" w:rsidRDefault="00CC110B" w:rsidP="00CC110B">
      <w:r>
        <w:t>During the period January 2008 through December 2010 the NZ NCSP moved from being predominantly a conventional Pap test based program to being virtually entirely (99.8%) LBC test based. A published split of Pap test numbers between LBC and conventional is not available prior to the second half of 2008. During th</w:t>
      </w:r>
      <w:r w:rsidR="00B51FFF">
        <w:t xml:space="preserve">e second half of 2008 34.9% of </w:t>
      </w:r>
      <w:r w:rsidR="00140CA4">
        <w:t>samples were</w:t>
      </w:r>
      <w:r>
        <w:t xml:space="preserve"> LBC, 64.1% conventional, and 0.1% were a combination</w:t>
      </w:r>
      <w:r w:rsidR="00B4339B">
        <w:t>,</w:t>
      </w:r>
      <w:r>
        <w:t xml:space="preserve"> whereas by the second half of 2010 the proportion of LBC was 99.8%.</w:t>
      </w:r>
    </w:p>
    <w:p w:rsidR="00CC110B" w:rsidRDefault="00CC110B" w:rsidP="00CC110B">
      <w:r>
        <w:t>In the 2008 to 2010 period the number of laboratories processing cytology specimens reduced from nine to eight. The laboratories process one LBC technology type</w:t>
      </w:r>
      <w:r w:rsidR="00B4339B">
        <w:t xml:space="preserve"> only</w:t>
      </w:r>
      <w:r>
        <w:t xml:space="preserve"> and hence the published individual laboratory data relate to the particular LBC technology in use. Seven of the eight laboratories processing LBC at 31 December 2010 were using either FocalPoint or ThinPrep Imager screening automation. </w:t>
      </w:r>
    </w:p>
    <w:p w:rsidR="00CC110B" w:rsidRDefault="00CC110B" w:rsidP="00CC110B">
      <w:r>
        <w:t xml:space="preserve">The NZ NCSP sets laboratory cytology reporting targets and investigates variations from these targets. In the 3 year period of conversion from conventional Pap testing to LBC unsatisfactory </w:t>
      </w:r>
      <w:r>
        <w:lastRenderedPageBreak/>
        <w:t>rates have shown significant reduction and</w:t>
      </w:r>
      <w:r w:rsidR="003A4F59">
        <w:t xml:space="preserve"> </w:t>
      </w:r>
      <w:r>
        <w:t>generally the rates of abnormalities detected has remained stable or decreased (</w:t>
      </w:r>
      <w:r w:rsidR="00086C77">
        <w:fldChar w:fldCharType="begin"/>
      </w:r>
      <w:r w:rsidR="006F0003">
        <w:instrText xml:space="preserve"> REF _Ref336443526 \h </w:instrText>
      </w:r>
      <w:r w:rsidR="00086C77">
        <w:fldChar w:fldCharType="separate"/>
      </w:r>
      <w:r w:rsidR="003361A8">
        <w:t xml:space="preserve">Figure </w:t>
      </w:r>
      <w:r w:rsidR="003361A8">
        <w:rPr>
          <w:noProof/>
        </w:rPr>
        <w:t>15</w:t>
      </w:r>
      <w:r w:rsidR="00086C77">
        <w:fldChar w:fldCharType="end"/>
      </w:r>
      <w:r w:rsidR="006F0003">
        <w:t xml:space="preserve"> </w:t>
      </w:r>
      <w:r>
        <w:t xml:space="preserve">and </w:t>
      </w:r>
      <w:r w:rsidR="00086C77">
        <w:fldChar w:fldCharType="begin"/>
      </w:r>
      <w:r w:rsidR="006F0003">
        <w:instrText xml:space="preserve"> REF _Ref336443549 \h </w:instrText>
      </w:r>
      <w:r w:rsidR="00086C77">
        <w:fldChar w:fldCharType="separate"/>
      </w:r>
      <w:r w:rsidR="003361A8">
        <w:t xml:space="preserve">Figure </w:t>
      </w:r>
      <w:r w:rsidR="003361A8">
        <w:rPr>
          <w:noProof/>
        </w:rPr>
        <w:t>16</w:t>
      </w:r>
      <w:r w:rsidR="00086C77">
        <w:fldChar w:fldCharType="end"/>
      </w:r>
      <w:r>
        <w:t xml:space="preserve">). </w:t>
      </w:r>
      <w:r w:rsidR="00312FB3">
        <w:t>This may reflect a learning curve with LBC.</w:t>
      </w:r>
    </w:p>
    <w:p w:rsidR="00B51FFF" w:rsidRDefault="00B51FFF" w:rsidP="00CC110B">
      <w:r>
        <w:t xml:space="preserve">In particular during </w:t>
      </w:r>
      <w:r w:rsidRPr="00B51FFF">
        <w:t xml:space="preserve">the second half of 2010 there were four laboratories reporting unsatisfactory rates of less than the minimum target of 1% all of which laboratories were using SurePath; Aotea Pathology Ltd (0.2%), Canterbury Health Laboratories (0.2%), Pathlab (0.2%) and Southern Community Labs (0.5%).  In the July to December 2010 period the </w:t>
      </w:r>
      <w:r w:rsidR="00B4339B">
        <w:t xml:space="preserve">overall </w:t>
      </w:r>
      <w:r w:rsidRPr="00B51FFF">
        <w:t xml:space="preserve">unsatisfactory rate </w:t>
      </w:r>
      <w:r w:rsidR="003F65F0">
        <w:t xml:space="preserve">in New Zealand </w:t>
      </w:r>
      <w:r w:rsidRPr="00B51FFF">
        <w:t>was 0.72% with 0.33% for SurePath and 1.20% for ThinPrep</w:t>
      </w:r>
      <w:r w:rsidR="00B4339B">
        <w:t xml:space="preserve"> processing</w:t>
      </w:r>
      <w:r w:rsidRPr="00B51FFF">
        <w:t xml:space="preserve"> laboratories respectively</w:t>
      </w:r>
      <w:r>
        <w:t>.</w:t>
      </w:r>
    </w:p>
    <w:p w:rsidR="00CC110B" w:rsidRDefault="00CC110B" w:rsidP="00CC110B">
      <w:pPr>
        <w:keepNext/>
      </w:pPr>
      <w:r>
        <w:lastRenderedPageBreak/>
        <w:t xml:space="preserve"> </w:t>
      </w:r>
      <w:r w:rsidR="00CB6A66">
        <w:rPr>
          <w:noProof/>
          <w:lang w:eastAsia="en-AU"/>
        </w:rPr>
        <w:drawing>
          <wp:inline distT="0" distB="0" distL="0" distR="0">
            <wp:extent cx="5509895" cy="3313430"/>
            <wp:effectExtent l="0" t="0" r="0" b="127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09895" cy="3313430"/>
                    </a:xfrm>
                    <a:prstGeom prst="rect">
                      <a:avLst/>
                    </a:prstGeom>
                    <a:noFill/>
                    <a:ln>
                      <a:noFill/>
                    </a:ln>
                  </pic:spPr>
                </pic:pic>
              </a:graphicData>
            </a:graphic>
          </wp:inline>
        </w:drawing>
      </w:r>
    </w:p>
    <w:p w:rsidR="00CC110B" w:rsidRPr="00CC110B" w:rsidRDefault="00CC110B" w:rsidP="00815255">
      <w:pPr>
        <w:pStyle w:val="Caption"/>
        <w:ind w:left="0" w:firstLine="0"/>
      </w:pPr>
      <w:bookmarkStart w:id="534" w:name="_Ref336443526"/>
      <w:bookmarkStart w:id="535" w:name="_Toc337547065"/>
      <w:r>
        <w:t xml:space="preserve">Figure </w:t>
      </w:r>
      <w:fldSimple w:instr=" SEQ Figure \* ARABIC ">
        <w:r w:rsidR="003361A8">
          <w:rPr>
            <w:noProof/>
          </w:rPr>
          <w:t>15</w:t>
        </w:r>
      </w:fldSimple>
      <w:bookmarkEnd w:id="534"/>
      <w:r>
        <w:t xml:space="preserve"> </w:t>
      </w:r>
      <w:r w:rsidRPr="00CC110B">
        <w:t xml:space="preserve">Trends in the proportion of LBC samples reported as unsatisfactory, by laboratory </w:t>
      </w:r>
      <w:r w:rsidRPr="00815255">
        <w:rPr>
          <w:b w:val="0"/>
          <w:sz w:val="16"/>
          <w:szCs w:val="16"/>
        </w:rPr>
        <w:t>(</w:t>
      </w:r>
      <w:r w:rsidR="00815255" w:rsidRPr="00815255">
        <w:rPr>
          <w:b w:val="0"/>
          <w:sz w:val="16"/>
          <w:szCs w:val="16"/>
          <w:lang w:val="en-AU"/>
        </w:rPr>
        <w:t>Source:</w:t>
      </w:r>
      <w:r w:rsidRPr="00815255">
        <w:rPr>
          <w:b w:val="0"/>
          <w:sz w:val="16"/>
          <w:szCs w:val="16"/>
        </w:rPr>
        <w:t>NCSP Monitoring report Number 34 Figure 49</w:t>
      </w:r>
      <w:r w:rsidR="00815255">
        <w:rPr>
          <w:b w:val="0"/>
          <w:sz w:val="16"/>
          <w:szCs w:val="16"/>
          <w:lang w:val="en-AU"/>
        </w:rPr>
        <w:t xml:space="preserve"> p.125</w:t>
      </w:r>
      <w:r w:rsidRPr="00815255">
        <w:rPr>
          <w:b w:val="0"/>
          <w:sz w:val="16"/>
          <w:szCs w:val="16"/>
        </w:rPr>
        <w:t>)</w:t>
      </w:r>
      <w:bookmarkEnd w:id="535"/>
    </w:p>
    <w:p w:rsidR="00CC110B" w:rsidRDefault="00CB6A66" w:rsidP="00CC110B">
      <w:pPr>
        <w:keepNext/>
      </w:pPr>
      <w:r>
        <w:rPr>
          <w:noProof/>
          <w:lang w:eastAsia="en-AU"/>
        </w:rPr>
        <w:drawing>
          <wp:inline distT="0" distB="0" distL="0" distR="0">
            <wp:extent cx="5509895" cy="3230245"/>
            <wp:effectExtent l="0" t="0" r="0" b="8255"/>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9895" cy="3230245"/>
                    </a:xfrm>
                    <a:prstGeom prst="rect">
                      <a:avLst/>
                    </a:prstGeom>
                    <a:noFill/>
                    <a:ln>
                      <a:noFill/>
                    </a:ln>
                  </pic:spPr>
                </pic:pic>
              </a:graphicData>
            </a:graphic>
          </wp:inline>
        </w:drawing>
      </w:r>
    </w:p>
    <w:p w:rsidR="00CC110B" w:rsidRPr="00CC110B" w:rsidRDefault="00CC110B" w:rsidP="00B51FFF">
      <w:pPr>
        <w:pStyle w:val="Caption"/>
        <w:ind w:left="0" w:firstLine="0"/>
      </w:pPr>
      <w:bookmarkStart w:id="536" w:name="_Ref336443549"/>
      <w:bookmarkStart w:id="537" w:name="_Toc337547066"/>
      <w:r>
        <w:t xml:space="preserve">Figure </w:t>
      </w:r>
      <w:fldSimple w:instr=" SEQ Figure \* ARABIC ">
        <w:r w:rsidR="003361A8">
          <w:rPr>
            <w:noProof/>
          </w:rPr>
          <w:t>16</w:t>
        </w:r>
      </w:fldSimple>
      <w:bookmarkEnd w:id="536"/>
      <w:r>
        <w:t xml:space="preserve"> </w:t>
      </w:r>
      <w:r w:rsidRPr="00CC110B">
        <w:t xml:space="preserve">Trends in the proportion of satisfactory cytology samples reported as abnormal, by laboratory </w:t>
      </w:r>
      <w:r w:rsidR="00815255">
        <w:rPr>
          <w:lang w:val="en-AU"/>
        </w:rPr>
        <w:br/>
      </w:r>
      <w:r w:rsidRPr="00815255">
        <w:rPr>
          <w:b w:val="0"/>
          <w:sz w:val="16"/>
          <w:szCs w:val="16"/>
        </w:rPr>
        <w:t>(</w:t>
      </w:r>
      <w:r w:rsidR="00815255" w:rsidRPr="00815255">
        <w:rPr>
          <w:b w:val="0"/>
          <w:sz w:val="16"/>
          <w:szCs w:val="16"/>
          <w:lang w:val="en-AU"/>
        </w:rPr>
        <w:t>Source:</w:t>
      </w:r>
      <w:r w:rsidRPr="00815255">
        <w:rPr>
          <w:b w:val="0"/>
          <w:sz w:val="16"/>
          <w:szCs w:val="16"/>
        </w:rPr>
        <w:t>NCSP Monitoring report Number 34 Figure 51</w:t>
      </w:r>
      <w:r w:rsidR="00815255" w:rsidRPr="00815255">
        <w:rPr>
          <w:b w:val="0"/>
          <w:sz w:val="16"/>
          <w:szCs w:val="16"/>
          <w:lang w:val="en-AU"/>
        </w:rPr>
        <w:t>p.126</w:t>
      </w:r>
      <w:r w:rsidRPr="00815255">
        <w:rPr>
          <w:b w:val="0"/>
          <w:sz w:val="16"/>
          <w:szCs w:val="16"/>
        </w:rPr>
        <w:t>)</w:t>
      </w:r>
      <w:r w:rsidR="00B51FFF">
        <w:br/>
      </w:r>
      <w:r w:rsidR="00B51FFF" w:rsidRPr="00815255">
        <w:rPr>
          <w:b w:val="0"/>
          <w:sz w:val="16"/>
          <w:szCs w:val="16"/>
        </w:rPr>
        <w:t>Note: a higher proportion of the samples received by LabPLUS are from colposcopy clinics compared to other laboratories)</w:t>
      </w:r>
      <w:bookmarkEnd w:id="537"/>
    </w:p>
    <w:p w:rsidR="00CC110B" w:rsidRDefault="00CC110B" w:rsidP="00CC110B"/>
    <w:p w:rsidR="00CC110B" w:rsidRDefault="00CC110B" w:rsidP="00CC110B">
      <w:r>
        <w:lastRenderedPageBreak/>
        <w:t>The following comment from the July to December 2010 NZ NCSP Monitoring report (p39) recognises the difference recorded in unsatisfactory rates between LBC technologies.</w:t>
      </w:r>
    </w:p>
    <w:p w:rsidR="00CC110B" w:rsidRDefault="00CC110B" w:rsidP="00CC110B">
      <w:r>
        <w:t>“…Use of different LBC test technologies by different laboratories may be a factor in the variation in rates of unsatisfactory cytology (it is believed that all laboratories with unsatisfactory rates below 1% for LBC use SurePath), as well as reprocessing protocols of unsatisfactory samples and determination of adequacy by imager assisted screening. The target for unsatisfactory LBC samples will be reviewed as more evidence becomes available.”</w:t>
      </w:r>
      <w:proofErr w:type="gramStart"/>
      <w:r>
        <w:t>(p.39)</w:t>
      </w:r>
      <w:r w:rsidR="003A4F59">
        <w:t>.</w:t>
      </w:r>
      <w:proofErr w:type="gramEnd"/>
    </w:p>
    <w:p w:rsidR="004C7EB1" w:rsidRDefault="004C7EB1" w:rsidP="004C7EB1">
      <w:r>
        <w:t xml:space="preserve">The significant decrease in unsatisfactory slides associated with cell enrichment LBC are incorporated in the cost minimisation analysis. However the proportions of </w:t>
      </w:r>
      <w:r w:rsidR="00140CA4">
        <w:t>unsatisfactory</w:t>
      </w:r>
      <w:r>
        <w:t xml:space="preserve"> slides  in the conventional cytology arm of the Beerman 2009 study (0.9%) is much lower than that reported in Australia (2.1%) </w:t>
      </w:r>
      <w:r w:rsidRPr="007916C4">
        <w:t xml:space="preserve">which introduces a degree of uncertainty if </w:t>
      </w:r>
      <w:r w:rsidR="00D1287E" w:rsidRPr="007916C4">
        <w:t xml:space="preserve">these </w:t>
      </w:r>
      <w:r w:rsidRPr="007916C4">
        <w:t>differences are applied</w:t>
      </w:r>
      <w:r w:rsidR="00D1287E" w:rsidRPr="007916C4">
        <w:t xml:space="preserve"> in the economic evaluation</w:t>
      </w:r>
      <w:r w:rsidRPr="007916C4">
        <w:t xml:space="preserve">. </w:t>
      </w:r>
      <w:r w:rsidR="00D1287E" w:rsidRPr="007916C4">
        <w:t xml:space="preserve">The fact that unsatisfactory rates are so much higher in Australian practice compared to rates observed for conventional cytology in the </w:t>
      </w:r>
      <w:r w:rsidR="007916C4" w:rsidRPr="007916C4">
        <w:t xml:space="preserve">Beerman </w:t>
      </w:r>
      <w:r w:rsidR="00D1287E" w:rsidRPr="007916C4">
        <w:t xml:space="preserve">trial suggests that the </w:t>
      </w:r>
      <w:r w:rsidR="007916C4" w:rsidRPr="007916C4">
        <w:t xml:space="preserve">Beerman trial is </w:t>
      </w:r>
      <w:r w:rsidR="00D1287E" w:rsidRPr="007916C4">
        <w:t xml:space="preserve">likely to underestimate the benefit of LBC with cell enrichment </w:t>
      </w:r>
      <w:r w:rsidR="007916C4" w:rsidRPr="007916C4">
        <w:t>in reducing unsatisfactory rates. As such, the proportion of</w:t>
      </w:r>
      <w:r w:rsidRPr="007916C4">
        <w:t xml:space="preserve"> unsatisfactory slides across all LBC trials is utilised in the cost-minimisation</w:t>
      </w:r>
      <w:r w:rsidR="007916C4" w:rsidRPr="007916C4">
        <w:t xml:space="preserve"> analysis.</w:t>
      </w:r>
      <w:r>
        <w:t xml:space="preserve"> </w:t>
      </w:r>
    </w:p>
    <w:p w:rsidR="006C6F35" w:rsidRDefault="006C6F35" w:rsidP="00CC110B"/>
    <w:p w:rsidR="00237CB6" w:rsidRDefault="00237CB6" w:rsidP="00237CB6">
      <w:pPr>
        <w:pStyle w:val="Heading30"/>
      </w:pPr>
      <w:bookmarkStart w:id="538" w:name="_Toc337546907"/>
      <w:r>
        <w:t>C.1.4</w:t>
      </w:r>
      <w:r>
        <w:tab/>
        <w:t>Applicability of test yield rates from the trials</w:t>
      </w:r>
      <w:bookmarkEnd w:id="538"/>
    </w:p>
    <w:p w:rsidR="00237CB6" w:rsidRDefault="00C118AA" w:rsidP="00237CB6">
      <w:r>
        <w:t>T</w:t>
      </w:r>
      <w:r w:rsidR="00237CB6">
        <w:t>he increase in ASCUS outcomes associated with cell enrichment LBC are further explo</w:t>
      </w:r>
      <w:r w:rsidR="009F5C7E">
        <w:t>red in section D.</w:t>
      </w:r>
    </w:p>
    <w:p w:rsidR="007916C4" w:rsidRDefault="004C7EB1" w:rsidP="004C7EB1">
      <w:r>
        <w:t>The significant increase in ASCUS outcomes associated with cell enrichment LBC are incorporated in the cost minimisation analysis. However the proportions of low grade outcomes (ASCUS +LSIL) in the conventional cytology arm of the Beerman 2009 study (0.87% +0.22%=1.09%) and the RODEO study (0.1%+0.3%=0.4%) is much lower than that reported in Australia (3.9%) which introduces a degree of uncertainty if these differences are applied</w:t>
      </w:r>
      <w:r w:rsidR="007916C4">
        <w:t xml:space="preserve"> in an economic evaluation</w:t>
      </w:r>
      <w:r>
        <w:t xml:space="preserve">. </w:t>
      </w:r>
      <w:r w:rsidR="007916C4">
        <w:t xml:space="preserve">That is to say, it is difficult to conclude that there will be </w:t>
      </w:r>
      <w:proofErr w:type="gramStart"/>
      <w:r w:rsidR="007916C4">
        <w:t>more low</w:t>
      </w:r>
      <w:proofErr w:type="gramEnd"/>
      <w:r w:rsidR="007916C4">
        <w:t xml:space="preserve"> grade findings using LBC with cell enrichment over CC in Australian clinical practice on the basis of evidence where the rates of low grade findings with CC are much lower than that currently </w:t>
      </w:r>
      <w:r w:rsidR="00140CA4">
        <w:t>being</w:t>
      </w:r>
      <w:r w:rsidR="007916C4">
        <w:t xml:space="preserve"> observed in Australia.</w:t>
      </w:r>
    </w:p>
    <w:p w:rsidR="009F5C7E" w:rsidRDefault="007916C4" w:rsidP="00237CB6">
      <w:r w:rsidRPr="007916C4">
        <w:t xml:space="preserve">The fact that </w:t>
      </w:r>
      <w:r>
        <w:t xml:space="preserve">detection of low grade abnormalities </w:t>
      </w:r>
      <w:r w:rsidRPr="007916C4">
        <w:t xml:space="preserve">in Australian practice </w:t>
      </w:r>
      <w:r>
        <w:t xml:space="preserve">are much lower </w:t>
      </w:r>
      <w:r w:rsidRPr="007916C4">
        <w:t xml:space="preserve">compared to rates observed for conventional cytology in the Beerman trial suggests that the Beerman trial is likely to </w:t>
      </w:r>
      <w:r>
        <w:t>overstate the difference between LBC with cell enrichment and CC.</w:t>
      </w:r>
      <w:r w:rsidRPr="007916C4">
        <w:t xml:space="preserve"> As </w:t>
      </w:r>
      <w:r w:rsidRPr="007916C4">
        <w:lastRenderedPageBreak/>
        <w:t xml:space="preserve">such, the </w:t>
      </w:r>
      <w:r>
        <w:t xml:space="preserve">cost-minimisation analysis which uses the rates of low grade </w:t>
      </w:r>
      <w:r w:rsidR="00140CA4">
        <w:t>abnormalities</w:t>
      </w:r>
      <w:r>
        <w:t xml:space="preserve"> across all the trials is likely to be biased against LBC with cell enrichment.</w:t>
      </w:r>
    </w:p>
    <w:p w:rsidR="00237CB6" w:rsidRDefault="00237CB6" w:rsidP="00237CB6">
      <w:r>
        <w:t>Despite the fact that no patient outcomes are reported in section B.6, the 2009 MSAC assessment report noted  “the negative psychological effects of receiving an abnormal cytology test, including anxiety, fears of cancer, infertility, depression, difficulties with sexual relationships and self-blame (Herzog &amp; Wright 2007; Rogstad 2002). A study of 3731 women aged 20–59 years who participated in the Trial of Management of Borderline and Other Low-Grade Abnormal smears (TOMBOLA) observed that 23% of women with low-grade cytological abnormalities scored at levels that indicated probable clinically significant anxiety on the Hospital Anxiety and Depression Scale (Gray 2006). The authors reported that these findings were similar to earlier findings among women with high-grade cytological abnormalities.”</w:t>
      </w:r>
    </w:p>
    <w:p w:rsidR="00237CB6" w:rsidRDefault="00237CB6" w:rsidP="00237CB6">
      <w:r>
        <w:t xml:space="preserve">Given cell enrichment LBC results in a higher rate of ASCUS+ findings it is reasonable to conclude that more women would suffer a degree of anxiety. </w:t>
      </w:r>
    </w:p>
    <w:p w:rsidR="005B033B" w:rsidRDefault="005B033B" w:rsidP="005B033B">
      <w:r>
        <w:t>Still cytological classifications are a continuum, and a change in the percentage of slides in one category must change the percentage in at least one other category. Consequently the lower unsatisfactory rates associated with cell enrichment LBC (OR 0.15,</w:t>
      </w:r>
      <w:r w:rsidR="00275721">
        <w:t xml:space="preserve"> </w:t>
      </w:r>
      <w:r w:rsidR="00174D0E">
        <w:t>95%CI 0.11 to 0.21,</w:t>
      </w:r>
      <w:r>
        <w:t xml:space="preserve"> </w:t>
      </w:r>
      <w:r w:rsidR="00086C77">
        <w:fldChar w:fldCharType="begin"/>
      </w:r>
      <w:r>
        <w:instrText xml:space="preserve"> REF _Ref333955921 \h </w:instrText>
      </w:r>
      <w:r w:rsidR="00086C77">
        <w:fldChar w:fldCharType="separate"/>
      </w:r>
      <w:r w:rsidR="003361A8">
        <w:t xml:space="preserve">Table </w:t>
      </w:r>
      <w:r w:rsidR="003361A8">
        <w:rPr>
          <w:noProof/>
        </w:rPr>
        <w:t>31</w:t>
      </w:r>
      <w:r w:rsidR="00086C77">
        <w:fldChar w:fldCharType="end"/>
      </w:r>
      <w:r>
        <w:t xml:space="preserve">) are in turn reflective of a higher number of ASCUS abnormalities detected with cell </w:t>
      </w:r>
      <w:r w:rsidR="00140CA4">
        <w:t>enrichment</w:t>
      </w:r>
      <w:r>
        <w:t xml:space="preserve"> LBC</w:t>
      </w:r>
      <w:r w:rsidR="00174D0E">
        <w:t xml:space="preserve"> (OR 2.42, 95%CI 2.14 to 2.72, </w:t>
      </w:r>
      <w:r w:rsidR="00625202">
        <w:t>Attachment 4).</w:t>
      </w:r>
      <w:r w:rsidR="00174D0E">
        <w:t xml:space="preserve"> To illustrate the point more clearly, </w:t>
      </w:r>
      <w:r w:rsidR="00D62545">
        <w:t>t</w:t>
      </w:r>
      <w:r w:rsidR="00174D0E">
        <w:t xml:space="preserve">he OR </w:t>
      </w:r>
      <w:r w:rsidR="00D62545">
        <w:t xml:space="preserve">associated with the </w:t>
      </w:r>
      <w:r w:rsidR="00174D0E">
        <w:t>reduc</w:t>
      </w:r>
      <w:r w:rsidR="00D62545">
        <w:t>tion</w:t>
      </w:r>
      <w:r w:rsidR="00174D0E">
        <w:t xml:space="preserve"> of </w:t>
      </w:r>
      <w:r w:rsidR="00D62545">
        <w:t>ASCUS with conventional cytology is 0.41 (95%</w:t>
      </w:r>
      <w:r w:rsidR="00B4339B">
        <w:t xml:space="preserve"> </w:t>
      </w:r>
      <w:r w:rsidR="00D62545">
        <w:t xml:space="preserve">CI 0.37 to 0.47, </w:t>
      </w:r>
      <w:r w:rsidR="00086C77">
        <w:fldChar w:fldCharType="begin"/>
      </w:r>
      <w:r w:rsidR="00D62545">
        <w:instrText xml:space="preserve"> REF _Ref336441304 \h </w:instrText>
      </w:r>
      <w:r w:rsidR="00086C77">
        <w:fldChar w:fldCharType="separate"/>
      </w:r>
      <w:r w:rsidR="003361A8">
        <w:t xml:space="preserve">Figure </w:t>
      </w:r>
      <w:r w:rsidR="003361A8">
        <w:rPr>
          <w:noProof/>
        </w:rPr>
        <w:t>10</w:t>
      </w:r>
      <w:r w:rsidR="00086C77">
        <w:fldChar w:fldCharType="end"/>
      </w:r>
      <w:r w:rsidR="00D62545">
        <w:t>). Therefore the</w:t>
      </w:r>
      <w:r w:rsidR="00312FB3">
        <w:t>re are lower odds of getting an</w:t>
      </w:r>
      <w:r w:rsidR="00D62545">
        <w:t xml:space="preserve"> unsatisfactory outcome with cell enrichment LBC (OR 0.15) than not getting an ASCUS outcome with conventional cytology (OR 0.41). It is important to note that the baseline rates of unsatisfactory slides and ASCUS outcomes in the conventional cytology arm of the Beerman 2009 t</w:t>
      </w:r>
      <w:r w:rsidR="009F5C7E">
        <w:t>rial are similar (0.9% and 0.8%</w:t>
      </w:r>
      <w:r w:rsidR="00D62545">
        <w:t xml:space="preserve">, respectively, </w:t>
      </w:r>
      <w:r w:rsidR="00086C77">
        <w:fldChar w:fldCharType="begin"/>
      </w:r>
      <w:r w:rsidR="00D62545">
        <w:instrText xml:space="preserve"> REF _Ref333923707 \h </w:instrText>
      </w:r>
      <w:r w:rsidR="00086C77">
        <w:fldChar w:fldCharType="separate"/>
      </w:r>
      <w:r w:rsidR="003361A8">
        <w:t xml:space="preserve">Table </w:t>
      </w:r>
      <w:r w:rsidR="003361A8">
        <w:rPr>
          <w:noProof/>
        </w:rPr>
        <w:t>30</w:t>
      </w:r>
      <w:r w:rsidR="00086C77">
        <w:fldChar w:fldCharType="end"/>
      </w:r>
      <w:r w:rsidR="00D62545">
        <w:t xml:space="preserve"> and </w:t>
      </w:r>
      <w:r w:rsidR="00086C77">
        <w:fldChar w:fldCharType="begin"/>
      </w:r>
      <w:r w:rsidR="00D62545">
        <w:instrText xml:space="preserve"> REF _Ref336424990 \h </w:instrText>
      </w:r>
      <w:r w:rsidR="00086C77">
        <w:fldChar w:fldCharType="separate"/>
      </w:r>
      <w:r w:rsidR="003361A8">
        <w:t xml:space="preserve">Table </w:t>
      </w:r>
      <w:r w:rsidR="003361A8">
        <w:rPr>
          <w:noProof/>
        </w:rPr>
        <w:t>39</w:t>
      </w:r>
      <w:r w:rsidR="00086C77">
        <w:fldChar w:fldCharType="end"/>
      </w:r>
      <w:r w:rsidR="00D62545">
        <w:t>).</w:t>
      </w:r>
    </w:p>
    <w:p w:rsidR="00237CB6" w:rsidRDefault="00237CB6" w:rsidP="00237CB6">
      <w:r>
        <w:t xml:space="preserve">Raab 2002 reported on the willingness of women to pay to decrease their risk of dying from cervical cancer if LBC was used in place of conventional cytology. The mean amount they were willing to pay was $237. </w:t>
      </w:r>
      <w:r w:rsidR="00A1190C">
        <w:t xml:space="preserve">Furthermore </w:t>
      </w:r>
      <w:r>
        <w:t xml:space="preserve">Wordsworth 2006 demonstrated, via a discrete choice experiment, that women had a significant positive preference for reductions in recall rates and waiting time for results. </w:t>
      </w:r>
      <w:r w:rsidR="00A1190C">
        <w:t xml:space="preserve">Bearing in mind </w:t>
      </w:r>
      <w:proofErr w:type="gramStart"/>
      <w:r w:rsidR="00A1190C">
        <w:t xml:space="preserve">that </w:t>
      </w:r>
      <w:r w:rsidR="00A1190C" w:rsidRPr="00A1190C">
        <w:t xml:space="preserve">unsatisfactory </w:t>
      </w:r>
      <w:r w:rsidR="00A1190C">
        <w:t>results</w:t>
      </w:r>
      <w:proofErr w:type="gramEnd"/>
      <w:r w:rsidR="00A1190C" w:rsidRPr="00A1190C">
        <w:t xml:space="preserve"> may </w:t>
      </w:r>
      <w:r w:rsidR="00A1190C">
        <w:t xml:space="preserve">represent </w:t>
      </w:r>
      <w:r w:rsidR="00A1190C" w:rsidRPr="00A1190C">
        <w:t xml:space="preserve">significant </w:t>
      </w:r>
      <w:r w:rsidR="00140CA4">
        <w:t>cervical</w:t>
      </w:r>
      <w:r w:rsidR="00A1190C">
        <w:t xml:space="preserve"> </w:t>
      </w:r>
      <w:r w:rsidR="00A1190C" w:rsidRPr="00A1190C">
        <w:t xml:space="preserve">disease </w:t>
      </w:r>
      <w:r w:rsidR="00A1190C">
        <w:t xml:space="preserve">these findings may </w:t>
      </w:r>
      <w:r w:rsidR="00140CA4">
        <w:t>outweigh</w:t>
      </w:r>
      <w:r w:rsidR="00A1190C">
        <w:t xml:space="preserve"> any anxiety associated with an initial ASCUS outcome.</w:t>
      </w:r>
      <w:r w:rsidR="009F5C7E">
        <w:t xml:space="preserve"> </w:t>
      </w:r>
      <w:r>
        <w:t>Overall</w:t>
      </w:r>
      <w:r w:rsidR="00A1190C">
        <w:t xml:space="preserve"> the preferences illustrated above are </w:t>
      </w:r>
      <w:r>
        <w:t xml:space="preserve">evident in Australia with approximately 18% of women paying </w:t>
      </w:r>
      <w:r w:rsidR="00D95A2B">
        <w:t>an average of $45</w:t>
      </w:r>
      <w:r>
        <w:t xml:space="preserve"> in out-of-pocket expenses </w:t>
      </w:r>
      <w:r w:rsidR="00A1190C">
        <w:t>for LBC</w:t>
      </w:r>
      <w:r>
        <w:t xml:space="preserve">. </w:t>
      </w:r>
    </w:p>
    <w:p w:rsidR="00237CB6" w:rsidRDefault="00237CB6" w:rsidP="00237CB6"/>
    <w:p w:rsidR="00237CB6" w:rsidRDefault="00237CB6" w:rsidP="00237CB6">
      <w:pPr>
        <w:pStyle w:val="Heading30"/>
      </w:pPr>
      <w:bookmarkStart w:id="539" w:name="_Toc337546908"/>
      <w:r>
        <w:lastRenderedPageBreak/>
        <w:t>C.1.5</w:t>
      </w:r>
      <w:r>
        <w:tab/>
        <w:t>Applicability of higher sensitivity and lower specificity in LBC</w:t>
      </w:r>
      <w:bookmarkEnd w:id="539"/>
    </w:p>
    <w:p w:rsidR="00237CB6" w:rsidRDefault="008C1658" w:rsidP="008C1658">
      <w:r>
        <w:t xml:space="preserve">Often in a research context only women with positive screen tests and none or only a few with negative screen tests are verified and this situation results in verification bias yielding inflated sensitivity and underestimated specificity (Arbyn 2009). It is therefore proposed that increased, similar or hardly reduced positive predictive value for CIN 3+ is the proposed outcome of trials for evaluating cervical cancer screening technologies (Arbyn 2009). </w:t>
      </w:r>
    </w:p>
    <w:p w:rsidR="00237CB6" w:rsidRPr="00B41AC8" w:rsidRDefault="00237CB6" w:rsidP="00237CB6">
      <w:r>
        <w:t>There were only two trials that reported sensitivity and specificity and the outcome was CIN 1+. The outcome was based on an ASCUS+ (pLSIL) index test and resulted in consistent conclusions between the trials. Both showed that LBC (cell enrichment or cell filtration) was associated with significantly increased sensitivity for CIN 1+ and significantly reduced specificity. As stated by Davey 2006, the accuracy of tests is a trade-off between sensitivity and specificity. Thus, even if LBC does improve sensitivity (true positive rate) for high grade abnormalities, it could simultaneously increase the number of low grade abnormalities (false positives), which are less likely to represent serious disease but might trigger clinical investigation. In Australia the clinical investigation based on a pLSIL</w:t>
      </w:r>
      <w:r w:rsidR="00D95A2B">
        <w:t xml:space="preserve"> or LSIL</w:t>
      </w:r>
      <w:r>
        <w:t xml:space="preserve"> outcome is follow-up conventional cytology </w:t>
      </w:r>
      <w:r w:rsidR="00D95A2B">
        <w:t>in</w:t>
      </w:r>
      <w:r>
        <w:t xml:space="preserve"> 12 months (NHMRC 2005). Although false positives are undesirable in a screening program, the follow-up investigation does not place patients at high risk of adverse outcomes. Nonetheless, the follow-up tests and psychological concern associated is acknowledged. </w:t>
      </w:r>
      <w:r w:rsidR="00A1190C">
        <w:t xml:space="preserve">But </w:t>
      </w:r>
      <w:r w:rsidRPr="00B119A8">
        <w:t>CIN</w:t>
      </w:r>
      <w:r>
        <w:t xml:space="preserve"> </w:t>
      </w:r>
      <w:r w:rsidRPr="00B119A8">
        <w:t>1 is the histopathologic manifestation of a carcinogenic or non</w:t>
      </w:r>
      <w:r>
        <w:t>-</w:t>
      </w:r>
      <w:r w:rsidRPr="00B119A8">
        <w:t>carcinogenic HPV infection that rarely progresses on a per event basis to cancer. Its detection is not clinically useful, possibly leading to over-treatment, and should not be targeted by any screening test (</w:t>
      </w:r>
      <w:r>
        <w:t xml:space="preserve">Arbyn </w:t>
      </w:r>
      <w:r w:rsidRPr="00B119A8">
        <w:t>2009)</w:t>
      </w:r>
      <w:r>
        <w:t>.</w:t>
      </w:r>
    </w:p>
    <w:p w:rsidR="00237CB6" w:rsidRDefault="008C1658" w:rsidP="00237CB6">
      <w:r>
        <w:t>W</w:t>
      </w:r>
      <w:r w:rsidR="00237CB6">
        <w:t>ith the exception of the NTCC trial,</w:t>
      </w:r>
      <w:r>
        <w:t xml:space="preserve"> all trials consistently</w:t>
      </w:r>
      <w:r w:rsidR="00237CB6">
        <w:t xml:space="preserve"> showed no significant difference in PPV between LBC (cell enrichment or cell filtration) and conventional cytology. As the test positivity threshold improved from ASCUS+ to HSIL+, the PPV for the detection of CIN 1+, CIN 2+ and CIN 3+ increased for both test preparation methods.</w:t>
      </w:r>
    </w:p>
    <w:p w:rsidR="00237CB6" w:rsidRDefault="00237CB6" w:rsidP="00B64250"/>
    <w:p w:rsidR="00B64250" w:rsidRPr="00A1190C" w:rsidRDefault="004F4B3F" w:rsidP="00B64250">
      <w:pPr>
        <w:pStyle w:val="Heading30"/>
      </w:pPr>
      <w:bookmarkStart w:id="540" w:name="_Toc337546909"/>
      <w:r>
        <w:t>C.1.</w:t>
      </w:r>
      <w:r w:rsidR="00582780">
        <w:t>6</w:t>
      </w:r>
      <w:r>
        <w:tab/>
      </w:r>
      <w:r w:rsidR="00B64250">
        <w:t>Circumstances of use</w:t>
      </w:r>
      <w:r w:rsidR="00A1190C">
        <w:t xml:space="preserve"> – the learning curve</w:t>
      </w:r>
      <w:bookmarkEnd w:id="540"/>
    </w:p>
    <w:p w:rsidR="00C06D8A" w:rsidRDefault="00337C2F" w:rsidP="00337C2F">
      <w:r w:rsidRPr="00C06D8A">
        <w:t>Studies have demonstrated a temporary increase in ASCUS rates</w:t>
      </w:r>
      <w:r w:rsidR="00925520">
        <w:t xml:space="preserve"> in the first six</w:t>
      </w:r>
      <w:r w:rsidRPr="00C06D8A">
        <w:t xml:space="preserve"> months after conversion from conventional Pap to </w:t>
      </w:r>
      <w:r w:rsidR="00743935" w:rsidRPr="00C06D8A">
        <w:t>LBC</w:t>
      </w:r>
      <w:r w:rsidR="00C06D8A">
        <w:t xml:space="preserve"> </w:t>
      </w:r>
      <w:r w:rsidR="00447A4A">
        <w:t>(</w:t>
      </w:r>
      <w:r w:rsidRPr="00C06D8A">
        <w:t>Colgan</w:t>
      </w:r>
      <w:r w:rsidR="00925520">
        <w:t xml:space="preserve"> 2004;</w:t>
      </w:r>
      <w:r w:rsidR="008D077E">
        <w:t xml:space="preserve"> Nance </w:t>
      </w:r>
      <w:r w:rsidR="00C06D8A">
        <w:t>2006)</w:t>
      </w:r>
      <w:r w:rsidRPr="00C06D8A">
        <w:t>. This p</w:t>
      </w:r>
      <w:r w:rsidR="00925520">
        <w:t>henomenon is attributed to the learning curve</w:t>
      </w:r>
      <w:r w:rsidRPr="00C06D8A">
        <w:t xml:space="preserve"> in the interpretation of </w:t>
      </w:r>
      <w:r w:rsidR="00743935" w:rsidRPr="00C06D8A">
        <w:t>LBC</w:t>
      </w:r>
      <w:r w:rsidR="00C06D8A">
        <w:t>.</w:t>
      </w:r>
    </w:p>
    <w:p w:rsidR="00C06D8A" w:rsidRDefault="00C06D8A" w:rsidP="00337C2F">
      <w:r>
        <w:lastRenderedPageBreak/>
        <w:t>Most of the trials that provide</w:t>
      </w:r>
      <w:r w:rsidR="00925520">
        <w:t>d</w:t>
      </w:r>
      <w:r>
        <w:t xml:space="preserve"> the evidence for this submission reflect a situation where LBC was implemented when the trial commenced. This is evident as most publications report that training was provided to the collectors of the LBC sample as </w:t>
      </w:r>
      <w:r w:rsidR="003F1915">
        <w:t>well as the reviewer (cytotechnologist</w:t>
      </w:r>
      <w:r>
        <w:t>) of the LBC sample (</w:t>
      </w:r>
      <w:r w:rsidR="00086C77">
        <w:fldChar w:fldCharType="begin"/>
      </w:r>
      <w:r>
        <w:instrText xml:space="preserve"> REF _Ref191364274 \h </w:instrText>
      </w:r>
      <w:r w:rsidR="00086C77">
        <w:fldChar w:fldCharType="separate"/>
      </w:r>
      <w:r w:rsidR="003361A8" w:rsidRPr="00274021">
        <w:t xml:space="preserve">Table </w:t>
      </w:r>
      <w:r w:rsidR="003361A8">
        <w:rPr>
          <w:noProof/>
        </w:rPr>
        <w:t>17</w:t>
      </w:r>
      <w:r w:rsidR="00086C77">
        <w:fldChar w:fldCharType="end"/>
      </w:r>
      <w:r>
        <w:t>). The trials therefore represent a situation whereby collection sites and labs ar</w:t>
      </w:r>
      <w:r w:rsidR="008D077E">
        <w:t>e commencing the learning curve</w:t>
      </w:r>
      <w:r>
        <w:t xml:space="preserve">. </w:t>
      </w:r>
    </w:p>
    <w:p w:rsidR="00337C2F" w:rsidRDefault="008D077E" w:rsidP="00337C2F">
      <w:r>
        <w:t>Beerman 2006</w:t>
      </w:r>
      <w:r w:rsidR="00925520">
        <w:t xml:space="preserve"> comments that</w:t>
      </w:r>
      <w:r w:rsidR="00C06D8A">
        <w:t xml:space="preserve"> “</w:t>
      </w:r>
      <w:r w:rsidR="00337C2F" w:rsidRPr="00C06D8A">
        <w:t xml:space="preserve">follow-up tissue correlation data confirmed that several HSIL cases had been classified as ASCUS, and that HSIL rates normalized after the </w:t>
      </w:r>
      <w:r w:rsidR="00447A4A">
        <w:t xml:space="preserve">initial 6 month training period” </w:t>
      </w:r>
      <w:r w:rsidR="00337C2F" w:rsidRPr="00C06D8A">
        <w:t>(</w:t>
      </w:r>
      <w:r w:rsidR="00447A4A">
        <w:t>p. 575</w:t>
      </w:r>
      <w:r w:rsidR="00337C2F" w:rsidRPr="00C06D8A">
        <w:t xml:space="preserve">). </w:t>
      </w:r>
    </w:p>
    <w:p w:rsidR="00447A4A" w:rsidRPr="00C06D8A" w:rsidRDefault="008D077E" w:rsidP="00337C2F">
      <w:r>
        <w:t>Mac</w:t>
      </w:r>
      <w:r w:rsidR="00925520">
        <w:t>c</w:t>
      </w:r>
      <w:r>
        <w:t>allini 2008</w:t>
      </w:r>
      <w:r w:rsidR="00925520">
        <w:t xml:space="preserve"> reports</w:t>
      </w:r>
      <w:r w:rsidR="00447A4A">
        <w:t xml:space="preserve"> “Introducing a new procedure such as LBC implies training of sample takers and laboratory staff. In particular cytologists need to be trained in interpreting new slide preparations. In evaluating the present results the limited experience with LBC of our laboratories should be taken into account and, theoretically, better performances could be expected in the future with longer experience. This is a common problem with new technology. Part of the variance observed in published results may be due to different levels of training of operators in LBC. “(p. 572).</w:t>
      </w:r>
    </w:p>
    <w:p w:rsidR="00337C2F" w:rsidRPr="00C06D8A" w:rsidRDefault="00337C2F" w:rsidP="00337C2F">
      <w:r w:rsidRPr="00C06D8A">
        <w:t xml:space="preserve">This learning curve </w:t>
      </w:r>
      <w:r w:rsidR="008D077E" w:rsidRPr="00C06D8A">
        <w:t>phenomenon</w:t>
      </w:r>
      <w:r w:rsidRPr="00C06D8A">
        <w:t xml:space="preserve"> is also reported to occur when implementing automated review of cytology. The MAVARIC trial reported that automated review was less sensitivity than manual reading with equivalent specificity for the detection of CIN</w:t>
      </w:r>
      <w:r w:rsidR="008D077E">
        <w:t xml:space="preserve"> </w:t>
      </w:r>
      <w:r w:rsidRPr="00C06D8A">
        <w:t xml:space="preserve">2+. </w:t>
      </w:r>
      <w:r w:rsidR="00925520">
        <w:t>However, t</w:t>
      </w:r>
      <w:r w:rsidRPr="00C06D8A">
        <w:t xml:space="preserve">he Palmer study </w:t>
      </w:r>
      <w:r w:rsidR="008D077E">
        <w:t xml:space="preserve">(2012) </w:t>
      </w:r>
      <w:r w:rsidRPr="00C06D8A">
        <w:t xml:space="preserve">reported that automated review showed significantly better specificity compared with manual review and equivalent sensitivity for CIN 2+. </w:t>
      </w:r>
    </w:p>
    <w:p w:rsidR="00337C2F" w:rsidRPr="00C06D8A" w:rsidRDefault="00337C2F" w:rsidP="00337C2F">
      <w:r w:rsidRPr="00C06D8A">
        <w:t>In the MAVARIC study automated versus manual review was cond</w:t>
      </w:r>
      <w:r w:rsidR="00DB0023">
        <w:t xml:space="preserve">ucted in a single centre. </w:t>
      </w:r>
      <w:r w:rsidRPr="00C06D8A">
        <w:t xml:space="preserve">Palmer </w:t>
      </w:r>
      <w:r w:rsidR="00DB0023">
        <w:t>2012</w:t>
      </w:r>
      <w:r w:rsidRPr="00C06D8A">
        <w:t xml:space="preserve"> encompassed six laboratories and used only one new technology. There is no mention of feedback to screeners in the MAVARIC study after initial training. Lack of feedback and ongoing learning opportunities for screeners may have contributed to the false negative rate persisting throughout the study as well as the reduced sensitivity of automated reading for CIN</w:t>
      </w:r>
      <w:r w:rsidR="008D077E">
        <w:t xml:space="preserve"> </w:t>
      </w:r>
      <w:r w:rsidRPr="00C06D8A">
        <w:t xml:space="preserve">2+ compared with manual screening. By contrast, review and reinforcement of training was carried out in the Palmer </w:t>
      </w:r>
      <w:r w:rsidR="008D077E">
        <w:t xml:space="preserve">2012 </w:t>
      </w:r>
      <w:r w:rsidRPr="00C06D8A">
        <w:t xml:space="preserve">study when screening errors were identified by quality control review. </w:t>
      </w:r>
      <w:r w:rsidR="00DB0023" w:rsidRPr="00C06D8A">
        <w:t>Moreover</w:t>
      </w:r>
      <w:r w:rsidR="00DB0023">
        <w:t>,</w:t>
      </w:r>
      <w:r w:rsidRPr="00C06D8A">
        <w:t xml:space="preserve"> it is noted that most cases of CIN</w:t>
      </w:r>
      <w:r w:rsidR="008D077E">
        <w:t xml:space="preserve"> </w:t>
      </w:r>
      <w:r w:rsidRPr="00C06D8A">
        <w:t>2+ in the MAVARIC study were found as a result of testing low-grade abnormalities found on manual screening for high-risk HPV (detected via HPV testing).</w:t>
      </w:r>
    </w:p>
    <w:p w:rsidR="00A1190C" w:rsidRPr="00A1190C" w:rsidRDefault="00582780" w:rsidP="00A1190C">
      <w:pPr>
        <w:pStyle w:val="Heading30"/>
      </w:pPr>
      <w:bookmarkStart w:id="541" w:name="_Toc337546910"/>
      <w:r>
        <w:t>C.1.7</w:t>
      </w:r>
      <w:r w:rsidR="00A1190C">
        <w:tab/>
        <w:t xml:space="preserve">Circumstances of use – </w:t>
      </w:r>
      <w:r w:rsidRPr="00582780">
        <w:t>Glandular abnormalities</w:t>
      </w:r>
      <w:bookmarkEnd w:id="541"/>
    </w:p>
    <w:p w:rsidR="00A1190C" w:rsidRDefault="00A1190C" w:rsidP="00A1190C">
      <w:r>
        <w:t xml:space="preserve">Although glandular abnormalities remain less common, the decline in incidence and mortality rates from invasive squamous cell carcinoma (SCC) has seen an increase in the incidence of </w:t>
      </w:r>
      <w:r>
        <w:lastRenderedPageBreak/>
        <w:t xml:space="preserve">glandular cervical lesions. These trends highlight the need to accurately distinguish between squamous and glandular abnormalities (Blomfield 2008, Thiryayi 2010). The evidence based provided in this submission does not </w:t>
      </w:r>
      <w:r w:rsidR="00EF002B">
        <w:t xml:space="preserve">report </w:t>
      </w:r>
      <w:r>
        <w:t xml:space="preserve">sufficient information on the proportion of glandular abnormalities detected. Furthermore, the low incidence of glandular lesions means that large studies are needed to provide statistically relevant comparisons. </w:t>
      </w:r>
    </w:p>
    <w:p w:rsidR="00A1190C" w:rsidRDefault="00A1190C" w:rsidP="00A1190C">
      <w:r>
        <w:t xml:space="preserve">Several studies have however shown that conventional cytology is not as effective in detecting glandular abnormalities compared with LBC (Hoda 2012). Belsley 2008 performed a retrospective review of pathology files </w:t>
      </w:r>
      <w:r w:rsidRPr="00BB2E43">
        <w:t>f</w:t>
      </w:r>
      <w:r>
        <w:t>rom</w:t>
      </w:r>
      <w:r w:rsidRPr="00BB2E43">
        <w:t xml:space="preserve"> a tertiary care hospital</w:t>
      </w:r>
      <w:r>
        <w:t xml:space="preserve"> in the US for patients with diagnoses of endocervical adenocarcinoma in situ (AIS) or invasive endocervical adenocarcinoma (IEA) over five years. A total of 45 specimens were identified and the authors compared the morphology of glandular lesions and showed LBC to be at least as sensitive as and more specific than conventional cytology for detecting endocervical glandular lesions. Burnley 2010 prospectively followed six laboratories in the UK after conversion to </w:t>
      </w:r>
      <w:r w:rsidR="003D6B98">
        <w:t xml:space="preserve">cell enrichment </w:t>
      </w:r>
      <w:r>
        <w:t xml:space="preserve">LBC and compared glandular abnormalities (from </w:t>
      </w:r>
      <w:r w:rsidRPr="00561849">
        <w:t>217,979</w:t>
      </w:r>
      <w:r>
        <w:t xml:space="preserve"> LBC samples) with historical data from </w:t>
      </w:r>
      <w:r w:rsidRPr="00561849">
        <w:t>246,775</w:t>
      </w:r>
      <w:r>
        <w:t xml:space="preserve"> conventional smears. The authors demonstrated significant differences between conventional cytology and LBC samples for the total number of both glandular results (P=0.001, 95% CI: 0.00033 to 0.000088) and endocervical glandular results (P=0.001, 95% CI: 0.00028 to 0.000074). Furthermore, a retrospective audit of 165,000 patients in the UK that compared the two different platforms of LBC found that the overall detection rate of glandular neoplasia using cell filtration was 0.031% and 0.052% for cell enrichment. The difference between these proportions was found to be statistically significant (P=0.014) (Thiryayi 2010). </w:t>
      </w:r>
    </w:p>
    <w:p w:rsidR="00A1190C" w:rsidRDefault="00A1190C" w:rsidP="00A1190C">
      <w:r>
        <w:t xml:space="preserve">The differences in cell collection and slide preparation between LBC and conventional cytology methods offers a technically plausible reason as to why glandular findings are more easily visualised with LBC, and in particular, cell enrichment processing. The cellular presentation of glandular abnormalities in cell enrichment LBC includes single dyskaryotic cells, large groups of more than 20 cells showing crowding and overlapping and short pseudo-stratified strips, with fanning out of bulging nuclei. These features are documented less frequently in cell </w:t>
      </w:r>
      <w:r w:rsidR="003D6B98">
        <w:t>filtration</w:t>
      </w:r>
      <w:r>
        <w:t xml:space="preserve"> and conventional cytology (Thiryayi 2010). The difference in cellular presentation could be explained by the ease of dense tissue fragments to settle using the sedimentation processing of cell enrichment compared with the vigorous processing of cell filtration whereby larger fragments may be prevented from reaching the filter (Hoda 2012; Belsley 2008). Other justifications include the use of varying fixatives between methods and glandular irregularities being miscategorised as squamous abnormalities or even being missed at screening (Belsley 2008; Thiryayi 2010).</w:t>
      </w:r>
    </w:p>
    <w:p w:rsidR="00A1190C" w:rsidRDefault="00A1190C" w:rsidP="00A1190C">
      <w:r>
        <w:lastRenderedPageBreak/>
        <w:t>The fixation and processing methods used when preparing LBC smears stand to reasonably account for the higher detection of glandular abnormalities compared with conventional cytology.</w:t>
      </w:r>
    </w:p>
    <w:p w:rsidR="00337C2F" w:rsidRDefault="004F4B3F" w:rsidP="00337C2F">
      <w:pPr>
        <w:pStyle w:val="Heading30"/>
      </w:pPr>
      <w:bookmarkStart w:id="542" w:name="_Toc337546911"/>
      <w:r>
        <w:t>C.1.</w:t>
      </w:r>
      <w:r w:rsidR="00582780">
        <w:t>8</w:t>
      </w:r>
      <w:r w:rsidR="00BC0FE6">
        <w:tab/>
        <w:t>Extrapolation i</w:t>
      </w:r>
      <w:r w:rsidR="00337C2F" w:rsidRPr="002641B7">
        <w:t>ssues</w:t>
      </w:r>
      <w:bookmarkEnd w:id="542"/>
    </w:p>
    <w:p w:rsidR="00337C2F" w:rsidRPr="002641B7" w:rsidRDefault="004E377A" w:rsidP="00337C2F">
      <w:r>
        <w:t>There are no extrapolation issues to address</w:t>
      </w:r>
      <w:r w:rsidR="007916C4">
        <w:t xml:space="preserve"> for the base case cost-minimisation analysis</w:t>
      </w:r>
      <w:r>
        <w:t>.</w:t>
      </w:r>
      <w:r w:rsidR="007916C4">
        <w:t xml:space="preserve"> The technical report of the cost-effectiveness model describes the methods used to extrapolate the</w:t>
      </w:r>
      <w:r w:rsidR="00FA4285">
        <w:t xml:space="preserve"> effects</w:t>
      </w:r>
      <w:r w:rsidR="007916C4">
        <w:t xml:space="preserve"> of introducing LBC with cell enrichment to the NCSP over a life-time model (Attachment 6).</w:t>
      </w:r>
    </w:p>
    <w:p w:rsidR="004E377A" w:rsidRPr="00582780" w:rsidRDefault="004F4B3F" w:rsidP="00582780">
      <w:pPr>
        <w:pStyle w:val="Heading30"/>
      </w:pPr>
      <w:bookmarkStart w:id="543" w:name="_Toc337546912"/>
      <w:r w:rsidRPr="00582780">
        <w:t>C.1.</w:t>
      </w:r>
      <w:r w:rsidR="00582780" w:rsidRPr="00582780">
        <w:t>9</w:t>
      </w:r>
      <w:r w:rsidR="00BC0FE6" w:rsidRPr="00582780">
        <w:tab/>
        <w:t>Transformation i</w:t>
      </w:r>
      <w:r w:rsidR="00337C2F" w:rsidRPr="00582780">
        <w:t>ssues</w:t>
      </w:r>
      <w:bookmarkEnd w:id="543"/>
    </w:p>
    <w:p w:rsidR="004E377A" w:rsidRPr="002641B7" w:rsidRDefault="004E377A" w:rsidP="004E377A">
      <w:r>
        <w:t>There are no transformation issues to address.</w:t>
      </w:r>
      <w:r w:rsidR="00FA4285">
        <w:t xml:space="preserve"> As for </w:t>
      </w:r>
      <w:r w:rsidR="00140CA4">
        <w:t>extrapolation</w:t>
      </w:r>
      <w:r w:rsidR="00FA4285">
        <w:t xml:space="preserve"> issues, please see Attachment 6 for the methods used to transform the diagnostic accuracy results presented in Section B to cost per life year and cost per </w:t>
      </w:r>
      <w:r w:rsidR="00FA4285" w:rsidRPr="00FA4285">
        <w:t xml:space="preserve">quality adjusted life year </w:t>
      </w:r>
      <w:r w:rsidR="00FA4285">
        <w:t xml:space="preserve">(QALY) gained ratios. </w:t>
      </w:r>
    </w:p>
    <w:p w:rsidR="00EF2E1B" w:rsidRDefault="00BA4EB4" w:rsidP="00337C2F">
      <w:pPr>
        <w:sectPr w:rsidR="00EF2E1B" w:rsidSect="008846BA">
          <w:headerReference w:type="default" r:id="rId38"/>
          <w:pgSz w:w="11907" w:h="16840" w:code="9"/>
          <w:pgMar w:top="1418" w:right="1418" w:bottom="1701" w:left="1814" w:header="720" w:footer="720" w:gutter="0"/>
          <w:paperSrc w:first="7" w:other="7"/>
          <w:cols w:space="720"/>
          <w:noEndnote/>
          <w:docGrid w:linePitch="299"/>
        </w:sectPr>
      </w:pPr>
      <w:r>
        <w:t>.</w:t>
      </w:r>
    </w:p>
    <w:p w:rsidR="00CB2E8F" w:rsidRPr="00A06B60" w:rsidRDefault="00CB2E8F" w:rsidP="00FD643C">
      <w:pPr>
        <w:pStyle w:val="Heading1"/>
      </w:pPr>
      <w:bookmarkStart w:id="544" w:name="_Toc312340171"/>
      <w:bookmarkStart w:id="545" w:name="_Toc337546913"/>
      <w:r>
        <w:lastRenderedPageBreak/>
        <w:t>D.</w:t>
      </w:r>
      <w:r>
        <w:tab/>
        <w:t xml:space="preserve">Economic evaluation for the main </w:t>
      </w:r>
      <w:bookmarkEnd w:id="544"/>
      <w:r w:rsidR="00A06B60">
        <w:t>indication</w:t>
      </w:r>
      <w:bookmarkEnd w:id="545"/>
    </w:p>
    <w:p w:rsidR="003A1E77" w:rsidRPr="001352A4" w:rsidRDefault="003A1E77" w:rsidP="003A1E77">
      <w:r w:rsidRPr="001352A4">
        <w:t xml:space="preserve">The proposed MBS fee for cell enrichment LBC is the same as the current MBS fee for conventional cytology and is detailed in Section D.1. This section will demonstrate that “the proposed fee is sustainable and is not shifting out of pocket costs to the patient” (1157 Final DAP May 2012, p20). Nevertheless, </w:t>
      </w:r>
      <w:r w:rsidRPr="001352A4">
        <w:rPr>
          <w:i/>
        </w:rPr>
        <w:t>“women’s total out-of-pocket costs (will be) a part of the economic evaluation”</w:t>
      </w:r>
      <w:r w:rsidRPr="001352A4">
        <w:t xml:space="preserve"> as requested by the Department (Survey Responses to Application 1157 Response 2: Departmental Response)</w:t>
      </w:r>
      <w:r>
        <w:t>.</w:t>
      </w:r>
    </w:p>
    <w:p w:rsidR="003A1E77" w:rsidRDefault="003A1E77" w:rsidP="003A1E77">
      <w:r>
        <w:t>The requested MBS fee amount represents a cost-minimising fee for cell enrichment LBC compared with conventional cytology. This reflects the clinical evidence demonstrating that cell enrichment LBC</w:t>
      </w:r>
      <w:r>
        <w:rPr>
          <w:vertAlign w:val="superscript"/>
        </w:rPr>
        <w:t xml:space="preserve"> </w:t>
      </w:r>
      <w:r>
        <w:t xml:space="preserve">is at least as accurate </w:t>
      </w:r>
      <w:r w:rsidR="00AD366D">
        <w:t>and</w:t>
      </w:r>
      <w:r>
        <w:t xml:space="preserve"> safe as conventional cytology (Section B).</w:t>
      </w:r>
      <w:r>
        <w:rPr>
          <w:rStyle w:val="CommentReference"/>
        </w:rPr>
        <w:t xml:space="preserve"> </w:t>
      </w:r>
    </w:p>
    <w:p w:rsidR="003A1E77" w:rsidRDefault="003A1E77" w:rsidP="003A1E77">
      <w:r>
        <w:t>It is acknowledged that the cost-minimisation analysis proposed in Section D.2 is contrary to the final DAP which states: “</w:t>
      </w:r>
      <w:r w:rsidRPr="0007734F">
        <w:t>Model is to be a cost effectiveness mo</w:t>
      </w:r>
      <w:r>
        <w:t xml:space="preserve">del based on the 2009 LBC model”. It is argued in Section D.2 that that a cost-effectiveness model is not necessary because the differences between cell enrichment LBC and conventional in terms of accuracy are confined to differences in detection of pLSIL (more with cell enrichment LBC) and differences in rates of unsatisfactory smears (more with conventional cytology). The NCSP guidelines provide almost identical guidance with respect to the follow-up of pLSIL and unsatisfactory smears. That is, repeat the test </w:t>
      </w:r>
      <w:r w:rsidR="00D95A2B">
        <w:t>in 12 months</w:t>
      </w:r>
      <w:r>
        <w:t xml:space="preserve"> (within 6 to 12 weeks in the case of unsatisfactory smears). As such, a cost-minimisation analysis which incorporates the costs of following up th</w:t>
      </w:r>
      <w:r w:rsidR="00AD366D">
        <w:t xml:space="preserve">ese repeat tests (whether </w:t>
      </w:r>
      <w:r>
        <w:t xml:space="preserve">for pLSIL or unsatisfactory cytology) should be sufficient to determine the cost-effectiveness of cell enrichment LBC relative to conventional cytology. All other costs relating to the follow-up of higher grade abnormalities will be the same because the detection of higher grade abnormalities </w:t>
      </w:r>
      <w:r w:rsidR="00AD366D">
        <w:t xml:space="preserve">is the same </w:t>
      </w:r>
      <w:r>
        <w:t>between cell enrichment LBC a</w:t>
      </w:r>
      <w:r w:rsidR="00AD366D">
        <w:t>nd conventional cytology</w:t>
      </w:r>
      <w:r>
        <w:t xml:space="preserve">. </w:t>
      </w:r>
    </w:p>
    <w:p w:rsidR="003A1E77" w:rsidRDefault="003A1E77" w:rsidP="003A1E77">
      <w:r>
        <w:t>Nevertheless, a cost-effectiveness model is provided as an A</w:t>
      </w:r>
      <w:r w:rsidR="005F6015">
        <w:t>ttachment</w:t>
      </w:r>
      <w:r>
        <w:t xml:space="preserve"> to this submission (A</w:t>
      </w:r>
      <w:r w:rsidR="005F6015">
        <w:t xml:space="preserve">ttachment </w:t>
      </w:r>
      <w:r w:rsidR="00D13DD9">
        <w:t>6</w:t>
      </w:r>
      <w:r>
        <w:t xml:space="preserve">). Unfortunately, the cost-effectiveness model in </w:t>
      </w:r>
      <w:r w:rsidR="00FC6367">
        <w:t xml:space="preserve">Attachment </w:t>
      </w:r>
      <w:r w:rsidR="00D13DD9">
        <w:t>6</w:t>
      </w:r>
      <w:r w:rsidR="008846BA">
        <w:t xml:space="preserve"> </w:t>
      </w:r>
      <w:r>
        <w:t>could not</w:t>
      </w:r>
      <w:r w:rsidR="00AD366D">
        <w:t xml:space="preserve"> be based on the 2009 </w:t>
      </w:r>
      <w:r w:rsidR="00D95A2B">
        <w:t>LBC M</w:t>
      </w:r>
      <w:r w:rsidR="00AD366D">
        <w:t xml:space="preserve">odel </w:t>
      </w:r>
      <w:r>
        <w:t xml:space="preserve">so a separate cost-effectiveness model (using similar methodologies and data as the 2009 </w:t>
      </w:r>
      <w:r w:rsidR="00D95A2B">
        <w:t>LBC M</w:t>
      </w:r>
      <w:r>
        <w:t>odel) was constructed. As confirmed in the letter dated 23 August 2012 from Mr Shane Porter (Assistant Secretary Medical Benefits Division) “</w:t>
      </w:r>
      <w:r w:rsidRPr="00431DF5">
        <w:rPr>
          <w:i/>
        </w:rPr>
        <w:t>the 2009 Economic Model is not available</w:t>
      </w:r>
      <w:r>
        <w:t>” and it is acknowledged that “</w:t>
      </w:r>
      <w:r w:rsidRPr="00431DF5">
        <w:rPr>
          <w:i/>
        </w:rPr>
        <w:t>Becton Dickinson will need to develop a model that will differ from the 2009 LBC model</w:t>
      </w:r>
      <w:r>
        <w:t xml:space="preserve">”. A brief critique of the 2009 </w:t>
      </w:r>
      <w:r w:rsidR="00D95A2B">
        <w:t>LBC M</w:t>
      </w:r>
      <w:r>
        <w:t>odel and an</w:t>
      </w:r>
      <w:r w:rsidR="00AD366D">
        <w:t xml:space="preserve"> overview of the new model u</w:t>
      </w:r>
      <w:r>
        <w:t xml:space="preserve">sed (and as described in </w:t>
      </w:r>
      <w:r w:rsidR="00FC6367">
        <w:t xml:space="preserve">Attachment </w:t>
      </w:r>
      <w:r w:rsidR="00D13DD9">
        <w:t>6</w:t>
      </w:r>
      <w:r>
        <w:t>) is provided in Section D.3.</w:t>
      </w:r>
    </w:p>
    <w:p w:rsidR="007D5C08" w:rsidRDefault="007D5C08" w:rsidP="003A1E77">
      <w:pPr>
        <w:sectPr w:rsidR="007D5C08" w:rsidSect="008846BA">
          <w:headerReference w:type="default" r:id="rId39"/>
          <w:pgSz w:w="11907" w:h="16840" w:code="9"/>
          <w:pgMar w:top="1418" w:right="1418" w:bottom="1701" w:left="1814" w:header="720" w:footer="720" w:gutter="0"/>
          <w:paperSrc w:first="7" w:other="7"/>
          <w:cols w:space="720"/>
          <w:noEndnote/>
          <w:docGrid w:linePitch="299"/>
        </w:sectPr>
      </w:pPr>
    </w:p>
    <w:p w:rsidR="003A1E77" w:rsidRDefault="003A1E77" w:rsidP="003A1E77">
      <w:pPr>
        <w:pStyle w:val="Heading20"/>
        <w:rPr>
          <w:lang w:val="en-AU"/>
        </w:rPr>
      </w:pPr>
      <w:bookmarkStart w:id="546" w:name="_Toc337546914"/>
      <w:r>
        <w:lastRenderedPageBreak/>
        <w:t>D.1</w:t>
      </w:r>
      <w:r>
        <w:tab/>
      </w:r>
      <w:bookmarkEnd w:id="546"/>
      <w:r w:rsidR="0096756B">
        <w:rPr>
          <w:lang w:val="en-AU"/>
        </w:rPr>
        <w:t>Commercial-in-confidence</w:t>
      </w:r>
    </w:p>
    <w:p w:rsidR="00DD3E87" w:rsidRDefault="00D86AB9" w:rsidP="00C56FBF">
      <w:r>
        <w:t xml:space="preserve">Section D.1 </w:t>
      </w:r>
      <w:r w:rsidR="00DD3E87">
        <w:t xml:space="preserve"> </w:t>
      </w:r>
    </w:p>
    <w:p w:rsidR="00D6725D" w:rsidRDefault="00DD3E87" w:rsidP="007D5C08">
      <w:r>
        <w:t>The content of p</w:t>
      </w:r>
      <w:r w:rsidR="00C56FBF">
        <w:t>ages 168 to 179 inclusive is commercial-in-confidence</w:t>
      </w:r>
      <w:r>
        <w:t xml:space="preserve"> and has been redacted.</w:t>
      </w:r>
    </w:p>
    <w:p w:rsidR="00D6725D" w:rsidRPr="0071333B" w:rsidRDefault="00D6725D" w:rsidP="007D5C08"/>
    <w:p w:rsidR="007D5C08" w:rsidRDefault="007D5C08" w:rsidP="007D5C08">
      <w:pPr>
        <w:rPr>
          <w:rFonts w:ascii="Arial" w:hAnsi="Arial" w:cs="Arial"/>
          <w:color w:val="000000"/>
        </w:rPr>
        <w:sectPr w:rsidR="007D5C08" w:rsidSect="008846BA">
          <w:footerReference w:type="default" r:id="rId40"/>
          <w:pgSz w:w="11907" w:h="16840" w:code="9"/>
          <w:pgMar w:top="1418" w:right="1418" w:bottom="1701" w:left="1814" w:header="720" w:footer="720" w:gutter="0"/>
          <w:paperSrc w:first="7" w:other="7"/>
          <w:cols w:space="720"/>
          <w:noEndnote/>
          <w:docGrid w:linePitch="299"/>
        </w:sectPr>
      </w:pPr>
    </w:p>
    <w:p w:rsidR="003A1E77" w:rsidRDefault="003A1E77" w:rsidP="003A1E77">
      <w:pPr>
        <w:pStyle w:val="Heading20"/>
      </w:pPr>
      <w:bookmarkStart w:id="547" w:name="_Toc337546918"/>
      <w:r>
        <w:lastRenderedPageBreak/>
        <w:t>D.2</w:t>
      </w:r>
      <w:r>
        <w:tab/>
        <w:t>Cost minimisation analysis</w:t>
      </w:r>
      <w:bookmarkEnd w:id="547"/>
    </w:p>
    <w:p w:rsidR="003A1E77" w:rsidRDefault="003A1E77" w:rsidP="003A1E77">
      <w:r>
        <w:t xml:space="preserve">The clinical </w:t>
      </w:r>
      <w:r w:rsidRPr="00F346D9">
        <w:t xml:space="preserve">evidence presented in Section B </w:t>
      </w:r>
      <w:r w:rsidRPr="006D3195">
        <w:t xml:space="preserve">demonstrated that the </w:t>
      </w:r>
      <w:r w:rsidRPr="00F346D9">
        <w:t>effectiveness and safety</w:t>
      </w:r>
      <w:r w:rsidRPr="00BA4BF7">
        <w:t xml:space="preserve"> </w:t>
      </w:r>
      <w:r w:rsidRPr="006D3195">
        <w:t xml:space="preserve">of </w:t>
      </w:r>
      <w:r>
        <w:t>cell enrichment LBC is at least as good as that of conventional cytology technique. This conclusion is applicable to cell enrichment LBC regardless whether it is performed using manual or automated review.</w:t>
      </w:r>
    </w:p>
    <w:p w:rsidR="003A1E77" w:rsidRDefault="003A1E77" w:rsidP="003A1E77">
      <w:r>
        <w:t>The requested MBS fee represents a cost-minimising fee for cell enrichment LBC compared with conventional cytology. This reflects the clinical evidence demonstrating that cell enrichment LBC</w:t>
      </w:r>
      <w:r>
        <w:rPr>
          <w:vertAlign w:val="superscript"/>
        </w:rPr>
        <w:t xml:space="preserve"> </w:t>
      </w:r>
      <w:r>
        <w:t>is</w:t>
      </w:r>
      <w:r w:rsidR="0059787F">
        <w:t xml:space="preserve"> at least as accurate as and </w:t>
      </w:r>
      <w:r>
        <w:t xml:space="preserve">safe as </w:t>
      </w:r>
      <w:r w:rsidR="0059787F">
        <w:t xml:space="preserve">the </w:t>
      </w:r>
      <w:r>
        <w:t>conventional test (Section B). From a cost-effectiveness point of view, this cost-minimising does not account for the savings possible due to lower rates of unsatisfactory smears with cell enrichment LBC relative to conventional cytology. Equally, it does not necessarily account for potentially higher rates of follow-up of possible low-grade findings with cell enrichment LBC. Therefore the cost-minimisation analysis includes the follow-up of repeat tests and for additional follow-up with low-grade abnormalities. It is important to note that the cost of following up high grade abnormalities is not included in the cost-minimisation analysis because there is no difference in the rate of detection of these abnormalities and any associated costs would cancel each other out.</w:t>
      </w:r>
    </w:p>
    <w:p w:rsidR="003A1E77" w:rsidRDefault="0059787F" w:rsidP="003A1E77">
      <w:r>
        <w:t xml:space="preserve">NCSP guidelines on follow-up of </w:t>
      </w:r>
      <w:r w:rsidR="00177431">
        <w:t>possible low-grade abnormalities (pLSIL, ASCUS) are</w:t>
      </w:r>
      <w:r w:rsidR="003A1E77">
        <w:t xml:space="preserve"> to repeat the test at 12 months and then again at 24 months (if the 12 month result was normal). Th</w:t>
      </w:r>
      <w:r w:rsidR="00177431">
        <w:t>e test at 24 months would occur</w:t>
      </w:r>
      <w:r w:rsidR="003A1E77">
        <w:t xml:space="preserve"> for a normal result at the index smear so the additional cost of a pLSIL or ASCUS finding is a single additional test. In the rare circumstance that this single additional test did find a persistent, definite low-grade abnormality then this is actually a finding that has patient relevance and could potentially reduce the incidence of cervical cancer. In any case, the </w:t>
      </w:r>
      <w:r w:rsidR="00706341">
        <w:t>accuracy</w:t>
      </w:r>
      <w:r w:rsidR="003A1E77">
        <w:t xml:space="preserve"> of LBC versus conventional cytology for detecting definite low grade abnormalities is the same, meaning any costs associated with the follow-up of repeated low-grade abnormalities will be the same across the two methods.</w:t>
      </w:r>
    </w:p>
    <w:p w:rsidR="003A1E77" w:rsidRDefault="003A1E77" w:rsidP="003A1E77">
      <w:r>
        <w:t xml:space="preserve">As such, the additional cost attributable to a potential higher rate of pLSIL/ASCUS findings with LBC is the cost of a single repeat test. The cost-minimisation analysis is presented in </w:t>
      </w:r>
      <w:r w:rsidR="00086C77">
        <w:fldChar w:fldCharType="begin"/>
      </w:r>
      <w:r>
        <w:instrText xml:space="preserve"> REF _Ref334090545 \h </w:instrText>
      </w:r>
      <w:r w:rsidR="00086C77">
        <w:fldChar w:fldCharType="separate"/>
      </w:r>
      <w:r w:rsidR="003361A8">
        <w:t xml:space="preserve">Table </w:t>
      </w:r>
      <w:r w:rsidR="003361A8">
        <w:rPr>
          <w:noProof/>
        </w:rPr>
        <w:t>83</w:t>
      </w:r>
      <w:r w:rsidR="00086C77">
        <w:fldChar w:fldCharType="end"/>
      </w:r>
      <w:r>
        <w:t xml:space="preserve">. </w:t>
      </w:r>
      <w:r w:rsidR="00086C77">
        <w:fldChar w:fldCharType="begin"/>
      </w:r>
      <w:r>
        <w:instrText xml:space="preserve"> REF _Ref334090545 \h </w:instrText>
      </w:r>
      <w:r w:rsidR="00086C77">
        <w:fldChar w:fldCharType="separate"/>
      </w:r>
      <w:r w:rsidR="003361A8">
        <w:t xml:space="preserve">Table </w:t>
      </w:r>
      <w:r w:rsidR="003361A8">
        <w:rPr>
          <w:noProof/>
        </w:rPr>
        <w:t>83</w:t>
      </w:r>
      <w:r w:rsidR="00086C77">
        <w:fldChar w:fldCharType="end"/>
      </w:r>
      <w:r>
        <w:t xml:space="preserve"> shows that the total cost of the index/primary/routine test along with follow-up costs of low grade abnormalities and unsatisfactory tests results in a cost saving with cell enrichment LBC of $0.</w:t>
      </w:r>
      <w:r w:rsidR="00C349BC">
        <w:t>29</w:t>
      </w:r>
      <w:r>
        <w:t xml:space="preserve"> per woman presenting for a routine test.</w:t>
      </w:r>
    </w:p>
    <w:p w:rsidR="003A1E77" w:rsidRPr="001352A4" w:rsidRDefault="003A1E77" w:rsidP="003A1E77">
      <w:r>
        <w:t xml:space="preserve">The </w:t>
      </w:r>
      <w:r w:rsidRPr="001352A4">
        <w:t xml:space="preserve">Department </w:t>
      </w:r>
      <w:r>
        <w:t>re</w:t>
      </w:r>
      <w:r w:rsidR="00177431">
        <w:t>s</w:t>
      </w:r>
      <w:r>
        <w:t>po</w:t>
      </w:r>
      <w:r w:rsidR="00177431">
        <w:t>n</w:t>
      </w:r>
      <w:r>
        <w:t>se to this ap</w:t>
      </w:r>
      <w:r w:rsidR="00177431">
        <w:t>plication (1157) requested that</w:t>
      </w:r>
      <w:r>
        <w:t xml:space="preserve"> </w:t>
      </w:r>
      <w:r w:rsidRPr="001352A4">
        <w:rPr>
          <w:i/>
        </w:rPr>
        <w:t>“wome</w:t>
      </w:r>
      <w:r w:rsidR="00177431">
        <w:rPr>
          <w:i/>
        </w:rPr>
        <w:t>n’s total out-of-pocket costs (</w:t>
      </w:r>
      <w:r w:rsidRPr="001352A4">
        <w:rPr>
          <w:i/>
        </w:rPr>
        <w:t>be) a part of the economic evaluation”</w:t>
      </w:r>
      <w:r w:rsidRPr="001352A4">
        <w:t xml:space="preserve"> (Survey Responses to Application 1157 Response 2: Departmental Response)</w:t>
      </w:r>
      <w:r>
        <w:t xml:space="preserve">. The evidence presented in the previous section demonstrated that the </w:t>
      </w:r>
      <w:r>
        <w:lastRenderedPageBreak/>
        <w:t xml:space="preserve">proposed MBS fee for LBC is sustainable and will not lead to out-of-pocket costs. Conversely, 18% of women are routinely paying $45 out of pocket for LBC test in current practice. These costs are included in the cost-minimisation analysis in </w:t>
      </w:r>
      <w:r w:rsidR="00086C77">
        <w:fldChar w:fldCharType="begin"/>
      </w:r>
      <w:r>
        <w:instrText xml:space="preserve"> REF _Ref334090545 \h </w:instrText>
      </w:r>
      <w:r w:rsidR="00086C77">
        <w:fldChar w:fldCharType="separate"/>
      </w:r>
      <w:r w:rsidR="003361A8">
        <w:t xml:space="preserve">Table </w:t>
      </w:r>
      <w:r w:rsidR="003361A8">
        <w:rPr>
          <w:noProof/>
        </w:rPr>
        <w:t>83</w:t>
      </w:r>
      <w:r w:rsidR="00086C77">
        <w:fldChar w:fldCharType="end"/>
      </w:r>
      <w:r>
        <w:t>.</w:t>
      </w:r>
    </w:p>
    <w:p w:rsidR="003A1E77" w:rsidRDefault="003A1E77" w:rsidP="003A1E77">
      <w:r>
        <w:t>From an MBS perspective there is cost saving with cell enrichment LBC of $0.</w:t>
      </w:r>
      <w:r w:rsidR="00C349BC">
        <w:t>29</w:t>
      </w:r>
      <w:r>
        <w:t xml:space="preserve"> per woman presenting for a routine test. From the patient perspective there is a cost saving of $8.10 per woman presenting for a routine test. From a societal perspective the cost saving is $8.</w:t>
      </w:r>
      <w:r w:rsidR="00C349BC">
        <w:t>39</w:t>
      </w:r>
      <w:r>
        <w:t>.</w:t>
      </w:r>
    </w:p>
    <w:p w:rsidR="001F29A4" w:rsidRDefault="001F29A4" w:rsidP="001F29A4">
      <w:r>
        <w:t>The cost-minimisation analysis uses rates of low grade abnormalities and rates of unsatisfactory tests from the randomised controlled clinical trial evidence base. This approach is conservative (biased against LBC with cell enrichment</w:t>
      </w:r>
      <w:r w:rsidR="00EE244D">
        <w:t>)</w:t>
      </w:r>
      <w:r>
        <w:t xml:space="preserve"> because:</w:t>
      </w:r>
    </w:p>
    <w:p w:rsidR="001F29A4" w:rsidRDefault="001F29A4" w:rsidP="00AB012A">
      <w:pPr>
        <w:pStyle w:val="ListParagraph"/>
        <w:numPr>
          <w:ilvl w:val="0"/>
          <w:numId w:val="54"/>
        </w:numPr>
      </w:pPr>
      <w:r>
        <w:t>It includes data from LBC with cell filtration which has higher rates of unsatisfactory results than LBC with cell enrichment</w:t>
      </w:r>
    </w:p>
    <w:p w:rsidR="001F29A4" w:rsidRDefault="001F29A4" w:rsidP="00AB012A">
      <w:pPr>
        <w:pStyle w:val="ListParagraph"/>
        <w:numPr>
          <w:ilvl w:val="0"/>
          <w:numId w:val="54"/>
        </w:numPr>
      </w:pPr>
      <w:r>
        <w:t>The rate of low grade abnormalities with CC in these trials (2.</w:t>
      </w:r>
      <w:r w:rsidR="00EE244D">
        <w:t>98</w:t>
      </w:r>
      <w:r>
        <w:t>%)</w:t>
      </w:r>
      <w:r w:rsidR="00EE244D">
        <w:t xml:space="preserve"> is lower than that observed in Australian clinical practice (approximately 4%). As such, it is difficult to conclude that there will be an increase in an already high rate of low grades attributable </w:t>
      </w:r>
      <w:r w:rsidR="00542A84">
        <w:t xml:space="preserve">to </w:t>
      </w:r>
      <w:r w:rsidR="00EE244D">
        <w:t>LBC with cell enrichment.</w:t>
      </w:r>
    </w:p>
    <w:p w:rsidR="003A1E77" w:rsidRDefault="003A1E77" w:rsidP="003A1E77"/>
    <w:p w:rsidR="003A1E77" w:rsidRDefault="003A1E77" w:rsidP="003A1E77">
      <w:pPr>
        <w:sectPr w:rsidR="003A1E77" w:rsidSect="00B4263D">
          <w:footerReference w:type="default" r:id="rId41"/>
          <w:pgSz w:w="11907" w:h="16840" w:code="9"/>
          <w:pgMar w:top="1418" w:right="1418" w:bottom="1701" w:left="1814" w:header="720" w:footer="720" w:gutter="0"/>
          <w:paperSrc w:first="7" w:other="7"/>
          <w:pgNumType w:start="180"/>
          <w:cols w:space="720"/>
          <w:noEndnote/>
          <w:docGrid w:linePitch="299"/>
        </w:sectPr>
      </w:pPr>
    </w:p>
    <w:p w:rsidR="003A1E77" w:rsidRDefault="003A1E77" w:rsidP="003A1E77">
      <w:pPr>
        <w:pStyle w:val="Caption"/>
      </w:pPr>
      <w:bookmarkStart w:id="548" w:name="_Ref334090545"/>
      <w:bookmarkStart w:id="549" w:name="_Toc335666057"/>
      <w:bookmarkStart w:id="550" w:name="_Toc337547023"/>
      <w:r>
        <w:lastRenderedPageBreak/>
        <w:t xml:space="preserve">Table </w:t>
      </w:r>
      <w:fldSimple w:instr=" SEQ Table \* ARABIC ">
        <w:r w:rsidR="003361A8">
          <w:rPr>
            <w:noProof/>
          </w:rPr>
          <w:t>83</w:t>
        </w:r>
      </w:fldSimple>
      <w:bookmarkEnd w:id="548"/>
      <w:r>
        <w:tab/>
        <w:t>Cost-minimisation analysis comparing cell enrichment LBC with conventional cytology</w:t>
      </w:r>
      <w:bookmarkEnd w:id="549"/>
      <w:bookmarkEnd w:id="5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2832"/>
        <w:gridCol w:w="1324"/>
        <w:gridCol w:w="1324"/>
        <w:gridCol w:w="1324"/>
        <w:gridCol w:w="6456"/>
      </w:tblGrid>
      <w:tr w:rsidR="00134CE2" w:rsidRPr="00177431" w:rsidTr="00134CE2">
        <w:trPr>
          <w:cantSplit/>
          <w:tblHeader/>
        </w:trPr>
        <w:tc>
          <w:tcPr>
            <w:tcW w:w="243" w:type="pct"/>
            <w:shd w:val="clear" w:color="auto" w:fill="auto"/>
            <w:noWrap/>
            <w:hideMark/>
          </w:tcPr>
          <w:p w:rsidR="003A1E77" w:rsidRPr="00177431" w:rsidRDefault="003A1E77" w:rsidP="00177431">
            <w:pPr>
              <w:pStyle w:val="Tabletext"/>
              <w:rPr>
                <w:b/>
              </w:rPr>
            </w:pPr>
            <w:r w:rsidRPr="00177431">
              <w:rPr>
                <w:b/>
              </w:rPr>
              <w:t>Row</w:t>
            </w:r>
          </w:p>
        </w:tc>
        <w:tc>
          <w:tcPr>
            <w:tcW w:w="1016" w:type="pct"/>
            <w:shd w:val="clear" w:color="auto" w:fill="auto"/>
            <w:noWrap/>
            <w:hideMark/>
          </w:tcPr>
          <w:p w:rsidR="003A1E77" w:rsidRPr="00762887" w:rsidRDefault="003A1E77" w:rsidP="00177431">
            <w:pPr>
              <w:pStyle w:val="Tabletext"/>
              <w:rPr>
                <w:b/>
              </w:rPr>
            </w:pPr>
            <w:r w:rsidRPr="00762887">
              <w:rPr>
                <w:b/>
              </w:rPr>
              <w:t>Parameter</w:t>
            </w:r>
          </w:p>
        </w:tc>
        <w:tc>
          <w:tcPr>
            <w:tcW w:w="475" w:type="pct"/>
            <w:shd w:val="clear" w:color="auto" w:fill="auto"/>
            <w:noWrap/>
            <w:hideMark/>
          </w:tcPr>
          <w:p w:rsidR="003A1E77" w:rsidRPr="00762887" w:rsidRDefault="003A1E77" w:rsidP="00177431">
            <w:pPr>
              <w:pStyle w:val="Tabletext"/>
              <w:rPr>
                <w:b/>
              </w:rPr>
            </w:pPr>
            <w:r w:rsidRPr="00762887">
              <w:rPr>
                <w:b/>
              </w:rPr>
              <w:t>Cell enrichment LBC</w:t>
            </w:r>
          </w:p>
        </w:tc>
        <w:tc>
          <w:tcPr>
            <w:tcW w:w="475" w:type="pct"/>
            <w:shd w:val="clear" w:color="auto" w:fill="auto"/>
            <w:noWrap/>
            <w:hideMark/>
          </w:tcPr>
          <w:p w:rsidR="003A1E77" w:rsidRPr="00762887" w:rsidRDefault="003A1E77" w:rsidP="00177431">
            <w:pPr>
              <w:pStyle w:val="Tabletext"/>
              <w:rPr>
                <w:b/>
              </w:rPr>
            </w:pPr>
            <w:r w:rsidRPr="00762887">
              <w:rPr>
                <w:b/>
              </w:rPr>
              <w:t>Conventional cytology</w:t>
            </w:r>
          </w:p>
        </w:tc>
        <w:tc>
          <w:tcPr>
            <w:tcW w:w="475" w:type="pct"/>
            <w:shd w:val="clear" w:color="auto" w:fill="auto"/>
            <w:noWrap/>
            <w:hideMark/>
          </w:tcPr>
          <w:p w:rsidR="003A1E77" w:rsidRPr="00762887" w:rsidRDefault="003A1E77" w:rsidP="00177431">
            <w:pPr>
              <w:pStyle w:val="Tabletext"/>
              <w:rPr>
                <w:b/>
              </w:rPr>
            </w:pPr>
            <w:r w:rsidRPr="00762887">
              <w:rPr>
                <w:b/>
              </w:rPr>
              <w:t>Difference</w:t>
            </w:r>
          </w:p>
        </w:tc>
        <w:tc>
          <w:tcPr>
            <w:tcW w:w="2316" w:type="pct"/>
            <w:shd w:val="clear" w:color="auto" w:fill="auto"/>
            <w:noWrap/>
            <w:hideMark/>
          </w:tcPr>
          <w:p w:rsidR="003A1E77" w:rsidRPr="00177431" w:rsidRDefault="003A1E77" w:rsidP="00177431">
            <w:pPr>
              <w:pStyle w:val="Tabletext"/>
              <w:rPr>
                <w:b/>
              </w:rPr>
            </w:pPr>
            <w:r w:rsidRPr="00177431">
              <w:rPr>
                <w:b/>
              </w:rPr>
              <w:t>References and notes</w:t>
            </w:r>
          </w:p>
        </w:tc>
      </w:tr>
      <w:tr w:rsidR="00134CE2" w:rsidRPr="00DE5D7C" w:rsidTr="00134CE2">
        <w:trPr>
          <w:cantSplit/>
        </w:trPr>
        <w:tc>
          <w:tcPr>
            <w:tcW w:w="243" w:type="pct"/>
            <w:shd w:val="clear" w:color="auto" w:fill="auto"/>
            <w:noWrap/>
            <w:hideMark/>
          </w:tcPr>
          <w:p w:rsidR="003A1E77" w:rsidRPr="00DE5D7C" w:rsidRDefault="003A1E77" w:rsidP="00791EC7">
            <w:pPr>
              <w:pStyle w:val="Tabletext"/>
            </w:pPr>
            <w:r w:rsidRPr="00DE5D7C">
              <w:t>A</w:t>
            </w:r>
          </w:p>
        </w:tc>
        <w:tc>
          <w:tcPr>
            <w:tcW w:w="1016" w:type="pct"/>
            <w:shd w:val="clear" w:color="auto" w:fill="auto"/>
            <w:noWrap/>
            <w:hideMark/>
          </w:tcPr>
          <w:p w:rsidR="003A1E77" w:rsidRPr="00762887" w:rsidRDefault="003A1E77" w:rsidP="00791EC7">
            <w:pPr>
              <w:pStyle w:val="Tabletext"/>
            </w:pPr>
            <w:r w:rsidRPr="00762887">
              <w:t>Cost of primary screen</w:t>
            </w:r>
          </w:p>
        </w:tc>
        <w:tc>
          <w:tcPr>
            <w:tcW w:w="475" w:type="pct"/>
            <w:shd w:val="clear" w:color="auto" w:fill="auto"/>
            <w:noWrap/>
            <w:hideMark/>
          </w:tcPr>
          <w:p w:rsidR="003A1E77" w:rsidRPr="00762887" w:rsidRDefault="003A1E77" w:rsidP="00C349BC">
            <w:pPr>
              <w:pStyle w:val="Tabletext"/>
            </w:pPr>
            <w:r w:rsidRPr="00762887">
              <w:t>$68.42</w:t>
            </w:r>
          </w:p>
        </w:tc>
        <w:tc>
          <w:tcPr>
            <w:tcW w:w="475" w:type="pct"/>
            <w:shd w:val="clear" w:color="auto" w:fill="auto"/>
            <w:noWrap/>
            <w:hideMark/>
          </w:tcPr>
          <w:p w:rsidR="003A1E77" w:rsidRPr="00762887" w:rsidRDefault="003A1E77" w:rsidP="00C349BC">
            <w:pPr>
              <w:pStyle w:val="Tabletext"/>
            </w:pPr>
            <w:r w:rsidRPr="00762887">
              <w:t>$68.42</w:t>
            </w:r>
          </w:p>
        </w:tc>
        <w:tc>
          <w:tcPr>
            <w:tcW w:w="475" w:type="pct"/>
            <w:shd w:val="clear" w:color="auto" w:fill="auto"/>
            <w:noWrap/>
            <w:hideMark/>
          </w:tcPr>
          <w:p w:rsidR="003A1E77" w:rsidRPr="00762887" w:rsidRDefault="003A1E77" w:rsidP="00C349BC">
            <w:pPr>
              <w:pStyle w:val="Tabletext"/>
            </w:pPr>
            <w:r w:rsidRPr="00762887">
              <w:t>$0.00</w:t>
            </w:r>
          </w:p>
        </w:tc>
        <w:tc>
          <w:tcPr>
            <w:tcW w:w="2316" w:type="pct"/>
            <w:shd w:val="clear" w:color="auto" w:fill="auto"/>
            <w:noWrap/>
            <w:hideMark/>
          </w:tcPr>
          <w:p w:rsidR="003A1E77" w:rsidRPr="00DE5D7C" w:rsidRDefault="003A1E77" w:rsidP="00791EC7">
            <w:pPr>
              <w:pStyle w:val="Tabletext"/>
            </w:pPr>
            <w:r>
              <w:t>Weighted average costs of MBS items 3, 23, 36, 44, 52, 53, 54, 57, 104, 105 for the cost of the consultation ($40.57) plus $19.60 (MBS Item 73053) for the pathology plus the cost of the patient episode initiation ($8.25. MBS item 73922)</w:t>
            </w:r>
          </w:p>
          <w:p w:rsidR="003A1E77" w:rsidRPr="00DE5D7C" w:rsidRDefault="003A1E77" w:rsidP="00D31AAB">
            <w:pPr>
              <w:pStyle w:val="Tabletext"/>
            </w:pPr>
            <w:r>
              <w:t>This is the same methodology as used in MSAC 1122. Weightings and unit costs have been updated. See the attach</w:t>
            </w:r>
            <w:r w:rsidR="00D31AAB">
              <w:t>ment 5</w:t>
            </w:r>
            <w:r>
              <w:t xml:space="preserve"> for more detail</w:t>
            </w:r>
            <w:r w:rsidR="001F29A4">
              <w:t xml:space="preserve"> </w:t>
            </w:r>
          </w:p>
        </w:tc>
      </w:tr>
      <w:tr w:rsidR="00134CE2" w:rsidRPr="00DE5D7C" w:rsidTr="00134CE2">
        <w:trPr>
          <w:cantSplit/>
        </w:trPr>
        <w:tc>
          <w:tcPr>
            <w:tcW w:w="243" w:type="pct"/>
            <w:shd w:val="clear" w:color="auto" w:fill="auto"/>
            <w:noWrap/>
            <w:hideMark/>
          </w:tcPr>
          <w:p w:rsidR="00C349BC" w:rsidRPr="00DE5D7C" w:rsidRDefault="00C349BC" w:rsidP="00791EC7">
            <w:pPr>
              <w:pStyle w:val="Tabletext"/>
            </w:pPr>
            <w:r w:rsidRPr="00DE5D7C">
              <w:t>B</w:t>
            </w:r>
          </w:p>
        </w:tc>
        <w:tc>
          <w:tcPr>
            <w:tcW w:w="1016" w:type="pct"/>
            <w:shd w:val="clear" w:color="auto" w:fill="auto"/>
            <w:noWrap/>
            <w:hideMark/>
          </w:tcPr>
          <w:p w:rsidR="00C349BC" w:rsidRPr="00DE5D7C" w:rsidRDefault="00C349BC" w:rsidP="00791EC7">
            <w:pPr>
              <w:pStyle w:val="Tabletext"/>
            </w:pPr>
            <w:r w:rsidRPr="00DE5D7C">
              <w:t>Rate of unsatisfactory smears</w:t>
            </w:r>
          </w:p>
        </w:tc>
        <w:tc>
          <w:tcPr>
            <w:tcW w:w="475" w:type="pct"/>
            <w:shd w:val="clear" w:color="auto" w:fill="auto"/>
            <w:noWrap/>
            <w:hideMark/>
          </w:tcPr>
          <w:p w:rsidR="00C349BC" w:rsidRPr="00CB1E47" w:rsidRDefault="00C349BC" w:rsidP="00C349BC">
            <w:pPr>
              <w:pStyle w:val="Tabletext"/>
            </w:pPr>
            <w:r w:rsidRPr="00CB1E47">
              <w:t>1.13%</w:t>
            </w:r>
          </w:p>
        </w:tc>
        <w:tc>
          <w:tcPr>
            <w:tcW w:w="475" w:type="pct"/>
            <w:shd w:val="clear" w:color="auto" w:fill="auto"/>
            <w:noWrap/>
            <w:hideMark/>
          </w:tcPr>
          <w:p w:rsidR="00C349BC" w:rsidRPr="00CB1E47" w:rsidRDefault="00C349BC" w:rsidP="00C349BC">
            <w:pPr>
              <w:pStyle w:val="Tabletext"/>
            </w:pPr>
            <w:r w:rsidRPr="00CB1E47">
              <w:t>2.12%</w:t>
            </w:r>
          </w:p>
        </w:tc>
        <w:tc>
          <w:tcPr>
            <w:tcW w:w="475" w:type="pct"/>
            <w:shd w:val="clear" w:color="auto" w:fill="auto"/>
            <w:noWrap/>
            <w:hideMark/>
          </w:tcPr>
          <w:p w:rsidR="00C349BC" w:rsidRPr="00CB1E47" w:rsidRDefault="00C349BC" w:rsidP="00C349BC">
            <w:pPr>
              <w:pStyle w:val="Tabletext"/>
            </w:pPr>
            <w:r w:rsidRPr="00CB1E47">
              <w:t>-0.99%</w:t>
            </w:r>
          </w:p>
        </w:tc>
        <w:tc>
          <w:tcPr>
            <w:tcW w:w="2316" w:type="pct"/>
            <w:shd w:val="clear" w:color="auto" w:fill="auto"/>
            <w:hideMark/>
          </w:tcPr>
          <w:p w:rsidR="00C349BC" w:rsidRPr="00FA4285" w:rsidRDefault="00FA4285" w:rsidP="00762887">
            <w:pPr>
              <w:pStyle w:val="Tabletext"/>
            </w:pPr>
            <w:proofErr w:type="gramStart"/>
            <w:r>
              <w:t xml:space="preserve">Meta-analysed </w:t>
            </w:r>
            <w:r w:rsidRPr="00FA4285">
              <w:t>w</w:t>
            </w:r>
            <w:r w:rsidR="003022C1" w:rsidRPr="00FA4285">
              <w:t>eighted proportions of absolute unsatisfactory slides across all LBC trials is</w:t>
            </w:r>
            <w:proofErr w:type="gramEnd"/>
            <w:r w:rsidR="003022C1" w:rsidRPr="00FA4285">
              <w:t xml:space="preserve"> utilised</w:t>
            </w:r>
            <w:r w:rsidRPr="00FA4285">
              <w:t xml:space="preserve">. </w:t>
            </w:r>
            <w:r w:rsidR="00D31AAB" w:rsidRPr="00FA4285">
              <w:t xml:space="preserve">See the attachment 5 </w:t>
            </w:r>
            <w:r w:rsidR="00C349BC" w:rsidRPr="00FA4285">
              <w:t>for the calculatio</w:t>
            </w:r>
            <w:r w:rsidRPr="00FA4285">
              <w:t>ns</w:t>
            </w:r>
            <w:r w:rsidR="00762887" w:rsidRPr="00FA4285">
              <w:t>.</w:t>
            </w:r>
          </w:p>
          <w:p w:rsidR="00740986" w:rsidRPr="00DE5D7C" w:rsidRDefault="00740986" w:rsidP="00FA4285">
            <w:pPr>
              <w:pStyle w:val="Tabletext"/>
            </w:pPr>
            <w:r w:rsidRPr="00FA4285">
              <w:t xml:space="preserve">Unsatisfactory findings require an additional follow-up test at 3 months. If this is normal then patients return to routine screening. </w:t>
            </w:r>
            <w:r w:rsidR="00FA4285" w:rsidRPr="00FA4285">
              <w:t>However, it is more likely to be abnormal than a routine screen</w:t>
            </w:r>
            <w:r w:rsidRPr="00FA4285">
              <w:t xml:space="preserve"> and as such further investigations</w:t>
            </w:r>
            <w:r>
              <w:t xml:space="preserve"> are made. However, these further investigations </w:t>
            </w:r>
            <w:r w:rsidR="00FA4285">
              <w:t>are not included in the cost-minimisation analysis and this is biased against LBC with cell enrichment because it has lower rates of unsatisfactory results.</w:t>
            </w:r>
          </w:p>
        </w:tc>
      </w:tr>
      <w:tr w:rsidR="00134CE2" w:rsidRPr="00DE5D7C" w:rsidTr="00134CE2">
        <w:trPr>
          <w:cantSplit/>
        </w:trPr>
        <w:tc>
          <w:tcPr>
            <w:tcW w:w="243" w:type="pct"/>
            <w:shd w:val="clear" w:color="auto" w:fill="auto"/>
            <w:noWrap/>
            <w:hideMark/>
          </w:tcPr>
          <w:p w:rsidR="00C349BC" w:rsidRPr="00DE5D7C" w:rsidRDefault="00C349BC" w:rsidP="00791EC7">
            <w:pPr>
              <w:pStyle w:val="Tabletext"/>
            </w:pPr>
            <w:r w:rsidRPr="00DE5D7C">
              <w:t>C</w:t>
            </w:r>
          </w:p>
        </w:tc>
        <w:tc>
          <w:tcPr>
            <w:tcW w:w="1016" w:type="pct"/>
            <w:shd w:val="clear" w:color="auto" w:fill="auto"/>
            <w:noWrap/>
            <w:hideMark/>
          </w:tcPr>
          <w:p w:rsidR="00C349BC" w:rsidRPr="00DE5D7C" w:rsidRDefault="00C349BC" w:rsidP="00791EC7">
            <w:pPr>
              <w:pStyle w:val="Tabletext"/>
            </w:pPr>
            <w:r w:rsidRPr="00DE5D7C">
              <w:t>Expected cost of repeating unsat</w:t>
            </w:r>
            <w:r>
              <w:t>isfactory tests</w:t>
            </w:r>
          </w:p>
        </w:tc>
        <w:tc>
          <w:tcPr>
            <w:tcW w:w="475" w:type="pct"/>
            <w:shd w:val="clear" w:color="auto" w:fill="auto"/>
            <w:noWrap/>
            <w:hideMark/>
          </w:tcPr>
          <w:p w:rsidR="00C349BC" w:rsidRPr="00CB1E47" w:rsidRDefault="00C349BC" w:rsidP="00C349BC">
            <w:pPr>
              <w:pStyle w:val="Tabletext"/>
            </w:pPr>
            <w:r w:rsidRPr="00CB1E47">
              <w:t>$0.78</w:t>
            </w:r>
          </w:p>
        </w:tc>
        <w:tc>
          <w:tcPr>
            <w:tcW w:w="475" w:type="pct"/>
            <w:shd w:val="clear" w:color="auto" w:fill="auto"/>
            <w:noWrap/>
            <w:hideMark/>
          </w:tcPr>
          <w:p w:rsidR="00C349BC" w:rsidRPr="00CB1E47" w:rsidRDefault="00C349BC" w:rsidP="00C349BC">
            <w:pPr>
              <w:pStyle w:val="Tabletext"/>
            </w:pPr>
            <w:r w:rsidRPr="00CB1E47">
              <w:t>$1.45</w:t>
            </w:r>
          </w:p>
        </w:tc>
        <w:tc>
          <w:tcPr>
            <w:tcW w:w="475" w:type="pct"/>
            <w:shd w:val="clear" w:color="auto" w:fill="auto"/>
            <w:noWrap/>
            <w:hideMark/>
          </w:tcPr>
          <w:p w:rsidR="00C349BC" w:rsidRDefault="00C349BC" w:rsidP="00C349BC">
            <w:pPr>
              <w:pStyle w:val="Tabletext"/>
            </w:pPr>
            <w:r w:rsidRPr="00CB1E47">
              <w:t>-$0.68</w:t>
            </w:r>
          </w:p>
        </w:tc>
        <w:tc>
          <w:tcPr>
            <w:tcW w:w="2316" w:type="pct"/>
            <w:shd w:val="clear" w:color="auto" w:fill="auto"/>
            <w:noWrap/>
            <w:hideMark/>
          </w:tcPr>
          <w:p w:rsidR="00C349BC" w:rsidRPr="00DE5D7C" w:rsidRDefault="00C349BC" w:rsidP="00791EC7">
            <w:pPr>
              <w:pStyle w:val="Tabletext"/>
            </w:pPr>
            <w:r>
              <w:t>A × B</w:t>
            </w:r>
          </w:p>
          <w:p w:rsidR="00C349BC" w:rsidRPr="00DE5D7C" w:rsidRDefault="00C349BC" w:rsidP="00791EC7">
            <w:pPr>
              <w:pStyle w:val="Tabletext"/>
            </w:pPr>
            <w:r>
              <w:t>Cost of the repeat test is the same as for the primary test</w:t>
            </w:r>
          </w:p>
        </w:tc>
      </w:tr>
      <w:tr w:rsidR="00134CE2" w:rsidRPr="00DE5D7C" w:rsidTr="00134CE2">
        <w:trPr>
          <w:cantSplit/>
        </w:trPr>
        <w:tc>
          <w:tcPr>
            <w:tcW w:w="243" w:type="pct"/>
            <w:shd w:val="clear" w:color="auto" w:fill="auto"/>
            <w:noWrap/>
            <w:hideMark/>
          </w:tcPr>
          <w:p w:rsidR="00C349BC" w:rsidRPr="00DE5D7C" w:rsidRDefault="00C349BC" w:rsidP="00791EC7">
            <w:pPr>
              <w:pStyle w:val="Tabletext"/>
            </w:pPr>
            <w:r w:rsidRPr="00DE5D7C">
              <w:t>D</w:t>
            </w:r>
          </w:p>
        </w:tc>
        <w:tc>
          <w:tcPr>
            <w:tcW w:w="1016" w:type="pct"/>
            <w:shd w:val="clear" w:color="auto" w:fill="auto"/>
            <w:noWrap/>
            <w:hideMark/>
          </w:tcPr>
          <w:p w:rsidR="00C349BC" w:rsidRPr="00DE5D7C" w:rsidRDefault="00C349BC" w:rsidP="00791EC7">
            <w:pPr>
              <w:pStyle w:val="Tabletext"/>
            </w:pPr>
            <w:r w:rsidRPr="00DE5D7C">
              <w:t xml:space="preserve">Rate of </w:t>
            </w:r>
            <w:r w:rsidR="00762887">
              <w:t>(p)</w:t>
            </w:r>
            <w:r w:rsidRPr="00DE5D7C">
              <w:t>LSIL</w:t>
            </w:r>
          </w:p>
        </w:tc>
        <w:tc>
          <w:tcPr>
            <w:tcW w:w="475" w:type="pct"/>
            <w:shd w:val="clear" w:color="auto" w:fill="auto"/>
            <w:noWrap/>
            <w:hideMark/>
          </w:tcPr>
          <w:p w:rsidR="00C349BC" w:rsidRPr="00201050" w:rsidRDefault="00C349BC" w:rsidP="00C349BC">
            <w:pPr>
              <w:pStyle w:val="Tabletext"/>
            </w:pPr>
            <w:r w:rsidRPr="00201050">
              <w:t>3.55%</w:t>
            </w:r>
          </w:p>
        </w:tc>
        <w:tc>
          <w:tcPr>
            <w:tcW w:w="475" w:type="pct"/>
            <w:shd w:val="clear" w:color="auto" w:fill="auto"/>
            <w:noWrap/>
            <w:hideMark/>
          </w:tcPr>
          <w:p w:rsidR="00C349BC" w:rsidRPr="00201050" w:rsidRDefault="00C349BC" w:rsidP="00C349BC">
            <w:pPr>
              <w:pStyle w:val="Tabletext"/>
            </w:pPr>
            <w:r w:rsidRPr="00201050">
              <w:t>2.98%</w:t>
            </w:r>
          </w:p>
        </w:tc>
        <w:tc>
          <w:tcPr>
            <w:tcW w:w="475" w:type="pct"/>
            <w:shd w:val="clear" w:color="auto" w:fill="auto"/>
            <w:noWrap/>
            <w:hideMark/>
          </w:tcPr>
          <w:p w:rsidR="00C349BC" w:rsidRPr="00201050" w:rsidRDefault="00C349BC" w:rsidP="00C349BC">
            <w:pPr>
              <w:pStyle w:val="Tabletext"/>
            </w:pPr>
            <w:r w:rsidRPr="00201050">
              <w:t>0.57%</w:t>
            </w:r>
          </w:p>
        </w:tc>
        <w:tc>
          <w:tcPr>
            <w:tcW w:w="2316" w:type="pct"/>
            <w:shd w:val="clear" w:color="auto" w:fill="auto"/>
            <w:noWrap/>
            <w:hideMark/>
          </w:tcPr>
          <w:p w:rsidR="008F1CDB" w:rsidRPr="00FA4285" w:rsidRDefault="008F1CDB" w:rsidP="00762887">
            <w:pPr>
              <w:pStyle w:val="Tabletext"/>
            </w:pPr>
            <w:r w:rsidRPr="00FA4285">
              <w:t>Weighted proportions of absolute low grade abnormalities across all LBC trials is utilised</w:t>
            </w:r>
          </w:p>
          <w:p w:rsidR="00762887" w:rsidRPr="00DE5D7C" w:rsidRDefault="00D31AAB" w:rsidP="00D31AAB">
            <w:pPr>
              <w:pStyle w:val="Tabletext"/>
            </w:pPr>
            <w:r w:rsidRPr="00FA4285">
              <w:t xml:space="preserve">See the attachment 5 </w:t>
            </w:r>
            <w:r w:rsidR="00762887" w:rsidRPr="00FA4285">
              <w:t>for the calculation.</w:t>
            </w:r>
          </w:p>
        </w:tc>
      </w:tr>
      <w:tr w:rsidR="00134CE2" w:rsidRPr="00DE5D7C" w:rsidTr="00134CE2">
        <w:trPr>
          <w:cantSplit/>
        </w:trPr>
        <w:tc>
          <w:tcPr>
            <w:tcW w:w="243" w:type="pct"/>
            <w:shd w:val="clear" w:color="auto" w:fill="auto"/>
            <w:noWrap/>
            <w:hideMark/>
          </w:tcPr>
          <w:p w:rsidR="00C349BC" w:rsidRPr="00DE5D7C" w:rsidRDefault="00C349BC" w:rsidP="00791EC7">
            <w:pPr>
              <w:pStyle w:val="Tabletext"/>
            </w:pPr>
            <w:r w:rsidRPr="00DE5D7C">
              <w:t>E</w:t>
            </w:r>
          </w:p>
        </w:tc>
        <w:tc>
          <w:tcPr>
            <w:tcW w:w="1016" w:type="pct"/>
            <w:shd w:val="clear" w:color="auto" w:fill="auto"/>
            <w:noWrap/>
            <w:hideMark/>
          </w:tcPr>
          <w:p w:rsidR="00C349BC" w:rsidRPr="00DE5D7C" w:rsidRDefault="00C349BC" w:rsidP="00791EC7">
            <w:pPr>
              <w:pStyle w:val="Tabletext"/>
            </w:pPr>
            <w:r w:rsidRPr="00DE5D7C">
              <w:t xml:space="preserve">Cost of follow-up per </w:t>
            </w:r>
            <w:r w:rsidR="008F1CDB">
              <w:t>(p)</w:t>
            </w:r>
            <w:r w:rsidRPr="00DE5D7C">
              <w:t>LSIL finding</w:t>
            </w:r>
          </w:p>
        </w:tc>
        <w:tc>
          <w:tcPr>
            <w:tcW w:w="475" w:type="pct"/>
            <w:shd w:val="clear" w:color="auto" w:fill="auto"/>
            <w:noWrap/>
            <w:hideMark/>
          </w:tcPr>
          <w:p w:rsidR="00C349BC" w:rsidRPr="00201050" w:rsidRDefault="00C349BC" w:rsidP="00C349BC">
            <w:pPr>
              <w:pStyle w:val="Tabletext"/>
            </w:pPr>
            <w:r>
              <w:t>$</w:t>
            </w:r>
            <w:r w:rsidRPr="00201050">
              <w:t>68.42</w:t>
            </w:r>
          </w:p>
        </w:tc>
        <w:tc>
          <w:tcPr>
            <w:tcW w:w="475" w:type="pct"/>
            <w:shd w:val="clear" w:color="auto" w:fill="auto"/>
            <w:noWrap/>
            <w:hideMark/>
          </w:tcPr>
          <w:p w:rsidR="00C349BC" w:rsidRPr="00201050" w:rsidRDefault="00C349BC" w:rsidP="00C349BC">
            <w:pPr>
              <w:pStyle w:val="Tabletext"/>
            </w:pPr>
            <w:r>
              <w:t>$</w:t>
            </w:r>
            <w:r w:rsidRPr="00201050">
              <w:t>68.42</w:t>
            </w:r>
          </w:p>
        </w:tc>
        <w:tc>
          <w:tcPr>
            <w:tcW w:w="475" w:type="pct"/>
            <w:shd w:val="clear" w:color="auto" w:fill="auto"/>
            <w:noWrap/>
            <w:hideMark/>
          </w:tcPr>
          <w:p w:rsidR="00C349BC" w:rsidRPr="00201050" w:rsidRDefault="00134CE2" w:rsidP="00C349BC">
            <w:pPr>
              <w:pStyle w:val="Tabletext"/>
            </w:pPr>
            <w:r w:rsidRPr="00762887">
              <w:t>$0.00</w:t>
            </w:r>
          </w:p>
        </w:tc>
        <w:tc>
          <w:tcPr>
            <w:tcW w:w="2316" w:type="pct"/>
            <w:shd w:val="clear" w:color="auto" w:fill="auto"/>
            <w:noWrap/>
            <w:hideMark/>
          </w:tcPr>
          <w:p w:rsidR="00C349BC" w:rsidRPr="00DE5D7C" w:rsidRDefault="00C349BC" w:rsidP="00791EC7">
            <w:pPr>
              <w:pStyle w:val="Tabletext"/>
            </w:pPr>
            <w:r>
              <w:t>A</w:t>
            </w:r>
          </w:p>
          <w:p w:rsidR="00C349BC" w:rsidRPr="00DE5D7C" w:rsidRDefault="008F1CDB" w:rsidP="008F1CDB">
            <w:pPr>
              <w:pStyle w:val="Tabletext"/>
            </w:pPr>
            <w:r>
              <w:t>(p)</w:t>
            </w:r>
            <w:r w:rsidR="00C349BC">
              <w:t>LSIL findings require an additional follow-up test at 12 months. If this is normal then patients return to routine screening. If it is abnor</w:t>
            </w:r>
            <w:r w:rsidR="00134CE2">
              <w:t xml:space="preserve">mal then further investigations </w:t>
            </w:r>
            <w:r w:rsidR="00C349BC">
              <w:t xml:space="preserve">are made. However, these further investigations will be the same in both arms because the only differences between cell enrichment LBC and CC are in </w:t>
            </w:r>
            <w:r>
              <w:t>initial</w:t>
            </w:r>
            <w:r w:rsidR="00C349BC">
              <w:t xml:space="preserve"> LSIL, not in persistent LSIL</w:t>
            </w:r>
          </w:p>
        </w:tc>
      </w:tr>
      <w:tr w:rsidR="00134CE2" w:rsidRPr="00DE5D7C" w:rsidTr="00134CE2">
        <w:trPr>
          <w:cantSplit/>
        </w:trPr>
        <w:tc>
          <w:tcPr>
            <w:tcW w:w="243" w:type="pct"/>
            <w:shd w:val="clear" w:color="auto" w:fill="auto"/>
            <w:noWrap/>
            <w:hideMark/>
          </w:tcPr>
          <w:p w:rsidR="00C349BC" w:rsidRPr="00DE5D7C" w:rsidRDefault="00C349BC" w:rsidP="00791EC7">
            <w:pPr>
              <w:pStyle w:val="Tabletext"/>
            </w:pPr>
            <w:r w:rsidRPr="00DE5D7C">
              <w:t>F</w:t>
            </w:r>
          </w:p>
        </w:tc>
        <w:tc>
          <w:tcPr>
            <w:tcW w:w="1016" w:type="pct"/>
            <w:shd w:val="clear" w:color="auto" w:fill="auto"/>
            <w:noWrap/>
            <w:hideMark/>
          </w:tcPr>
          <w:p w:rsidR="00C349BC" w:rsidRPr="00DE5D7C" w:rsidRDefault="00C349BC" w:rsidP="00791EC7">
            <w:pPr>
              <w:pStyle w:val="Tabletext"/>
            </w:pPr>
            <w:r w:rsidRPr="00DE5D7C">
              <w:t>Expected cost of LSIL follow-up</w:t>
            </w:r>
          </w:p>
        </w:tc>
        <w:tc>
          <w:tcPr>
            <w:tcW w:w="475" w:type="pct"/>
            <w:shd w:val="clear" w:color="auto" w:fill="auto"/>
            <w:noWrap/>
            <w:hideMark/>
          </w:tcPr>
          <w:p w:rsidR="00C349BC" w:rsidRPr="00201050" w:rsidRDefault="00C349BC" w:rsidP="00C349BC">
            <w:pPr>
              <w:pStyle w:val="Tabletext"/>
            </w:pPr>
            <w:r w:rsidRPr="00201050">
              <w:t>$2.43</w:t>
            </w:r>
          </w:p>
        </w:tc>
        <w:tc>
          <w:tcPr>
            <w:tcW w:w="475" w:type="pct"/>
            <w:shd w:val="clear" w:color="auto" w:fill="auto"/>
            <w:noWrap/>
            <w:hideMark/>
          </w:tcPr>
          <w:p w:rsidR="00C349BC" w:rsidRPr="00201050" w:rsidRDefault="00C349BC" w:rsidP="00C349BC">
            <w:pPr>
              <w:pStyle w:val="Tabletext"/>
            </w:pPr>
            <w:r w:rsidRPr="00201050">
              <w:t>$2.04</w:t>
            </w:r>
          </w:p>
        </w:tc>
        <w:tc>
          <w:tcPr>
            <w:tcW w:w="475" w:type="pct"/>
            <w:shd w:val="clear" w:color="auto" w:fill="auto"/>
            <w:noWrap/>
            <w:hideMark/>
          </w:tcPr>
          <w:p w:rsidR="00C349BC" w:rsidRPr="00201050" w:rsidRDefault="00C349BC" w:rsidP="00C349BC">
            <w:pPr>
              <w:pStyle w:val="Tabletext"/>
            </w:pPr>
            <w:r w:rsidRPr="00201050">
              <w:t>$0.39</w:t>
            </w:r>
          </w:p>
        </w:tc>
        <w:tc>
          <w:tcPr>
            <w:tcW w:w="2316" w:type="pct"/>
            <w:shd w:val="clear" w:color="auto" w:fill="auto"/>
            <w:noWrap/>
            <w:hideMark/>
          </w:tcPr>
          <w:p w:rsidR="00C349BC" w:rsidRPr="00DE5D7C" w:rsidRDefault="00C349BC" w:rsidP="00791EC7">
            <w:pPr>
              <w:pStyle w:val="Tabletext"/>
            </w:pPr>
            <w:r>
              <w:t>D × E</w:t>
            </w:r>
          </w:p>
        </w:tc>
      </w:tr>
      <w:tr w:rsidR="00134CE2" w:rsidRPr="00DE5D7C" w:rsidTr="00134CE2">
        <w:trPr>
          <w:cantSplit/>
        </w:trPr>
        <w:tc>
          <w:tcPr>
            <w:tcW w:w="243" w:type="pct"/>
            <w:shd w:val="clear" w:color="auto" w:fill="auto"/>
            <w:noWrap/>
            <w:hideMark/>
          </w:tcPr>
          <w:p w:rsidR="00C349BC" w:rsidRPr="00DE5D7C" w:rsidRDefault="00C349BC" w:rsidP="00791EC7">
            <w:pPr>
              <w:pStyle w:val="Tabletext"/>
            </w:pPr>
            <w:r w:rsidRPr="00DE5D7C">
              <w:t>G</w:t>
            </w:r>
          </w:p>
        </w:tc>
        <w:tc>
          <w:tcPr>
            <w:tcW w:w="1016" w:type="pct"/>
            <w:shd w:val="clear" w:color="auto" w:fill="auto"/>
            <w:noWrap/>
            <w:hideMark/>
          </w:tcPr>
          <w:p w:rsidR="00C349BC" w:rsidRPr="00DE5D7C" w:rsidRDefault="00C349BC" w:rsidP="00791EC7">
            <w:pPr>
              <w:pStyle w:val="Tabletext"/>
            </w:pPr>
            <w:r w:rsidRPr="00DE5D7C">
              <w:t>Total cost</w:t>
            </w:r>
            <w:r>
              <w:t xml:space="preserve"> (MBS perspective)</w:t>
            </w:r>
          </w:p>
        </w:tc>
        <w:tc>
          <w:tcPr>
            <w:tcW w:w="475" w:type="pct"/>
            <w:shd w:val="clear" w:color="auto" w:fill="auto"/>
            <w:noWrap/>
            <w:hideMark/>
          </w:tcPr>
          <w:p w:rsidR="00C349BC" w:rsidRPr="00201050" w:rsidRDefault="00C349BC" w:rsidP="00C349BC">
            <w:pPr>
              <w:pStyle w:val="Tabletext"/>
            </w:pPr>
            <w:r w:rsidRPr="00201050">
              <w:t>$71.63</w:t>
            </w:r>
          </w:p>
        </w:tc>
        <w:tc>
          <w:tcPr>
            <w:tcW w:w="475" w:type="pct"/>
            <w:shd w:val="clear" w:color="auto" w:fill="auto"/>
            <w:noWrap/>
            <w:hideMark/>
          </w:tcPr>
          <w:p w:rsidR="00C349BC" w:rsidRPr="00201050" w:rsidRDefault="00C349BC" w:rsidP="00C349BC">
            <w:pPr>
              <w:pStyle w:val="Tabletext"/>
            </w:pPr>
            <w:r w:rsidRPr="00201050">
              <w:t>$71.91</w:t>
            </w:r>
          </w:p>
        </w:tc>
        <w:tc>
          <w:tcPr>
            <w:tcW w:w="475" w:type="pct"/>
            <w:shd w:val="clear" w:color="auto" w:fill="auto"/>
            <w:noWrap/>
            <w:hideMark/>
          </w:tcPr>
          <w:p w:rsidR="00C349BC" w:rsidRPr="00201050" w:rsidRDefault="00C349BC" w:rsidP="00C349BC">
            <w:pPr>
              <w:pStyle w:val="Tabletext"/>
            </w:pPr>
            <w:r w:rsidRPr="00201050">
              <w:t>-$0.29</w:t>
            </w:r>
          </w:p>
        </w:tc>
        <w:tc>
          <w:tcPr>
            <w:tcW w:w="2316" w:type="pct"/>
            <w:shd w:val="clear" w:color="auto" w:fill="auto"/>
            <w:noWrap/>
            <w:hideMark/>
          </w:tcPr>
          <w:p w:rsidR="00C349BC" w:rsidRPr="00DE5D7C" w:rsidRDefault="00C349BC" w:rsidP="00791EC7">
            <w:pPr>
              <w:pStyle w:val="Tabletext"/>
            </w:pPr>
            <w:r>
              <w:t>A + C + F</w:t>
            </w:r>
          </w:p>
        </w:tc>
      </w:tr>
      <w:tr w:rsidR="00134CE2" w:rsidRPr="00DE5D7C" w:rsidTr="00134CE2">
        <w:trPr>
          <w:cantSplit/>
          <w:trHeight w:val="356"/>
        </w:trPr>
        <w:tc>
          <w:tcPr>
            <w:tcW w:w="243" w:type="pct"/>
            <w:shd w:val="clear" w:color="auto" w:fill="auto"/>
            <w:noWrap/>
          </w:tcPr>
          <w:p w:rsidR="00C349BC" w:rsidRPr="00DE5D7C" w:rsidRDefault="00C349BC" w:rsidP="00791EC7">
            <w:pPr>
              <w:pStyle w:val="Tabletext"/>
            </w:pPr>
            <w:r>
              <w:lastRenderedPageBreak/>
              <w:t>H</w:t>
            </w:r>
          </w:p>
        </w:tc>
        <w:tc>
          <w:tcPr>
            <w:tcW w:w="1016" w:type="pct"/>
            <w:shd w:val="clear" w:color="auto" w:fill="auto"/>
            <w:noWrap/>
          </w:tcPr>
          <w:p w:rsidR="00C349BC" w:rsidRPr="00DE5D7C" w:rsidRDefault="00C349BC" w:rsidP="00791EC7">
            <w:pPr>
              <w:pStyle w:val="Tabletext"/>
            </w:pPr>
            <w:r>
              <w:t>Women paying out of pocket for LBC tests</w:t>
            </w:r>
          </w:p>
        </w:tc>
        <w:tc>
          <w:tcPr>
            <w:tcW w:w="475" w:type="pct"/>
            <w:shd w:val="clear" w:color="auto" w:fill="auto"/>
            <w:noWrap/>
          </w:tcPr>
          <w:p w:rsidR="00C349BC" w:rsidRPr="00201050" w:rsidRDefault="00C349BC" w:rsidP="00C349BC">
            <w:pPr>
              <w:pStyle w:val="Tabletext"/>
            </w:pPr>
            <w:r>
              <w:t>–</w:t>
            </w:r>
          </w:p>
        </w:tc>
        <w:tc>
          <w:tcPr>
            <w:tcW w:w="475" w:type="pct"/>
            <w:shd w:val="clear" w:color="auto" w:fill="auto"/>
            <w:noWrap/>
          </w:tcPr>
          <w:p w:rsidR="00C349BC" w:rsidRPr="00201050" w:rsidRDefault="00C349BC" w:rsidP="00C349BC">
            <w:pPr>
              <w:pStyle w:val="Tabletext"/>
            </w:pPr>
            <w:r w:rsidRPr="00201050">
              <w:t>18%</w:t>
            </w:r>
          </w:p>
        </w:tc>
        <w:tc>
          <w:tcPr>
            <w:tcW w:w="475" w:type="pct"/>
            <w:shd w:val="clear" w:color="auto" w:fill="auto"/>
            <w:noWrap/>
          </w:tcPr>
          <w:p w:rsidR="00C349BC" w:rsidRPr="00201050" w:rsidRDefault="00C349BC" w:rsidP="00C349BC">
            <w:pPr>
              <w:pStyle w:val="Tabletext"/>
            </w:pPr>
            <w:r w:rsidRPr="00201050">
              <w:t>-18%</w:t>
            </w:r>
          </w:p>
        </w:tc>
        <w:tc>
          <w:tcPr>
            <w:tcW w:w="2316" w:type="pct"/>
            <w:shd w:val="clear" w:color="auto" w:fill="auto"/>
            <w:noWrap/>
          </w:tcPr>
          <w:p w:rsidR="00C349BC" w:rsidRDefault="00C349BC" w:rsidP="00791EC7">
            <w:pPr>
              <w:pStyle w:val="Tabletext"/>
            </w:pPr>
            <w:r>
              <w:t xml:space="preserve">See </w:t>
            </w:r>
            <w:r w:rsidR="00086C77">
              <w:fldChar w:fldCharType="begin"/>
            </w:r>
            <w:r w:rsidR="00086C77">
              <w:instrText xml:space="preserve"> REF _Ref335388705 \h  \* MERGEFORMAT </w:instrText>
            </w:r>
            <w:r w:rsidR="00086C77">
              <w:fldChar w:fldCharType="separate"/>
            </w:r>
            <w:r w:rsidR="003361A8">
              <w:rPr>
                <w:b/>
                <w:bCs/>
                <w:lang w:val="en-US"/>
              </w:rPr>
              <w:t>Error! Reference source not found.</w:t>
            </w:r>
            <w:r w:rsidR="00086C77">
              <w:fldChar w:fldCharType="end"/>
            </w:r>
          </w:p>
        </w:tc>
      </w:tr>
      <w:tr w:rsidR="00134CE2" w:rsidRPr="00DE5D7C" w:rsidTr="00134CE2">
        <w:trPr>
          <w:cantSplit/>
        </w:trPr>
        <w:tc>
          <w:tcPr>
            <w:tcW w:w="243" w:type="pct"/>
            <w:shd w:val="clear" w:color="auto" w:fill="auto"/>
            <w:noWrap/>
          </w:tcPr>
          <w:p w:rsidR="00C349BC" w:rsidRDefault="00C349BC" w:rsidP="00791EC7">
            <w:pPr>
              <w:pStyle w:val="Tabletext"/>
            </w:pPr>
            <w:r>
              <w:t>I</w:t>
            </w:r>
          </w:p>
        </w:tc>
        <w:tc>
          <w:tcPr>
            <w:tcW w:w="1016" w:type="pct"/>
            <w:shd w:val="clear" w:color="auto" w:fill="auto"/>
            <w:noWrap/>
          </w:tcPr>
          <w:p w:rsidR="00C349BC" w:rsidRDefault="00C349BC" w:rsidP="00791EC7">
            <w:pPr>
              <w:pStyle w:val="Tabletext"/>
            </w:pPr>
            <w:r>
              <w:t>Out-of-pocket costs per LBC test</w:t>
            </w:r>
          </w:p>
        </w:tc>
        <w:tc>
          <w:tcPr>
            <w:tcW w:w="475" w:type="pct"/>
            <w:shd w:val="clear" w:color="auto" w:fill="auto"/>
            <w:noWrap/>
          </w:tcPr>
          <w:p w:rsidR="00C349BC" w:rsidRPr="00201050" w:rsidRDefault="00C349BC" w:rsidP="00C349BC">
            <w:pPr>
              <w:pStyle w:val="Tabletext"/>
            </w:pPr>
            <w:r>
              <w:t>–</w:t>
            </w:r>
          </w:p>
        </w:tc>
        <w:tc>
          <w:tcPr>
            <w:tcW w:w="475" w:type="pct"/>
            <w:shd w:val="clear" w:color="auto" w:fill="auto"/>
            <w:noWrap/>
          </w:tcPr>
          <w:p w:rsidR="00C349BC" w:rsidRPr="00201050" w:rsidRDefault="00C349BC" w:rsidP="00C349BC">
            <w:pPr>
              <w:pStyle w:val="Tabletext"/>
            </w:pPr>
            <w:r w:rsidRPr="00201050">
              <w:t>$45.00</w:t>
            </w:r>
          </w:p>
        </w:tc>
        <w:tc>
          <w:tcPr>
            <w:tcW w:w="475" w:type="pct"/>
            <w:shd w:val="clear" w:color="auto" w:fill="auto"/>
            <w:noWrap/>
          </w:tcPr>
          <w:p w:rsidR="00C349BC" w:rsidRPr="00201050" w:rsidRDefault="00C349BC" w:rsidP="00C349BC">
            <w:pPr>
              <w:pStyle w:val="Tabletext"/>
            </w:pPr>
            <w:r w:rsidRPr="00C349BC">
              <w:t>$45.00</w:t>
            </w:r>
          </w:p>
        </w:tc>
        <w:tc>
          <w:tcPr>
            <w:tcW w:w="2316" w:type="pct"/>
            <w:shd w:val="clear" w:color="auto" w:fill="auto"/>
            <w:noWrap/>
          </w:tcPr>
          <w:p w:rsidR="00C349BC" w:rsidRDefault="00C349BC" w:rsidP="00791EC7">
            <w:pPr>
              <w:pStyle w:val="Tabletext"/>
            </w:pPr>
            <w:r>
              <w:t>BD market estimates</w:t>
            </w:r>
          </w:p>
        </w:tc>
      </w:tr>
      <w:tr w:rsidR="00134CE2" w:rsidRPr="00DE5D7C" w:rsidTr="00134CE2">
        <w:trPr>
          <w:cantSplit/>
        </w:trPr>
        <w:tc>
          <w:tcPr>
            <w:tcW w:w="243" w:type="pct"/>
            <w:shd w:val="clear" w:color="auto" w:fill="auto"/>
            <w:noWrap/>
          </w:tcPr>
          <w:p w:rsidR="00C349BC" w:rsidRDefault="00C349BC" w:rsidP="00791EC7">
            <w:pPr>
              <w:pStyle w:val="Tabletext"/>
            </w:pPr>
            <w:r>
              <w:t>J</w:t>
            </w:r>
          </w:p>
        </w:tc>
        <w:tc>
          <w:tcPr>
            <w:tcW w:w="1016" w:type="pct"/>
            <w:shd w:val="clear" w:color="auto" w:fill="auto"/>
            <w:noWrap/>
          </w:tcPr>
          <w:p w:rsidR="00C349BC" w:rsidRDefault="00C349BC" w:rsidP="00791EC7">
            <w:pPr>
              <w:pStyle w:val="Tabletext"/>
            </w:pPr>
            <w:r>
              <w:t>Total patient out-of-pocket costs</w:t>
            </w:r>
          </w:p>
        </w:tc>
        <w:tc>
          <w:tcPr>
            <w:tcW w:w="475" w:type="pct"/>
            <w:shd w:val="clear" w:color="auto" w:fill="auto"/>
            <w:noWrap/>
          </w:tcPr>
          <w:p w:rsidR="00C349BC" w:rsidRPr="00201050" w:rsidRDefault="00C349BC" w:rsidP="00C349BC">
            <w:pPr>
              <w:pStyle w:val="Tabletext"/>
            </w:pPr>
            <w:r>
              <w:t>–</w:t>
            </w:r>
          </w:p>
        </w:tc>
        <w:tc>
          <w:tcPr>
            <w:tcW w:w="475" w:type="pct"/>
            <w:shd w:val="clear" w:color="auto" w:fill="auto"/>
            <w:noWrap/>
          </w:tcPr>
          <w:p w:rsidR="00C349BC" w:rsidRPr="00201050" w:rsidRDefault="00C349BC" w:rsidP="00C349BC">
            <w:pPr>
              <w:pStyle w:val="Tabletext"/>
            </w:pPr>
            <w:r w:rsidRPr="00201050">
              <w:t>$8.10</w:t>
            </w:r>
          </w:p>
        </w:tc>
        <w:tc>
          <w:tcPr>
            <w:tcW w:w="475" w:type="pct"/>
            <w:shd w:val="clear" w:color="auto" w:fill="auto"/>
            <w:noWrap/>
          </w:tcPr>
          <w:p w:rsidR="00C349BC" w:rsidRPr="00201050" w:rsidRDefault="00C349BC" w:rsidP="00C349BC">
            <w:pPr>
              <w:pStyle w:val="Tabletext"/>
            </w:pPr>
            <w:r w:rsidRPr="00201050">
              <w:t>-$8.10</w:t>
            </w:r>
          </w:p>
        </w:tc>
        <w:tc>
          <w:tcPr>
            <w:tcW w:w="2316" w:type="pct"/>
            <w:shd w:val="clear" w:color="auto" w:fill="auto"/>
            <w:noWrap/>
          </w:tcPr>
          <w:p w:rsidR="00C349BC" w:rsidRDefault="00C349BC" w:rsidP="00791EC7">
            <w:pPr>
              <w:pStyle w:val="Tabletext"/>
            </w:pPr>
            <w:r>
              <w:t>H × I</w:t>
            </w:r>
          </w:p>
        </w:tc>
      </w:tr>
      <w:tr w:rsidR="00134CE2" w:rsidRPr="00DE5D7C" w:rsidTr="00134CE2">
        <w:trPr>
          <w:cantSplit/>
        </w:trPr>
        <w:tc>
          <w:tcPr>
            <w:tcW w:w="243" w:type="pct"/>
            <w:shd w:val="clear" w:color="auto" w:fill="auto"/>
            <w:noWrap/>
          </w:tcPr>
          <w:p w:rsidR="00C349BC" w:rsidRDefault="00C349BC" w:rsidP="00791EC7">
            <w:pPr>
              <w:pStyle w:val="Tabletext"/>
            </w:pPr>
            <w:r>
              <w:t>K</w:t>
            </w:r>
          </w:p>
        </w:tc>
        <w:tc>
          <w:tcPr>
            <w:tcW w:w="1016" w:type="pct"/>
            <w:shd w:val="clear" w:color="auto" w:fill="auto"/>
            <w:noWrap/>
          </w:tcPr>
          <w:p w:rsidR="00C349BC" w:rsidRDefault="00C349BC" w:rsidP="00791EC7">
            <w:pPr>
              <w:pStyle w:val="Tabletext"/>
            </w:pPr>
            <w:r>
              <w:t>Total societal (MBS + patient) costs</w:t>
            </w:r>
          </w:p>
        </w:tc>
        <w:tc>
          <w:tcPr>
            <w:tcW w:w="475" w:type="pct"/>
            <w:shd w:val="clear" w:color="auto" w:fill="auto"/>
            <w:noWrap/>
          </w:tcPr>
          <w:p w:rsidR="00C349BC" w:rsidRPr="00201050" w:rsidRDefault="00C349BC" w:rsidP="00C349BC">
            <w:pPr>
              <w:pStyle w:val="Tabletext"/>
            </w:pPr>
            <w:r w:rsidRPr="00201050">
              <w:t>$71.63</w:t>
            </w:r>
          </w:p>
        </w:tc>
        <w:tc>
          <w:tcPr>
            <w:tcW w:w="475" w:type="pct"/>
            <w:shd w:val="clear" w:color="auto" w:fill="auto"/>
            <w:noWrap/>
          </w:tcPr>
          <w:p w:rsidR="00C349BC" w:rsidRPr="00201050" w:rsidRDefault="00C349BC" w:rsidP="00C349BC">
            <w:pPr>
              <w:pStyle w:val="Tabletext"/>
            </w:pPr>
            <w:r w:rsidRPr="00201050">
              <w:t>$80.01</w:t>
            </w:r>
          </w:p>
        </w:tc>
        <w:tc>
          <w:tcPr>
            <w:tcW w:w="475" w:type="pct"/>
            <w:shd w:val="clear" w:color="auto" w:fill="auto"/>
            <w:noWrap/>
          </w:tcPr>
          <w:p w:rsidR="00C349BC" w:rsidRDefault="00C349BC" w:rsidP="00C349BC">
            <w:pPr>
              <w:pStyle w:val="Tabletext"/>
            </w:pPr>
            <w:r w:rsidRPr="00201050">
              <w:t>-$8.39</w:t>
            </w:r>
          </w:p>
        </w:tc>
        <w:tc>
          <w:tcPr>
            <w:tcW w:w="2316" w:type="pct"/>
            <w:shd w:val="clear" w:color="auto" w:fill="auto"/>
            <w:noWrap/>
          </w:tcPr>
          <w:p w:rsidR="00C349BC" w:rsidRDefault="00C349BC" w:rsidP="00791EC7">
            <w:pPr>
              <w:pStyle w:val="Tabletext"/>
            </w:pPr>
            <w:r>
              <w:t>G + J</w:t>
            </w:r>
          </w:p>
        </w:tc>
      </w:tr>
    </w:tbl>
    <w:p w:rsidR="003A1E77" w:rsidRDefault="003A1E77" w:rsidP="003A1E77"/>
    <w:p w:rsidR="003A1E77" w:rsidRDefault="003A1E77" w:rsidP="003A1E77">
      <w:pPr>
        <w:sectPr w:rsidR="003A1E77" w:rsidSect="008846BA">
          <w:pgSz w:w="16840" w:h="11907" w:orient="landscape" w:code="9"/>
          <w:pgMar w:top="1814" w:right="1418" w:bottom="1418" w:left="1701" w:header="720" w:footer="720" w:gutter="0"/>
          <w:paperSrc w:first="7" w:other="7"/>
          <w:cols w:space="720"/>
          <w:noEndnote/>
          <w:docGrid w:linePitch="299"/>
        </w:sectPr>
      </w:pPr>
    </w:p>
    <w:p w:rsidR="003A1E77" w:rsidRDefault="003A1E77" w:rsidP="003A1E77">
      <w:r>
        <w:lastRenderedPageBreak/>
        <w:t xml:space="preserve">It is acknowledged that the cost-minimisation analysis proposed in </w:t>
      </w:r>
      <w:r w:rsidR="00086C77">
        <w:fldChar w:fldCharType="begin"/>
      </w:r>
      <w:r>
        <w:instrText xml:space="preserve"> REF _Ref334090545 \h </w:instrText>
      </w:r>
      <w:r w:rsidR="00086C77">
        <w:fldChar w:fldCharType="separate"/>
      </w:r>
      <w:r w:rsidR="003361A8">
        <w:t xml:space="preserve">Table </w:t>
      </w:r>
      <w:r w:rsidR="003361A8">
        <w:rPr>
          <w:noProof/>
        </w:rPr>
        <w:t>83</w:t>
      </w:r>
      <w:r w:rsidR="00086C77">
        <w:fldChar w:fldCharType="end"/>
      </w:r>
      <w:r>
        <w:t xml:space="preserve"> is contrary to the final DAP which states: “</w:t>
      </w:r>
      <w:r w:rsidRPr="0007734F">
        <w:t>Model is to be a cost effectiveness mo</w:t>
      </w:r>
      <w:r>
        <w:t xml:space="preserve">del based on the 2009 LBC model”. It is argued in Section D.2 that that a cost-effectiveness model is not necessary because the differences between cell enrichment LBC and conventional in terms of accuracy are confined to differences in detection of pLSIL (more with cell enrichment LBC) and differences in rates of unsatisfactory smears (more with conventional cytology). The NCSP guidelines provide almost identical guidance with respect to the follow-up of pLSIL and unsatisfactory smears. That is, repeat the test </w:t>
      </w:r>
      <w:r w:rsidR="00542A84">
        <w:t xml:space="preserve">at 12 </w:t>
      </w:r>
      <w:proofErr w:type="gramStart"/>
      <w:r w:rsidR="00542A84">
        <w:t xml:space="preserve">months  </w:t>
      </w:r>
      <w:r>
        <w:t>(</w:t>
      </w:r>
      <w:proofErr w:type="gramEnd"/>
      <w:r>
        <w:t>within 6 to 12 weeks in the case of unsatisfactory smears). As such, a cost-minimisation analysis which incorporates the costs of following up these repeat tes</w:t>
      </w:r>
      <w:r w:rsidR="001B4A68">
        <w:t xml:space="preserve">ts (whether </w:t>
      </w:r>
      <w:r>
        <w:t>for pLSIL or unsatisfactory tests) should be sufficient to determine the cost-effectiveness of cell enrichment LBC relative to conventional cytology. All other costs relating to the follow-up of higher grade abnormalities will be the same because the detection of higher grade abnormalities between cell enrichment LBC and conventional cytology is the same.</w:t>
      </w:r>
    </w:p>
    <w:p w:rsidR="003A1E77" w:rsidRDefault="003A1E77" w:rsidP="003A1E77"/>
    <w:p w:rsidR="003A1E77" w:rsidRDefault="003A1E77" w:rsidP="003A1E77">
      <w:pPr>
        <w:pStyle w:val="Heading20"/>
      </w:pPr>
      <w:bookmarkStart w:id="551" w:name="_Toc337546919"/>
      <w:r>
        <w:t>D.3</w:t>
      </w:r>
      <w:r>
        <w:tab/>
        <w:t>Cost-effectiveness analysis</w:t>
      </w:r>
      <w:bookmarkEnd w:id="551"/>
    </w:p>
    <w:p w:rsidR="003A1E77" w:rsidRDefault="003A1E77" w:rsidP="003A1E77">
      <w:pPr>
        <w:pStyle w:val="Heading30"/>
      </w:pPr>
      <w:bookmarkStart w:id="552" w:name="_Toc337546920"/>
      <w:r>
        <w:t>D.3.1</w:t>
      </w:r>
      <w:r>
        <w:tab/>
        <w:t>Cost-effectiveness using the 2009 model</w:t>
      </w:r>
      <w:bookmarkEnd w:id="552"/>
    </w:p>
    <w:p w:rsidR="003A1E77" w:rsidRDefault="003A1E77" w:rsidP="003A1E77">
      <w:r>
        <w:t>In order to specifically acknowledge the DAP’s request, a cost-effectiveness model is provided as an A</w:t>
      </w:r>
      <w:r w:rsidR="005F6015">
        <w:t>ttachment</w:t>
      </w:r>
      <w:r>
        <w:t xml:space="preserve"> to this submission (</w:t>
      </w:r>
      <w:r w:rsidR="000D172A">
        <w:t>Attachment 6</w:t>
      </w:r>
      <w:r>
        <w:t xml:space="preserve">). Unfortunately, the cost-effectiveness model in </w:t>
      </w:r>
      <w:r w:rsidR="005F6015">
        <w:t xml:space="preserve">Attachment </w:t>
      </w:r>
      <w:r w:rsidR="000D172A">
        <w:t xml:space="preserve">6 </w:t>
      </w:r>
      <w:r>
        <w:t xml:space="preserve">could not be based on the </w:t>
      </w:r>
      <w:r w:rsidR="00177431">
        <w:t>2009 model</w:t>
      </w:r>
      <w:r>
        <w:t xml:space="preserve"> so a separate cost-effectiveness model (using similar methodologies as the 2009 </w:t>
      </w:r>
      <w:r w:rsidR="00542A84">
        <w:t>LBC M</w:t>
      </w:r>
      <w:r>
        <w:t xml:space="preserve">odel) was constructed. </w:t>
      </w:r>
    </w:p>
    <w:p w:rsidR="003A1E77" w:rsidRDefault="00177431" w:rsidP="003A1E77">
      <w:r>
        <w:t xml:space="preserve">As described, BD received </w:t>
      </w:r>
      <w:r w:rsidR="003A1E77">
        <w:t>a letter dated 23 August 2012 from Mr Shane Porter (Assistant Secretary Medical Benefits Division) confirming that “</w:t>
      </w:r>
      <w:r w:rsidR="003A1E77" w:rsidRPr="00431DF5">
        <w:rPr>
          <w:i/>
        </w:rPr>
        <w:t>the 2009 Economic Model is not available</w:t>
      </w:r>
      <w:r w:rsidR="003A1E77">
        <w:t>” and it is acknowledged that “</w:t>
      </w:r>
      <w:r w:rsidR="003A1E77" w:rsidRPr="00431DF5">
        <w:rPr>
          <w:i/>
        </w:rPr>
        <w:t>Becton Dickinson will need to develop a model that will differ from the 2009 LBC model</w:t>
      </w:r>
      <w:r w:rsidR="003A1E77">
        <w:t>”</w:t>
      </w:r>
      <w:r w:rsidR="00EE244D">
        <w:t xml:space="preserve">. </w:t>
      </w:r>
    </w:p>
    <w:p w:rsidR="003A1E77" w:rsidRDefault="003A1E77" w:rsidP="003A1E77">
      <w:r>
        <w:t xml:space="preserve">Even if the 2009 </w:t>
      </w:r>
      <w:r w:rsidR="00542A84">
        <w:t>LBC M</w:t>
      </w:r>
      <w:r>
        <w:t xml:space="preserve">odel could be reproduced it is not necessarily the best evidence base upon which to make a reliable assessment of the cost-effectiveness of cell enrichment LBC. As such, a short critique of </w:t>
      </w:r>
      <w:r w:rsidR="00177431">
        <w:t>2009 model is provided</w:t>
      </w:r>
      <w:r>
        <w:t xml:space="preserve">. Building models of this nature is complex combining a range of disparate data sources from different settings into a single summary measure of cost-effectiveness. </w:t>
      </w:r>
      <w:r w:rsidR="00435CEF">
        <w:t>T</w:t>
      </w:r>
      <w:r>
        <w:t>h</w:t>
      </w:r>
      <w:r w:rsidR="00FE45BD">
        <w:t>is</w:t>
      </w:r>
      <w:r>
        <w:t xml:space="preserve"> critique </w:t>
      </w:r>
      <w:r w:rsidR="00FE45BD">
        <w:t xml:space="preserve">shows </w:t>
      </w:r>
      <w:r>
        <w:t>that a detailed economic model of the entire natural history of cervical cancer and cervical cancer screening is not necessary for the decision that is being made. Given that any differenc</w:t>
      </w:r>
      <w:r w:rsidR="00177431">
        <w:t>es between the tests (LBC and conventional cytology</w:t>
      </w:r>
      <w:r>
        <w:t xml:space="preserve">) are confined to rates of unsatisfactory smears and the detection of low grade abnormalities the assessment of </w:t>
      </w:r>
      <w:r>
        <w:lastRenderedPageBreak/>
        <w:t>costs and cost-effectiveness can be limited to this scope. This is the cost-minimisation analysis in Section D.2.</w:t>
      </w:r>
    </w:p>
    <w:p w:rsidR="003A1E77" w:rsidRDefault="003A1E77" w:rsidP="003A1E77">
      <w:r>
        <w:t>Based on the MSAC review in 2009 and the evidence presented in this submission it is proposed that the cost-minimisation analysis in Sectio</w:t>
      </w:r>
      <w:r w:rsidR="00177431">
        <w:t>n D.2 is more appropriate, transparent and</w:t>
      </w:r>
      <w:r>
        <w:t xml:space="preserve"> reliable than a detailed economic model. The base case results of the model from 2009 themselves (</w:t>
      </w:r>
      <w:r w:rsidR="00086C77">
        <w:fldChar w:fldCharType="begin"/>
      </w:r>
      <w:r>
        <w:instrText xml:space="preserve"> REF _Ref334092924 \h </w:instrText>
      </w:r>
      <w:r w:rsidR="00086C77">
        <w:fldChar w:fldCharType="separate"/>
      </w:r>
      <w:r w:rsidR="003361A8">
        <w:t xml:space="preserve">Figure </w:t>
      </w:r>
      <w:r w:rsidR="003361A8">
        <w:rPr>
          <w:noProof/>
        </w:rPr>
        <w:t>17</w:t>
      </w:r>
      <w:r w:rsidR="00086C77">
        <w:fldChar w:fldCharType="end"/>
      </w:r>
      <w:r>
        <w:t>) support this view. The results show that the incremental cost-effectiveness ratios (which were important drivers of the decision not to include LBC on the MBS in 2009) were based on an incremental cost of less than $20 per woman over her lifetime with an additional life expectancy of 82 minutes.</w:t>
      </w:r>
    </w:p>
    <w:p w:rsidR="003A1E77" w:rsidRDefault="00CB6A66" w:rsidP="003A1E77">
      <w:pPr>
        <w:keepNext/>
      </w:pPr>
      <w:r>
        <w:rPr>
          <w:noProof/>
          <w:lang w:eastAsia="en-AU"/>
        </w:rPr>
        <w:drawing>
          <wp:inline distT="0" distB="0" distL="0" distR="0">
            <wp:extent cx="5581650" cy="1597025"/>
            <wp:effectExtent l="0" t="0" r="0" b="3175"/>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81650" cy="1597025"/>
                    </a:xfrm>
                    <a:prstGeom prst="rect">
                      <a:avLst/>
                    </a:prstGeom>
                    <a:noFill/>
                    <a:ln>
                      <a:noFill/>
                    </a:ln>
                  </pic:spPr>
                </pic:pic>
              </a:graphicData>
            </a:graphic>
          </wp:inline>
        </w:drawing>
      </w:r>
    </w:p>
    <w:p w:rsidR="003E2EC5" w:rsidRDefault="001B4A68" w:rsidP="001B4A68">
      <w:pPr>
        <w:pStyle w:val="Caption"/>
      </w:pPr>
      <w:bookmarkStart w:id="553" w:name="_Ref334092924"/>
      <w:bookmarkStart w:id="554" w:name="_Toc337547068"/>
      <w:r>
        <w:t xml:space="preserve">Figure </w:t>
      </w:r>
      <w:fldSimple w:instr=" SEQ Figure \* ARABIC ">
        <w:r w:rsidR="003361A8">
          <w:rPr>
            <w:noProof/>
          </w:rPr>
          <w:t>17</w:t>
        </w:r>
      </w:fldSimple>
      <w:bookmarkEnd w:id="553"/>
      <w:r>
        <w:tab/>
      </w:r>
      <w:r w:rsidRPr="00EE4C8D">
        <w:t>Predicted costs, effects, and incremental cost-effectiveness ratios, by cytology test technology</w:t>
      </w:r>
      <w:bookmarkEnd w:id="554"/>
      <w:r>
        <w:t xml:space="preserve"> </w:t>
      </w:r>
    </w:p>
    <w:p w:rsidR="001B4A68" w:rsidRDefault="0067132C" w:rsidP="0067132C">
      <w:pPr>
        <w:pStyle w:val="Tabletext"/>
      </w:pPr>
      <w:r>
        <w:t>Source: Table 52 of the MSAC 2009 Assessment Report</w:t>
      </w:r>
    </w:p>
    <w:p w:rsidR="003A1E77" w:rsidRDefault="003A1E77" w:rsidP="003A1E77"/>
    <w:p w:rsidR="003A1E77" w:rsidRDefault="003A1E77" w:rsidP="003A1E77">
      <w:r>
        <w:t xml:space="preserve">With such small differences between the tests in terms of both costs and outcomes it is important to understand what is driving these results and whether or not they are reliable. With such small difference the results would need to be </w:t>
      </w:r>
      <w:r w:rsidR="00F40533">
        <w:t xml:space="preserve">close to </w:t>
      </w:r>
      <w:r>
        <w:t>100% reliable because a small change in either costs or outcome could result in a dramatic change in the</w:t>
      </w:r>
      <w:r w:rsidR="00177431">
        <w:t xml:space="preserve"> incremental cost-effectiveness ratio</w:t>
      </w:r>
      <w:r>
        <w:t xml:space="preserve"> </w:t>
      </w:r>
      <w:r w:rsidR="00177431">
        <w:t>(</w:t>
      </w:r>
      <w:r>
        <w:t>ICER</w:t>
      </w:r>
      <w:r w:rsidR="00177431">
        <w:t>)</w:t>
      </w:r>
      <w:r>
        <w:t>. The MSAC Assessment Report makes the following observation with respect to the driver of the differences in outcomes:</w:t>
      </w:r>
    </w:p>
    <w:p w:rsidR="003A1E77" w:rsidRDefault="003A1E77" w:rsidP="001B4A68">
      <w:pPr>
        <w:ind w:left="720"/>
        <w:rPr>
          <w:lang w:eastAsia="en-AU"/>
        </w:rPr>
      </w:pPr>
      <w:r>
        <w:rPr>
          <w:lang w:eastAsia="en-AU"/>
        </w:rPr>
        <w:t>“We expect that relative differences between the matrices for conventional cytology, LBC</w:t>
      </w:r>
      <w:r w:rsidR="001B4A68">
        <w:rPr>
          <w:lang w:eastAsia="en-AU"/>
        </w:rPr>
        <w:t xml:space="preserve"> </w:t>
      </w:r>
      <w:r>
        <w:rPr>
          <w:lang w:eastAsia="en-AU"/>
        </w:rPr>
        <w:t>and automated LBC will drive</w:t>
      </w:r>
      <w:r w:rsidR="001B4A68">
        <w:rPr>
          <w:lang w:eastAsia="en-AU"/>
        </w:rPr>
        <w:t xml:space="preserve"> differences in outcomes”. (p.</w:t>
      </w:r>
      <w:r>
        <w:rPr>
          <w:lang w:eastAsia="en-AU"/>
        </w:rPr>
        <w:t>154)</w:t>
      </w:r>
    </w:p>
    <w:p w:rsidR="003A1E77" w:rsidRDefault="003A1E77" w:rsidP="003A1E77">
      <w:r>
        <w:t>In other words, differences in the detection of low grade abnormalities are used as surrogate end</w:t>
      </w:r>
      <w:r w:rsidR="001B4A68">
        <w:t>-</w:t>
      </w:r>
      <w:r>
        <w:t>points for differences in the detection of high grade abnormalities and to differences in outcomes. The evidence for this transformation of surrogates is weak</w:t>
      </w:r>
      <w:r w:rsidR="00706341">
        <w:t xml:space="preserve"> as evidenced in </w:t>
      </w:r>
      <w:r w:rsidR="00086C77">
        <w:fldChar w:fldCharType="begin"/>
      </w:r>
      <w:r w:rsidR="00706341">
        <w:instrText xml:space="preserve"> REF _Ref333998017 \h </w:instrText>
      </w:r>
      <w:r w:rsidR="00086C77">
        <w:fldChar w:fldCharType="separate"/>
      </w:r>
      <w:r w:rsidR="003361A8">
        <w:t xml:space="preserve">Table </w:t>
      </w:r>
      <w:r w:rsidR="003361A8">
        <w:rPr>
          <w:noProof/>
        </w:rPr>
        <w:t>19</w:t>
      </w:r>
      <w:r w:rsidR="00086C77">
        <w:fldChar w:fldCharType="end"/>
      </w:r>
      <w:r>
        <w:t>.</w:t>
      </w:r>
    </w:p>
    <w:p w:rsidR="003A1E77" w:rsidRDefault="003A1E77" w:rsidP="003A1E77">
      <w:r>
        <w:t>The differences between the matrices in the 1122 Assessment report are lower specificity but better sen</w:t>
      </w:r>
      <w:r w:rsidR="00B27C9E">
        <w:t>sitivity with LBC compared to conventional cytology</w:t>
      </w:r>
      <w:r>
        <w:t xml:space="preserve">. The lower specificity drives the </w:t>
      </w:r>
      <w:r>
        <w:lastRenderedPageBreak/>
        <w:t>i</w:t>
      </w:r>
      <w:r w:rsidR="00B27C9E">
        <w:t>ncremental cost of LBC versus conventional cytology</w:t>
      </w:r>
      <w:r>
        <w:t xml:space="preserve"> and the better sensitivity drives the incremental outcomes with LBC over </w:t>
      </w:r>
      <w:r w:rsidR="00B27C9E">
        <w:t>conventional cytology</w:t>
      </w:r>
      <w:r>
        <w:t>. Even in sensitivity analysis of the 2009 model where the MBS fees f</w:t>
      </w:r>
      <w:r w:rsidR="00B27C9E">
        <w:t>or LBC was set to the same as conventional cytology</w:t>
      </w:r>
      <w:r>
        <w:t xml:space="preserve"> there was an incremental cost due to increased follow-up with LBC (the incremental cost per life year gained was less than $50,000; see Figure 14 of the 1122 Assessment report). This means that the 2009 model had two key drivers:</w:t>
      </w:r>
    </w:p>
    <w:p w:rsidR="003A1E77" w:rsidRDefault="003A1E77" w:rsidP="00AB012A">
      <w:pPr>
        <w:pStyle w:val="ListParagraph"/>
        <w:numPr>
          <w:ilvl w:val="0"/>
          <w:numId w:val="52"/>
        </w:numPr>
      </w:pPr>
      <w:r>
        <w:t>the cost of repeat follow-up tests due to the extra detection of l</w:t>
      </w:r>
      <w:r w:rsidR="00B27C9E">
        <w:t>ow grade abnormalities with LBC</w:t>
      </w:r>
    </w:p>
    <w:p w:rsidR="003A1E77" w:rsidRDefault="003A1E77" w:rsidP="00AB012A">
      <w:pPr>
        <w:pStyle w:val="ListParagraph"/>
        <w:numPr>
          <w:ilvl w:val="0"/>
          <w:numId w:val="52"/>
        </w:numPr>
      </w:pPr>
      <w:r>
        <w:t>the additional life years gained as a result of detecting these abnormalities earlier with LBC.</w:t>
      </w:r>
    </w:p>
    <w:p w:rsidR="003A1E77" w:rsidRDefault="003A1E77" w:rsidP="003A1E77">
      <w:r>
        <w:t>W</w:t>
      </w:r>
      <w:r w:rsidRPr="00E55982">
        <w:t xml:space="preserve">hen the ICER is driven by an incremental benefit which can be measured in minutes </w:t>
      </w:r>
      <w:r>
        <w:t xml:space="preserve">and an incremental cost of less than $1 per woman per year of life </w:t>
      </w:r>
      <w:r w:rsidRPr="00E55982">
        <w:t xml:space="preserve">the calibrations would need to be almost perfect to provide reliable cost-effectiveness results. </w:t>
      </w:r>
      <w:r>
        <w:t>Unfortunately, the calibration of the 2009 model showed that it performed poorly on these two important drivers of the ICERs. The figures below are reproduced from the MSAC 1122 Assessment Report.</w:t>
      </w:r>
    </w:p>
    <w:p w:rsidR="003A1E77" w:rsidRDefault="00086C77" w:rsidP="003A1E77">
      <w:r>
        <w:fldChar w:fldCharType="begin"/>
      </w:r>
      <w:r w:rsidR="00B27C9E">
        <w:instrText xml:space="preserve"> REF _Ref336012679 \h </w:instrText>
      </w:r>
      <w:r>
        <w:fldChar w:fldCharType="separate"/>
      </w:r>
      <w:r w:rsidR="003361A8">
        <w:t xml:space="preserve">Figure </w:t>
      </w:r>
      <w:r w:rsidR="003361A8">
        <w:rPr>
          <w:noProof/>
        </w:rPr>
        <w:t>18</w:t>
      </w:r>
      <w:r>
        <w:fldChar w:fldCharType="end"/>
      </w:r>
      <w:r w:rsidR="004F4B3F">
        <w:t xml:space="preserve"> indicate</w:t>
      </w:r>
      <w:r w:rsidR="003A1E77">
        <w:t>s that the 2009 model did not predict cancer mortality very well. The model underestimated risk of cervical</w:t>
      </w:r>
      <w:r w:rsidR="00B27C9E">
        <w:t xml:space="preserve"> cancer mortality by age 84 (</w:t>
      </w:r>
      <w:r w:rsidR="003A1E77">
        <w:t>lifetime risk) by more than half (that is the incidence of cervical cancer mortality in the model was less than half the incidence observed in Australia). This will have the impact of dramatically underestimating the benefit of additional detection with LBC. Given the model outcomes are based exclusively on cancer mortality (life years gained) and the model is so sensitive to small changes in cancer mortality this lack of calibration is likely to be highly biased against LBC.</w:t>
      </w:r>
    </w:p>
    <w:p w:rsidR="003A1E77" w:rsidRDefault="003A1E77" w:rsidP="003A1E77"/>
    <w:p w:rsidR="003A1E77" w:rsidRDefault="00CB6A66" w:rsidP="003A1E77">
      <w:r>
        <w:rPr>
          <w:noProof/>
          <w:lang w:eastAsia="en-AU"/>
        </w:rPr>
        <w:lastRenderedPageBreak/>
        <w:drawing>
          <wp:inline distT="0" distB="0" distL="0" distR="0">
            <wp:extent cx="5504180" cy="2861945"/>
            <wp:effectExtent l="0" t="0" r="127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t="9537"/>
                    <a:stretch>
                      <a:fillRect/>
                    </a:stretch>
                  </pic:blipFill>
                  <pic:spPr bwMode="auto">
                    <a:xfrm>
                      <a:off x="0" y="0"/>
                      <a:ext cx="5504180" cy="2861945"/>
                    </a:xfrm>
                    <a:prstGeom prst="rect">
                      <a:avLst/>
                    </a:prstGeom>
                    <a:noFill/>
                    <a:ln>
                      <a:noFill/>
                    </a:ln>
                  </pic:spPr>
                </pic:pic>
              </a:graphicData>
            </a:graphic>
          </wp:inline>
        </w:drawing>
      </w:r>
    </w:p>
    <w:p w:rsidR="0067132C" w:rsidRDefault="001B4A68" w:rsidP="001B4A68">
      <w:pPr>
        <w:pStyle w:val="Caption"/>
      </w:pPr>
      <w:bookmarkStart w:id="555" w:name="_Ref336012679"/>
      <w:bookmarkStart w:id="556" w:name="_Toc337547069"/>
      <w:r>
        <w:t xml:space="preserve">Figure </w:t>
      </w:r>
      <w:fldSimple w:instr=" SEQ Figure \* ARABIC ">
        <w:r w:rsidR="003361A8">
          <w:rPr>
            <w:noProof/>
          </w:rPr>
          <w:t>18</w:t>
        </w:r>
      </w:fldSimple>
      <w:bookmarkEnd w:id="555"/>
      <w:r>
        <w:tab/>
        <w:t>Predicted age-specific mortality in Australia, compared with cancer registry data from 2003–2005</w:t>
      </w:r>
      <w:bookmarkEnd w:id="556"/>
    </w:p>
    <w:p w:rsidR="003A1E77" w:rsidRDefault="003E2EC5" w:rsidP="0067132C">
      <w:pPr>
        <w:pStyle w:val="Tabletext"/>
      </w:pPr>
      <w:r>
        <w:t xml:space="preserve">Source: Figure 10 of </w:t>
      </w:r>
      <w:r w:rsidR="0067132C">
        <w:t>the 2009 MSAC Assessment report</w:t>
      </w:r>
    </w:p>
    <w:p w:rsidR="001B4A68" w:rsidRDefault="001B4A68" w:rsidP="003A1E77"/>
    <w:p w:rsidR="003A1E77" w:rsidRDefault="003A1E77" w:rsidP="003A1E77">
      <w:r>
        <w:t>Another calibration which performed poorly was the proportion of low grade abnormalities detected (Figure 12 of the MSAC 2009 report, reproduced below). The model appears to underestima</w:t>
      </w:r>
      <w:r w:rsidR="00B27C9E">
        <w:t>te the number of low grade abnormalities</w:t>
      </w:r>
      <w:r>
        <w:t xml:space="preserve"> using conventional cytology by nearly half. This will have an impact on the incremental cost of LBC (which was less than </w:t>
      </w:r>
      <w:r w:rsidR="001B4A68">
        <w:t>$20 in the base case). This mis</w:t>
      </w:r>
      <w:r>
        <w:t>specification of low grade abnormalities could change the incremental cost to only $10 (ICER of approximately $63,000) or to $5 (ICER of approximately $31,000).</w:t>
      </w:r>
    </w:p>
    <w:p w:rsidR="003A1E77" w:rsidRDefault="003A1E77" w:rsidP="003A1E77"/>
    <w:p w:rsidR="003A1E77" w:rsidRDefault="00CB6A66" w:rsidP="003A1E77">
      <w:r>
        <w:rPr>
          <w:noProof/>
          <w:lang w:eastAsia="en-AU"/>
        </w:rPr>
        <w:lastRenderedPageBreak/>
        <w:drawing>
          <wp:inline distT="0" distB="0" distL="0" distR="0">
            <wp:extent cx="5504180" cy="3260090"/>
            <wp:effectExtent l="0" t="0" r="1270" b="0"/>
            <wp:docPr id="1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t="9569"/>
                    <a:stretch>
                      <a:fillRect/>
                    </a:stretch>
                  </pic:blipFill>
                  <pic:spPr bwMode="auto">
                    <a:xfrm>
                      <a:off x="0" y="0"/>
                      <a:ext cx="5504180" cy="3260090"/>
                    </a:xfrm>
                    <a:prstGeom prst="rect">
                      <a:avLst/>
                    </a:prstGeom>
                    <a:noFill/>
                    <a:ln>
                      <a:noFill/>
                    </a:ln>
                  </pic:spPr>
                </pic:pic>
              </a:graphicData>
            </a:graphic>
          </wp:inline>
        </w:drawing>
      </w:r>
    </w:p>
    <w:p w:rsidR="003A1E77" w:rsidRDefault="001B4A68" w:rsidP="001B4A68">
      <w:pPr>
        <w:pStyle w:val="Caption"/>
      </w:pPr>
      <w:bookmarkStart w:id="557" w:name="_Toc337547070"/>
      <w:r>
        <w:t xml:space="preserve">Figure </w:t>
      </w:r>
      <w:fldSimple w:instr=" SEQ Figure \* ARABIC ">
        <w:r w:rsidR="003361A8">
          <w:rPr>
            <w:noProof/>
          </w:rPr>
          <w:t>19</w:t>
        </w:r>
      </w:fldSimple>
      <w:r>
        <w:tab/>
        <w:t>Predicted age-specific rate of histologically confirmed low grades detected compared with registry data (2006)</w:t>
      </w:r>
      <w:bookmarkEnd w:id="557"/>
    </w:p>
    <w:p w:rsidR="001B4A68" w:rsidRDefault="003E2EC5" w:rsidP="0067132C">
      <w:pPr>
        <w:pStyle w:val="Tabletext"/>
      </w:pPr>
      <w:r w:rsidRPr="003E2EC5">
        <w:t xml:space="preserve">Source: Figure </w:t>
      </w:r>
      <w:r w:rsidR="0067132C">
        <w:t>12</w:t>
      </w:r>
      <w:r w:rsidRPr="003E2EC5">
        <w:t xml:space="preserve"> of </w:t>
      </w:r>
      <w:r>
        <w:t>the 2009 MSAC Assessment report</w:t>
      </w:r>
    </w:p>
    <w:p w:rsidR="003E2EC5" w:rsidRDefault="003E2EC5" w:rsidP="003A1E77"/>
    <w:p w:rsidR="003A1E77" w:rsidRDefault="003A1E77" w:rsidP="003A1E77">
      <w:r>
        <w:t xml:space="preserve">In the scenario where the costs of the screening tests themselves are identical (as is the case in this submission) any cost differences and any outcome differences are driven by the resources associated with additional follow-up of abnormalities according to the NCSP Guidelines. As such, the cost-effectiveness results of any such economic model would actually reflect the cost-effectiveness of the screening guidelines themselves as opposed to the cost effectiveness of LBC relative to conventional cytology. </w:t>
      </w:r>
    </w:p>
    <w:p w:rsidR="003A1E77" w:rsidRDefault="003A1E77" w:rsidP="003A1E77">
      <w:r w:rsidRPr="009E114E">
        <w:t>In 2009, MSAC concluded that LBC was safe, at least as effective, but “not cost effective at the price requested”.</w:t>
      </w:r>
      <w:r>
        <w:t xml:space="preserve"> The cost-minimisation analysis provided in this submission provides a sound and reliable basis to support MBS funding of cell enrichment LBC.</w:t>
      </w:r>
    </w:p>
    <w:p w:rsidR="003A1E77" w:rsidRDefault="003A1E77" w:rsidP="003A1E77">
      <w:pPr>
        <w:pStyle w:val="Heading30"/>
      </w:pPr>
      <w:bookmarkStart w:id="558" w:name="_Toc337546921"/>
      <w:r>
        <w:t>D.3.2</w:t>
      </w:r>
      <w:r>
        <w:tab/>
        <w:t>Cost-effectiveness model for this submission</w:t>
      </w:r>
      <w:bookmarkEnd w:id="558"/>
    </w:p>
    <w:p w:rsidR="003A1E77" w:rsidRDefault="00BE380C" w:rsidP="003A1E77">
      <w:r w:rsidRPr="00315D4F">
        <w:t>The cost-effectiveness model for this submission is a supplementary analysis and is provided in full in Attachment 6. The results of the model are largely the same as the results of the cost-</w:t>
      </w:r>
      <w:r w:rsidR="001A3CFB" w:rsidRPr="00315D4F">
        <w:t>minimisation</w:t>
      </w:r>
      <w:r w:rsidRPr="00315D4F">
        <w:t xml:space="preserve"> analysis, that is, LBC with cell enrichment provides almost identical health outcomes (a difference of 0.0000</w:t>
      </w:r>
      <w:r w:rsidR="00223225">
        <w:t xml:space="preserve">429 </w:t>
      </w:r>
      <w:r w:rsidRPr="00315D4F">
        <w:t xml:space="preserve">QALYs </w:t>
      </w:r>
      <w:r w:rsidR="00223225">
        <w:t xml:space="preserve">or 0.000218 life years </w:t>
      </w:r>
      <w:r w:rsidRPr="00315D4F">
        <w:t xml:space="preserve">in favour of </w:t>
      </w:r>
      <w:r w:rsidR="00223225">
        <w:t xml:space="preserve">cell enrichment </w:t>
      </w:r>
      <w:r w:rsidRPr="00315D4F">
        <w:t>LBC) but at a lower overall cost</w:t>
      </w:r>
      <w:r w:rsidR="00315D4F" w:rsidRPr="00315D4F">
        <w:t xml:space="preserve"> ($</w:t>
      </w:r>
      <w:r w:rsidR="00223225">
        <w:t>3.55</w:t>
      </w:r>
      <w:r w:rsidR="00315D4F" w:rsidRPr="00315D4F">
        <w:t xml:space="preserve"> per patient</w:t>
      </w:r>
      <w:r w:rsidR="00315D4F">
        <w:t>)</w:t>
      </w:r>
      <w:r>
        <w:t>.</w:t>
      </w:r>
      <w:r w:rsidR="0098406B">
        <w:t xml:space="preserve"> </w:t>
      </w:r>
      <w:r w:rsidR="00086C77">
        <w:fldChar w:fldCharType="begin"/>
      </w:r>
      <w:r w:rsidR="0098406B">
        <w:instrText xml:space="preserve"> REF _Ref336616424 \h </w:instrText>
      </w:r>
      <w:r w:rsidR="00086C77">
        <w:fldChar w:fldCharType="separate"/>
      </w:r>
      <w:r w:rsidR="003361A8">
        <w:t xml:space="preserve">Table </w:t>
      </w:r>
      <w:r w:rsidR="003361A8">
        <w:rPr>
          <w:noProof/>
        </w:rPr>
        <w:t>84</w:t>
      </w:r>
      <w:r w:rsidR="00086C77">
        <w:fldChar w:fldCharType="end"/>
      </w:r>
      <w:r w:rsidR="00A779E5">
        <w:t xml:space="preserve"> presents a summary of the cost-</w:t>
      </w:r>
      <w:r w:rsidR="00140CA4">
        <w:t>effectiveness</w:t>
      </w:r>
      <w:r w:rsidR="00A779E5">
        <w:t xml:space="preserve"> results calculated in the economic model.</w:t>
      </w:r>
    </w:p>
    <w:p w:rsidR="00A779E5" w:rsidRDefault="00A779E5" w:rsidP="00A779E5">
      <w:pPr>
        <w:pStyle w:val="Caption"/>
      </w:pPr>
      <w:bookmarkStart w:id="559" w:name="_Ref336616424"/>
      <w:bookmarkStart w:id="560" w:name="_Ref336616421"/>
      <w:bookmarkStart w:id="561" w:name="_Toc337547024"/>
      <w:r>
        <w:lastRenderedPageBreak/>
        <w:t xml:space="preserve">Table </w:t>
      </w:r>
      <w:fldSimple w:instr=" SEQ Table \* ARABIC ">
        <w:r w:rsidR="003361A8">
          <w:rPr>
            <w:noProof/>
          </w:rPr>
          <w:t>84</w:t>
        </w:r>
      </w:fldSimple>
      <w:bookmarkEnd w:id="559"/>
      <w:r>
        <w:tab/>
        <w:t>Results of the economic model, cell enrichment LBC versus conventional cytology</w:t>
      </w:r>
      <w:bookmarkEnd w:id="560"/>
      <w:bookmarkEnd w:id="56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2"/>
        <w:gridCol w:w="2223"/>
        <w:gridCol w:w="2223"/>
        <w:gridCol w:w="2223"/>
      </w:tblGrid>
      <w:tr w:rsidR="00A779E5" w:rsidTr="008C3B7A">
        <w:tc>
          <w:tcPr>
            <w:tcW w:w="2222" w:type="dxa"/>
          </w:tcPr>
          <w:p w:rsidR="00A779E5" w:rsidRDefault="00A779E5" w:rsidP="00A779E5">
            <w:pPr>
              <w:pStyle w:val="Tableheading"/>
            </w:pPr>
            <w:r>
              <w:t>Pap test technique</w:t>
            </w:r>
          </w:p>
        </w:tc>
        <w:tc>
          <w:tcPr>
            <w:tcW w:w="2223" w:type="dxa"/>
          </w:tcPr>
          <w:p w:rsidR="00A779E5" w:rsidRDefault="00A779E5" w:rsidP="00A779E5">
            <w:pPr>
              <w:pStyle w:val="Tableheading"/>
            </w:pPr>
            <w:r>
              <w:t xml:space="preserve">Expected costs </w:t>
            </w:r>
          </w:p>
        </w:tc>
        <w:tc>
          <w:tcPr>
            <w:tcW w:w="2223" w:type="dxa"/>
          </w:tcPr>
          <w:p w:rsidR="00A779E5" w:rsidRDefault="00A779E5" w:rsidP="00A779E5">
            <w:pPr>
              <w:pStyle w:val="Tableheading"/>
            </w:pPr>
            <w:r>
              <w:t xml:space="preserve">Expected QALYs </w:t>
            </w:r>
          </w:p>
        </w:tc>
        <w:tc>
          <w:tcPr>
            <w:tcW w:w="2223" w:type="dxa"/>
          </w:tcPr>
          <w:p w:rsidR="00A779E5" w:rsidRDefault="00A779E5" w:rsidP="00A779E5">
            <w:pPr>
              <w:pStyle w:val="Tableheading"/>
            </w:pPr>
            <w:r>
              <w:t>Expected life years</w:t>
            </w:r>
          </w:p>
        </w:tc>
      </w:tr>
      <w:tr w:rsidR="00F7704B" w:rsidTr="008C3B7A">
        <w:tc>
          <w:tcPr>
            <w:tcW w:w="2222" w:type="dxa"/>
          </w:tcPr>
          <w:p w:rsidR="0098406B" w:rsidRDefault="0098406B" w:rsidP="00A779E5">
            <w:pPr>
              <w:pStyle w:val="Tabletext"/>
            </w:pPr>
            <w:r>
              <w:t>Cell enrichment LBC</w:t>
            </w:r>
          </w:p>
        </w:tc>
        <w:tc>
          <w:tcPr>
            <w:tcW w:w="2223" w:type="dxa"/>
            <w:vAlign w:val="center"/>
          </w:tcPr>
          <w:p w:rsidR="0098406B" w:rsidRPr="0098406B" w:rsidRDefault="0098406B" w:rsidP="0098406B">
            <w:pPr>
              <w:pStyle w:val="Tabletext"/>
            </w:pPr>
            <w:r w:rsidRPr="0098406B">
              <w:t>$451.87</w:t>
            </w:r>
          </w:p>
        </w:tc>
        <w:tc>
          <w:tcPr>
            <w:tcW w:w="2223" w:type="dxa"/>
          </w:tcPr>
          <w:p w:rsidR="0098406B" w:rsidRPr="0098406B" w:rsidRDefault="0098406B" w:rsidP="0098406B">
            <w:pPr>
              <w:pStyle w:val="Tabletext"/>
            </w:pPr>
            <w:r w:rsidRPr="0098406B">
              <w:t>19.159957</w:t>
            </w:r>
          </w:p>
        </w:tc>
        <w:tc>
          <w:tcPr>
            <w:tcW w:w="2223" w:type="dxa"/>
          </w:tcPr>
          <w:p w:rsidR="0098406B" w:rsidRPr="0098406B" w:rsidRDefault="0098406B" w:rsidP="0098406B">
            <w:pPr>
              <w:pStyle w:val="Tabletext"/>
            </w:pPr>
            <w:r w:rsidRPr="0098406B">
              <w:t>19.162980</w:t>
            </w:r>
          </w:p>
        </w:tc>
      </w:tr>
      <w:tr w:rsidR="00F7704B" w:rsidTr="008C3B7A">
        <w:tc>
          <w:tcPr>
            <w:tcW w:w="2222" w:type="dxa"/>
          </w:tcPr>
          <w:p w:rsidR="0098406B" w:rsidRDefault="0098406B" w:rsidP="00A779E5">
            <w:pPr>
              <w:pStyle w:val="Tabletext"/>
            </w:pPr>
            <w:r>
              <w:t>CC</w:t>
            </w:r>
          </w:p>
        </w:tc>
        <w:tc>
          <w:tcPr>
            <w:tcW w:w="2223" w:type="dxa"/>
            <w:vAlign w:val="center"/>
          </w:tcPr>
          <w:p w:rsidR="0098406B" w:rsidRPr="0098406B" w:rsidRDefault="0098406B" w:rsidP="0098406B">
            <w:pPr>
              <w:pStyle w:val="Tabletext"/>
            </w:pPr>
            <w:r w:rsidRPr="0098406B">
              <w:t>$455.43</w:t>
            </w:r>
          </w:p>
        </w:tc>
        <w:tc>
          <w:tcPr>
            <w:tcW w:w="2223" w:type="dxa"/>
            <w:vAlign w:val="bottom"/>
          </w:tcPr>
          <w:p w:rsidR="0098406B" w:rsidRPr="0098406B" w:rsidRDefault="0098406B" w:rsidP="0098406B">
            <w:pPr>
              <w:pStyle w:val="Tabletext"/>
            </w:pPr>
            <w:r w:rsidRPr="0098406B">
              <w:t>19.159915</w:t>
            </w:r>
          </w:p>
        </w:tc>
        <w:tc>
          <w:tcPr>
            <w:tcW w:w="2223" w:type="dxa"/>
            <w:vAlign w:val="bottom"/>
          </w:tcPr>
          <w:p w:rsidR="0098406B" w:rsidRPr="0098406B" w:rsidRDefault="0098406B" w:rsidP="0098406B">
            <w:pPr>
              <w:pStyle w:val="Tabletext"/>
            </w:pPr>
            <w:r w:rsidRPr="0098406B">
              <w:t>19.162958</w:t>
            </w:r>
          </w:p>
        </w:tc>
      </w:tr>
      <w:tr w:rsidR="00F7704B" w:rsidTr="008C3B7A">
        <w:tc>
          <w:tcPr>
            <w:tcW w:w="2222" w:type="dxa"/>
          </w:tcPr>
          <w:p w:rsidR="0098406B" w:rsidRDefault="0098406B" w:rsidP="00A779E5">
            <w:pPr>
              <w:pStyle w:val="Tabletext"/>
            </w:pPr>
            <w:r>
              <w:t>Difference</w:t>
            </w:r>
          </w:p>
        </w:tc>
        <w:tc>
          <w:tcPr>
            <w:tcW w:w="2223" w:type="dxa"/>
            <w:vAlign w:val="center"/>
          </w:tcPr>
          <w:p w:rsidR="0098406B" w:rsidRPr="0098406B" w:rsidRDefault="0098406B" w:rsidP="0098406B">
            <w:pPr>
              <w:pStyle w:val="Tabletext"/>
            </w:pPr>
            <w:r w:rsidRPr="0098406B">
              <w:t>-$3.55</w:t>
            </w:r>
          </w:p>
        </w:tc>
        <w:tc>
          <w:tcPr>
            <w:tcW w:w="2223" w:type="dxa"/>
          </w:tcPr>
          <w:p w:rsidR="0098406B" w:rsidRPr="0098406B" w:rsidRDefault="0098406B" w:rsidP="0098406B">
            <w:pPr>
              <w:pStyle w:val="Tabletext"/>
            </w:pPr>
            <w:r w:rsidRPr="0098406B">
              <w:t>0.0000429</w:t>
            </w:r>
          </w:p>
        </w:tc>
        <w:tc>
          <w:tcPr>
            <w:tcW w:w="2223" w:type="dxa"/>
          </w:tcPr>
          <w:p w:rsidR="0098406B" w:rsidRPr="0098406B" w:rsidRDefault="0098406B" w:rsidP="0098406B">
            <w:pPr>
              <w:pStyle w:val="Tabletext"/>
            </w:pPr>
            <w:r w:rsidRPr="0098406B">
              <w:t>0.0000218</w:t>
            </w:r>
          </w:p>
        </w:tc>
      </w:tr>
      <w:tr w:rsidR="0098406B" w:rsidTr="008C3B7A">
        <w:tc>
          <w:tcPr>
            <w:tcW w:w="4445" w:type="dxa"/>
            <w:gridSpan w:val="2"/>
          </w:tcPr>
          <w:p w:rsidR="0098406B" w:rsidRDefault="0098406B" w:rsidP="00A779E5">
            <w:pPr>
              <w:pStyle w:val="Tabletext"/>
            </w:pPr>
            <w:r>
              <w:t>Incremental cost-effectiveness ratios</w:t>
            </w:r>
          </w:p>
        </w:tc>
        <w:tc>
          <w:tcPr>
            <w:tcW w:w="2223" w:type="dxa"/>
          </w:tcPr>
          <w:p w:rsidR="0098406B" w:rsidRDefault="0098406B" w:rsidP="00A779E5">
            <w:pPr>
              <w:pStyle w:val="Tabletext"/>
            </w:pPr>
            <w:r>
              <w:t>Cell enrichment LBC is dominant</w:t>
            </w:r>
          </w:p>
        </w:tc>
        <w:tc>
          <w:tcPr>
            <w:tcW w:w="2223" w:type="dxa"/>
          </w:tcPr>
          <w:p w:rsidR="0098406B" w:rsidRDefault="0098406B" w:rsidP="00A779E5">
            <w:pPr>
              <w:pStyle w:val="Tabletext"/>
            </w:pPr>
            <w:r>
              <w:t>Cell enrichment LBC is dominant</w:t>
            </w:r>
          </w:p>
        </w:tc>
      </w:tr>
    </w:tbl>
    <w:p w:rsidR="00A779E5" w:rsidRDefault="00A779E5" w:rsidP="003A1E77"/>
    <w:p w:rsidR="00223225" w:rsidRDefault="00223225" w:rsidP="003A1E77">
      <w:r>
        <w:t>The exceedingly small difference</w:t>
      </w:r>
      <w:r w:rsidR="00A779E5">
        <w:t>s</w:t>
      </w:r>
      <w:r>
        <w:t xml:space="preserve"> in outcomes (11.5 minutes in life expectancy) and costs ($</w:t>
      </w:r>
      <w:r w:rsidR="00A779E5">
        <w:t>3.55</w:t>
      </w:r>
      <w:r>
        <w:t xml:space="preserve"> over a woman’s life time) </w:t>
      </w:r>
      <w:r w:rsidR="00A779E5">
        <w:t>and</w:t>
      </w:r>
      <w:r>
        <w:t xml:space="preserve"> costs reinforce the conclusion that the cost-</w:t>
      </w:r>
      <w:r w:rsidR="00140CA4">
        <w:t>minimisation</w:t>
      </w:r>
      <w:r>
        <w:t xml:space="preserve"> analysis presented in Section D.2 provides a sound basis for decision making. Any cost-effectiveness ratios that are calculated from such small incremental values are likely to be highly variable.</w:t>
      </w:r>
    </w:p>
    <w:p w:rsidR="00A779E5" w:rsidRDefault="00A779E5" w:rsidP="003A1E77">
      <w:r>
        <w:t xml:space="preserve">The incremental costs and </w:t>
      </w:r>
      <w:r w:rsidR="0098406B">
        <w:t xml:space="preserve">life years estimated in this model are slightly lower than the difference predicted in the 2009 MSAC LBC model. The smaller incremental gain in life years with LBC in this model compared to the 2009 model can be attributed to the </w:t>
      </w:r>
      <w:r w:rsidR="00F40533">
        <w:t xml:space="preserve">conservative </w:t>
      </w:r>
      <w:r w:rsidR="0098406B">
        <w:t xml:space="preserve">assumption used in this model that there is no additional detection of CIN2+ disease with LBC compared to CC. </w:t>
      </w:r>
      <w:r>
        <w:t>incremental QALYs -effectiveness ratios</w:t>
      </w:r>
      <w:r w:rsidR="0098406B">
        <w:t>. The smaller incremental cost in this model can be attributed to the lower MBS fee requested.</w:t>
      </w:r>
    </w:p>
    <w:p w:rsidR="003A1E77" w:rsidRPr="009E678D" w:rsidRDefault="009E678D" w:rsidP="003A1E77">
      <w:pPr>
        <w:rPr>
          <w:i/>
        </w:rPr>
      </w:pPr>
      <w:r w:rsidRPr="009E678D">
        <w:rPr>
          <w:i/>
        </w:rPr>
        <w:t xml:space="preserve">Pages 189 to 193 contain commercial-in-confidence information </w:t>
      </w:r>
      <w:r>
        <w:rPr>
          <w:i/>
        </w:rPr>
        <w:t>which</w:t>
      </w:r>
      <w:r w:rsidRPr="009E678D">
        <w:rPr>
          <w:i/>
        </w:rPr>
        <w:t xml:space="preserve"> ha</w:t>
      </w:r>
      <w:r>
        <w:rPr>
          <w:i/>
        </w:rPr>
        <w:t>s</w:t>
      </w:r>
      <w:r w:rsidRPr="009E678D">
        <w:rPr>
          <w:i/>
        </w:rPr>
        <w:t xml:space="preserve"> been redacted.</w:t>
      </w:r>
    </w:p>
    <w:p w:rsidR="00BE380C" w:rsidRPr="00646859" w:rsidRDefault="00BE380C" w:rsidP="00BE380C">
      <w:pPr>
        <w:pStyle w:val="Heading40"/>
        <w:rPr>
          <w:color w:val="FFFFFF"/>
        </w:rPr>
      </w:pPr>
      <w:r w:rsidRPr="00646859">
        <w:rPr>
          <w:color w:val="FFFFFF"/>
        </w:rPr>
        <w:t>Methods</w:t>
      </w:r>
    </w:p>
    <w:p w:rsidR="003E2EC5" w:rsidRPr="00646859" w:rsidRDefault="003E2EC5" w:rsidP="00BE380C">
      <w:pPr>
        <w:rPr>
          <w:color w:val="FFFFFF"/>
        </w:rPr>
      </w:pPr>
      <w:r w:rsidRPr="00646859">
        <w:rPr>
          <w:color w:val="FFFFFF"/>
        </w:rPr>
        <w:t>The objective of this model was to develop a global cost-effectiveness model to examine primary and reflex cervical cancer screening technologies.  The model simulates the natural progression of cervical cancer and allows the user to examine the cost-effectiveness of a wide range of screening technologies and screening strategies using primary testing, co-primary testing and reflex testing.</w:t>
      </w:r>
    </w:p>
    <w:p w:rsidR="003E2EC5" w:rsidRPr="00646859" w:rsidRDefault="003E2EC5" w:rsidP="00BE380C">
      <w:pPr>
        <w:rPr>
          <w:color w:val="FFFFFF"/>
        </w:rPr>
      </w:pPr>
      <w:r w:rsidRPr="00646859">
        <w:rPr>
          <w:color w:val="FFFFFF"/>
        </w:rPr>
        <w:t xml:space="preserve">The cost-effectiveness </w:t>
      </w:r>
      <w:r w:rsidR="00315D4F" w:rsidRPr="00646859">
        <w:rPr>
          <w:color w:val="FFFFFF"/>
        </w:rPr>
        <w:t>analysis</w:t>
      </w:r>
      <w:r w:rsidRPr="00646859">
        <w:rPr>
          <w:color w:val="FFFFFF"/>
        </w:rPr>
        <w:t xml:space="preserve"> for this submission compares </w:t>
      </w:r>
      <w:r w:rsidR="00315D4F" w:rsidRPr="00646859">
        <w:rPr>
          <w:color w:val="FFFFFF"/>
        </w:rPr>
        <w:t xml:space="preserve">cell enrichment </w:t>
      </w:r>
      <w:r w:rsidRPr="00646859">
        <w:rPr>
          <w:color w:val="FFFFFF"/>
        </w:rPr>
        <w:t xml:space="preserve">LBC with conventional cyes of unsatisfactory tests and the test specificity and sensitivity for detecting CIN1 at the pLSIL </w:t>
      </w:r>
      <w:r w:rsidR="00315D4F" w:rsidRPr="00646859">
        <w:rPr>
          <w:color w:val="FFFFFF"/>
        </w:rPr>
        <w:t>threshold</w:t>
      </w:r>
      <w:r w:rsidRPr="00646859">
        <w:rPr>
          <w:color w:val="FFFFFF"/>
        </w:rPr>
        <w:t>. All other aspects of the arms of the model (including the cost of the screening test</w:t>
      </w:r>
      <w:r w:rsidR="00315D4F" w:rsidRPr="00646859">
        <w:rPr>
          <w:color w:val="FFFFFF"/>
        </w:rPr>
        <w:t xml:space="preserve"> and the detection of CIN2+ abnormalities</w:t>
      </w:r>
      <w:r w:rsidRPr="00646859">
        <w:rPr>
          <w:color w:val="FFFFFF"/>
        </w:rPr>
        <w:t>) are identical.</w:t>
      </w:r>
    </w:p>
    <w:p w:rsidR="009E678D" w:rsidRPr="00646859" w:rsidRDefault="003E2EC5" w:rsidP="003E2EC5">
      <w:pPr>
        <w:rPr>
          <w:color w:val="FFFFFF"/>
        </w:rPr>
      </w:pPr>
      <w:r w:rsidRPr="00646859">
        <w:rPr>
          <w:color w:val="FFFFFF"/>
        </w:rPr>
        <w:t>The model consists of three main modules:  1) disease progression, 2) screening and 3) treatment (</w:t>
      </w:r>
      <w:r w:rsidR="00086C77" w:rsidRPr="00646859">
        <w:rPr>
          <w:color w:val="FFFFFF"/>
        </w:rPr>
        <w:fldChar w:fldCharType="begin"/>
      </w:r>
      <w:r w:rsidRPr="00646859">
        <w:rPr>
          <w:color w:val="FFFFFF"/>
        </w:rPr>
        <w:instrText xml:space="preserve"> REF _Ref336595050 \h </w:instrText>
      </w:r>
      <w:r w:rsidR="009E678D" w:rsidRPr="00646859">
        <w:rPr>
          <w:color w:val="FFFFFF"/>
        </w:rPr>
        <w:instrText xml:space="preserve"> \* MERGEFORMAT </w:instrText>
      </w:r>
      <w:r w:rsidR="00086C77" w:rsidRPr="00646859">
        <w:rPr>
          <w:color w:val="FFFFFF"/>
        </w:rPr>
        <w:fldChar w:fldCharType="separate"/>
      </w:r>
      <w:r w:rsidR="003361A8">
        <w:rPr>
          <w:b/>
          <w:bCs/>
          <w:color w:val="FFFFFF"/>
          <w:lang w:val="en-US"/>
        </w:rPr>
        <w:t>Error! Reference source not found.</w:t>
      </w:r>
      <w:r w:rsidR="00086C77" w:rsidRPr="00646859">
        <w:rPr>
          <w:color w:val="FFFFFF"/>
        </w:rPr>
        <w:fldChar w:fldCharType="end"/>
      </w:r>
      <w:r w:rsidRPr="00646859">
        <w:rPr>
          <w:color w:val="FFFFFF"/>
        </w:rPr>
        <w:t>).   The disease progression module simulates the natural history of cervical cancer, from HPV infection, progression to cervical lesion and finally progression to cervical cancer (</w:t>
      </w:r>
      <w:r w:rsidR="00086C77" w:rsidRPr="00646859">
        <w:rPr>
          <w:color w:val="FFFFFF"/>
        </w:rPr>
        <w:fldChar w:fldCharType="begin"/>
      </w:r>
      <w:r w:rsidRPr="00646859">
        <w:rPr>
          <w:color w:val="FFFFFF"/>
        </w:rPr>
        <w:instrText xml:space="preserve"> REF _Ref336595051 \h </w:instrText>
      </w:r>
      <w:r w:rsidR="009E678D" w:rsidRPr="00646859">
        <w:rPr>
          <w:color w:val="FFFFFF"/>
        </w:rPr>
        <w:instrText xml:space="preserve"> \* MERGEFORMAT </w:instrText>
      </w:r>
      <w:r w:rsidR="00086C77" w:rsidRPr="00646859">
        <w:rPr>
          <w:color w:val="FFFFFF"/>
        </w:rPr>
        <w:fldChar w:fldCharType="separate"/>
      </w:r>
      <w:r w:rsidR="003361A8">
        <w:rPr>
          <w:b/>
          <w:bCs/>
          <w:color w:val="FFFFFF"/>
          <w:lang w:val="en-US"/>
        </w:rPr>
        <w:t>Error! Reference source not found.</w:t>
      </w:r>
      <w:r w:rsidR="00086C77" w:rsidRPr="00646859">
        <w:rPr>
          <w:color w:val="FFFFFF"/>
        </w:rPr>
        <w:fldChar w:fldCharType="end"/>
      </w:r>
      <w:r w:rsidRPr="00646859">
        <w:rPr>
          <w:color w:val="FFFFFF"/>
        </w:rPr>
        <w:t xml:space="preserve">).  The screening module then predicts how different screening strategies and screening </w:t>
      </w:r>
    </w:p>
    <w:p w:rsidR="00BA1D8B" w:rsidRDefault="00BA1D8B" w:rsidP="00C5321C">
      <w:pPr>
        <w:pStyle w:val="Heading1"/>
        <w:sectPr w:rsidR="00BA1D8B" w:rsidSect="008846BA">
          <w:headerReference w:type="default" r:id="rId45"/>
          <w:footerReference w:type="default" r:id="rId46"/>
          <w:pgSz w:w="11907" w:h="16840" w:code="9"/>
          <w:pgMar w:top="1418" w:right="1418" w:bottom="1701" w:left="1814" w:header="720" w:footer="720" w:gutter="0"/>
          <w:paperSrc w:first="7" w:other="7"/>
          <w:cols w:space="720"/>
          <w:noEndnote/>
          <w:docGrid w:linePitch="299"/>
        </w:sectPr>
      </w:pPr>
      <w:bookmarkStart w:id="562" w:name="_Toc191199101"/>
      <w:bookmarkStart w:id="563" w:name="_Toc191822185"/>
      <w:bookmarkStart w:id="564" w:name="_Toc191822235"/>
      <w:bookmarkStart w:id="565" w:name="_Toc191822285"/>
      <w:bookmarkStart w:id="566" w:name="_Toc258501802"/>
      <w:bookmarkStart w:id="567" w:name="_Toc273301512"/>
      <w:bookmarkStart w:id="568" w:name="_Toc334430219"/>
      <w:bookmarkStart w:id="569" w:name="_Toc337546922"/>
    </w:p>
    <w:p w:rsidR="00C5321C" w:rsidRDefault="00C5321C" w:rsidP="00C5321C">
      <w:pPr>
        <w:pStyle w:val="Heading1"/>
      </w:pPr>
      <w:r>
        <w:lastRenderedPageBreak/>
        <w:t>E.</w:t>
      </w:r>
      <w:r>
        <w:tab/>
        <w:t>Estimated extent of use and financial implications</w:t>
      </w:r>
      <w:bookmarkEnd w:id="562"/>
      <w:bookmarkEnd w:id="563"/>
      <w:bookmarkEnd w:id="564"/>
      <w:bookmarkEnd w:id="565"/>
      <w:bookmarkEnd w:id="566"/>
      <w:bookmarkEnd w:id="567"/>
      <w:bookmarkEnd w:id="568"/>
      <w:bookmarkEnd w:id="569"/>
    </w:p>
    <w:p w:rsidR="00C5321C" w:rsidRDefault="00C5321C" w:rsidP="00C5321C">
      <w:r>
        <w:t>Bec</w:t>
      </w:r>
      <w:r w:rsidRPr="00902506">
        <w:t>ton Dickinson</w:t>
      </w:r>
      <w:r>
        <w:t xml:space="preserve"> expects that the listing of </w:t>
      </w:r>
      <w:r w:rsidR="00FC15E5">
        <w:t>cell enrichment</w:t>
      </w:r>
      <w:r w:rsidRPr="00902506">
        <w:t xml:space="preserve"> LBC </w:t>
      </w:r>
      <w:r>
        <w:t xml:space="preserve">for </w:t>
      </w:r>
      <w:r w:rsidRPr="00902506">
        <w:t>routine screening for the prevention of cervical cance</w:t>
      </w:r>
      <w:r>
        <w:t>r will be cost saving to the MBS. This reflects the reduction in the number of unsatisfactory smear</w:t>
      </w:r>
      <w:r w:rsidR="00B27C9E">
        <w:t>s</w:t>
      </w:r>
      <w:r>
        <w:t xml:space="preserve"> offered by </w:t>
      </w:r>
      <w:r w:rsidR="00FC15E5">
        <w:t>cell enrichment</w:t>
      </w:r>
      <w:r w:rsidR="00FC15E5" w:rsidRPr="00902506">
        <w:t xml:space="preserve"> LBC</w:t>
      </w:r>
      <w:r>
        <w:t xml:space="preserve">. Furthermore, the practice of split sampling (Pap smear test using conventional as well as LBC techniques) will be </w:t>
      </w:r>
      <w:r w:rsidR="00673EC8">
        <w:t xml:space="preserve">substantially reduced (or </w:t>
      </w:r>
      <w:r>
        <w:t>eliminated</w:t>
      </w:r>
      <w:r w:rsidR="00673EC8">
        <w:t>)</w:t>
      </w:r>
      <w:r>
        <w:t>, thereby</w:t>
      </w:r>
      <w:r w:rsidR="00B27C9E">
        <w:t xml:space="preserve"> producing cost savings in out-</w:t>
      </w:r>
      <w:r>
        <w:t xml:space="preserve">of-pocket payments (currently affecting </w:t>
      </w:r>
      <w:r w:rsidR="00673EC8">
        <w:t>18</w:t>
      </w:r>
      <w:r>
        <w:t xml:space="preserve">% of all women receiving </w:t>
      </w:r>
      <w:r w:rsidR="00673EC8">
        <w:t xml:space="preserve">MBS funded cytology tests). </w:t>
      </w:r>
    </w:p>
    <w:p w:rsidR="00673EC8" w:rsidRDefault="00673EC8" w:rsidP="00673EC8">
      <w:r>
        <w:t xml:space="preserve">The National Cervical Cancer Screening Program is currently under review in a process known as ‘The Renewal’. The recommendations of The Renewal regarding screening technologies and or the screening interval </w:t>
      </w:r>
      <w:r w:rsidR="00FC15E5">
        <w:t xml:space="preserve">are likely to </w:t>
      </w:r>
      <w:r>
        <w:t>have a significant impact on Pap test numbers regardless of type of Pap test i.e. conventional or LBC. The Renewal recommendations and timing for implementation are currently unknown</w:t>
      </w:r>
      <w:r w:rsidR="00B27C9E">
        <w:t>,</w:t>
      </w:r>
      <w:r>
        <w:t xml:space="preserve"> however. </w:t>
      </w:r>
      <w:r w:rsidR="00FC15E5">
        <w:t>T</w:t>
      </w:r>
      <w:r>
        <w:t xml:space="preserve">here is no proposed change in </w:t>
      </w:r>
      <w:r w:rsidR="00904BDF">
        <w:t xml:space="preserve">screening </w:t>
      </w:r>
      <w:r>
        <w:t>pathway</w:t>
      </w:r>
      <w:r w:rsidR="00904BDF">
        <w:t>s</w:t>
      </w:r>
      <w:r>
        <w:t xml:space="preserve"> by which the total number of Pap tests would increase. There is potential for a significant reduction in number of total Pap tests due to: amended age recommendations for commencement and cessation of screening tests; an increase in the recommended screening interval from 2 to 3 years; the introduction of an element of HPV testing within the screening pathways.</w:t>
      </w:r>
    </w:p>
    <w:p w:rsidR="00673EC8" w:rsidRDefault="00673EC8" w:rsidP="00673EC8">
      <w:r>
        <w:t>The suggested impacts presented below assume no change to the National Cervical Screening Guidelines. These comments are presented to illustrate the potential impact of MBS listing of cell enrichment LBC under current conditions whilst recognising that DoHA decision making will ultimately determine the extent of use and hence financial impact.</w:t>
      </w:r>
    </w:p>
    <w:p w:rsidR="00C5321C" w:rsidRDefault="00C5321C" w:rsidP="00C5321C">
      <w:r>
        <w:t xml:space="preserve">As set out in Section A, conventional Pap smear tests are currently available on the MBS. The proposed listing will offer an alternative to </w:t>
      </w:r>
      <w:r w:rsidR="00673EC8">
        <w:t xml:space="preserve">the </w:t>
      </w:r>
      <w:r>
        <w:t>conventional test, and these tests are not complementary to each other under the proposed listin</w:t>
      </w:r>
      <w:r w:rsidR="00B27C9E">
        <w:t>g. This means that</w:t>
      </w:r>
      <w:r>
        <w:t xml:space="preserve"> given the cost-minimising benefit amount requested for </w:t>
      </w:r>
      <w:r w:rsidR="00FC15E5">
        <w:t>cell enrichment</w:t>
      </w:r>
      <w:r w:rsidR="00FC15E5" w:rsidRPr="00902506">
        <w:t xml:space="preserve"> LBC </w:t>
      </w:r>
      <w:r>
        <w:t xml:space="preserve">in this submission, any use of </w:t>
      </w:r>
      <w:r w:rsidR="00FC15E5">
        <w:t>cell enrichment</w:t>
      </w:r>
      <w:r w:rsidR="00FC15E5" w:rsidRPr="00902506">
        <w:t xml:space="preserve"> LBC</w:t>
      </w:r>
      <w:r>
        <w:t xml:space="preserve"> on the MBS will be accompanied by substitution effect away from the use of conventional cytology existing listing, thereby generating cost savings to the MBS and thus offsetting the costs of </w:t>
      </w:r>
      <w:r w:rsidR="00FC15E5">
        <w:t>cell enrichment</w:t>
      </w:r>
      <w:r w:rsidR="00FC15E5" w:rsidRPr="00902506">
        <w:t xml:space="preserve"> LBC</w:t>
      </w:r>
      <w:r>
        <w:t xml:space="preserve">. </w:t>
      </w:r>
    </w:p>
    <w:p w:rsidR="00C5321C" w:rsidRDefault="00B27C9E" w:rsidP="00C5321C">
      <w:r>
        <w:t>Given this</w:t>
      </w:r>
      <w:r w:rsidR="00C5321C">
        <w:t xml:space="preserve">, a market share approach is considered </w:t>
      </w:r>
      <w:r>
        <w:t xml:space="preserve">to be </w:t>
      </w:r>
      <w:r w:rsidR="00C5321C">
        <w:t xml:space="preserve">more appropriate than an epidemiological approach, whereby the available MBS statistics for conventional cytology tests are used to inform the likely extent of </w:t>
      </w:r>
      <w:r w:rsidR="00FC15E5">
        <w:t>cell enrichment</w:t>
      </w:r>
      <w:r w:rsidR="00FC15E5" w:rsidRPr="00902506">
        <w:t xml:space="preserve"> LBC </w:t>
      </w:r>
      <w:r w:rsidR="00C5321C">
        <w:t xml:space="preserve">use on the MBS. </w:t>
      </w:r>
    </w:p>
    <w:p w:rsidR="00C5321C" w:rsidRDefault="00C5321C" w:rsidP="00C5321C">
      <w:r>
        <w:lastRenderedPageBreak/>
        <w:t xml:space="preserve">Consideration is paid to difference in the re-test rate between </w:t>
      </w:r>
      <w:r w:rsidR="00FC15E5">
        <w:t>cell enrichment</w:t>
      </w:r>
      <w:r w:rsidR="00FC15E5" w:rsidRPr="00902506">
        <w:t xml:space="preserve"> LBC </w:t>
      </w:r>
      <w:r>
        <w:t xml:space="preserve">and conventional cytology test </w:t>
      </w:r>
      <w:r w:rsidRPr="004D3223">
        <w:t>due to unsatisfactory smear</w:t>
      </w:r>
      <w:r>
        <w:t xml:space="preserve">s and the follow up of low grade abnormalities. When compared with conventional cytology, </w:t>
      </w:r>
      <w:r w:rsidR="00FC15E5">
        <w:t>cell enrichment</w:t>
      </w:r>
      <w:r w:rsidR="00FC15E5" w:rsidRPr="00902506">
        <w:t xml:space="preserve"> LBC </w:t>
      </w:r>
      <w:r>
        <w:t>has been shown to reduce</w:t>
      </w:r>
      <w:r w:rsidRPr="004D3223">
        <w:t xml:space="preserve"> </w:t>
      </w:r>
      <w:r>
        <w:t xml:space="preserve">unsatisfactory smear collection, thereby reducing the need for re-tests and as a result offering cost savings to the MBS. </w:t>
      </w:r>
      <w:proofErr w:type="gramStart"/>
      <w:r w:rsidR="00FC15E5">
        <w:t>cell</w:t>
      </w:r>
      <w:proofErr w:type="gramEnd"/>
      <w:r w:rsidR="00FC15E5">
        <w:t xml:space="preserve"> enrichment</w:t>
      </w:r>
      <w:r w:rsidR="00FC15E5" w:rsidRPr="00902506">
        <w:t xml:space="preserve"> LBC </w:t>
      </w:r>
      <w:r>
        <w:t>is shown to have a higher sensitivity for possible low-grade squamous intraepithelial lesion</w:t>
      </w:r>
      <w:r w:rsidR="00B27C9E">
        <w:t>s</w:t>
      </w:r>
      <w:r>
        <w:t xml:space="preserve"> (pLSIL) when compared with conventional cytology. This means that a greater proportion of women tested with </w:t>
      </w:r>
      <w:r w:rsidR="006702EA">
        <w:t>cell enrichment</w:t>
      </w:r>
      <w:r>
        <w:t xml:space="preserve"> LBC require a follow-up test. The costs associated with these follow-up tests are also considered in this analysis. </w:t>
      </w:r>
    </w:p>
    <w:p w:rsidR="00C5321C" w:rsidRDefault="00C5321C" w:rsidP="00C5321C">
      <w:r>
        <w:t xml:space="preserve">Section E.1 describes data sources that are selected to inform the current analysis. Section E.2 estimates the likely extent of use for </w:t>
      </w:r>
      <w:r w:rsidR="00FC15E5">
        <w:t>cell enrichment</w:t>
      </w:r>
      <w:r w:rsidR="00FC15E5" w:rsidRPr="00902506">
        <w:t xml:space="preserve"> LBC </w:t>
      </w:r>
      <w:r>
        <w:t>and conventional cytology over the next five years. T</w:t>
      </w:r>
      <w:r w:rsidRPr="004D3223">
        <w:t xml:space="preserve">he projected use </w:t>
      </w:r>
      <w:r w:rsidRPr="00FC597D">
        <w:t xml:space="preserve">of conventional Pap smears for routine screening is determined on the basis of available historical utilisation data (see Section E.2.1 and Section E.2.2). The likely rate of uptake for </w:t>
      </w:r>
      <w:r w:rsidR="00FC15E5">
        <w:t>cell enrichment</w:t>
      </w:r>
      <w:r w:rsidR="00FC15E5" w:rsidRPr="00902506">
        <w:t xml:space="preserve"> LBC </w:t>
      </w:r>
      <w:r w:rsidRPr="00FC597D">
        <w:t>is then applied to the projected</w:t>
      </w:r>
      <w:r w:rsidR="001B4A68">
        <w:t xml:space="preserve"> use of conventional cytology. </w:t>
      </w:r>
      <w:r w:rsidRPr="00FC597D">
        <w:t xml:space="preserve">Again, this assumes that the use of </w:t>
      </w:r>
      <w:r w:rsidR="00FC15E5">
        <w:t>cell enrichment</w:t>
      </w:r>
      <w:r w:rsidR="00FC15E5" w:rsidRPr="00902506">
        <w:t xml:space="preserve"> LBC </w:t>
      </w:r>
      <w:r w:rsidRPr="00FC597D">
        <w:t>on the MBS will be attributable to substitution away from conventional tests and its listing will not result in expansion of the overall usage volume of cytology tests for screening purpose on the MBS. Potential impacts of follow-up tests arising from unsatisfactory test and pLSIL positive result are also examined and their implications on the overall usage are estimated (see Section E.2.3). Section E.2.4 will then quantify the financial implications associated with the expected usage. Section E.</w:t>
      </w:r>
      <w:r>
        <w:t xml:space="preserve">3 determines the level of cost savings associated with the substitution effects with conventional cytology tests (to </w:t>
      </w:r>
      <w:r w:rsidR="00FC15E5">
        <w:t>cell enrichment</w:t>
      </w:r>
      <w:r w:rsidR="00FC15E5" w:rsidRPr="00902506">
        <w:t xml:space="preserve"> LBC</w:t>
      </w:r>
      <w:r>
        <w:t>). F</w:t>
      </w:r>
      <w:r w:rsidRPr="004D3223">
        <w:t>inally, the net financial implications of the proposed</w:t>
      </w:r>
      <w:r>
        <w:t xml:space="preserve"> </w:t>
      </w:r>
      <w:r w:rsidR="00FC15E5">
        <w:t>cell enrichment</w:t>
      </w:r>
      <w:r w:rsidR="00FC15E5" w:rsidRPr="00902506">
        <w:t xml:space="preserve"> LBC</w:t>
      </w:r>
      <w:r w:rsidRPr="004D3223">
        <w:t xml:space="preserve"> list</w:t>
      </w:r>
      <w:r>
        <w:t>ing are determined in Section E.5</w:t>
      </w:r>
      <w:r w:rsidR="00F37F7A">
        <w:t>.</w:t>
      </w:r>
      <w:r w:rsidR="00D31AAB">
        <w:t xml:space="preserve"> Electronic </w:t>
      </w:r>
      <w:r w:rsidR="001A3CFB">
        <w:t>spread sheets</w:t>
      </w:r>
      <w:r w:rsidR="00D31AAB">
        <w:t xml:space="preserve"> with calculations contained in sectio</w:t>
      </w:r>
      <w:r w:rsidR="000D172A">
        <w:t>n E are provided in Attachment 7</w:t>
      </w:r>
      <w:r w:rsidR="00D31AAB">
        <w:t xml:space="preserve">. </w:t>
      </w:r>
    </w:p>
    <w:p w:rsidR="00C5321C" w:rsidRPr="001B4A68" w:rsidRDefault="00C5321C" w:rsidP="001B4A68">
      <w:pPr>
        <w:pStyle w:val="Heading20"/>
      </w:pPr>
      <w:bookmarkStart w:id="570" w:name="_Toc334430220"/>
      <w:bookmarkStart w:id="571" w:name="_Toc337546923"/>
      <w:r w:rsidRPr="001B4A68">
        <w:t>E.1</w:t>
      </w:r>
      <w:r w:rsidRPr="001B4A68">
        <w:tab/>
      </w:r>
      <w:r w:rsidR="001B4A68">
        <w:t>J</w:t>
      </w:r>
      <w:r w:rsidR="001B4A68" w:rsidRPr="001B4A68">
        <w:t>ustification of the selection of sources of data</w:t>
      </w:r>
      <w:bookmarkEnd w:id="570"/>
      <w:bookmarkEnd w:id="571"/>
    </w:p>
    <w:p w:rsidR="00C5321C" w:rsidRDefault="00C5321C" w:rsidP="00C5321C">
      <w:r>
        <w:t xml:space="preserve">A market share approach is taken to estimate the likely extent of </w:t>
      </w:r>
      <w:r w:rsidR="00FC15E5">
        <w:t>cell enrichment</w:t>
      </w:r>
      <w:r w:rsidR="00FC15E5" w:rsidRPr="00902506">
        <w:t xml:space="preserve"> LBC</w:t>
      </w:r>
      <w:r>
        <w:t xml:space="preserve"> use </w:t>
      </w:r>
      <w:r w:rsidRPr="00EC7902">
        <w:t>for routine screening for the prevention of cervical cancer</w:t>
      </w:r>
      <w:r>
        <w:t xml:space="preserve">.  </w:t>
      </w:r>
      <w:r w:rsidR="00086C77">
        <w:fldChar w:fldCharType="begin"/>
      </w:r>
      <w:r>
        <w:instrText xml:space="preserve"> REF _Ref334430832 \h </w:instrText>
      </w:r>
      <w:r w:rsidR="00086C77">
        <w:fldChar w:fldCharType="separate"/>
      </w:r>
      <w:r w:rsidR="003361A8" w:rsidRPr="00B21043">
        <w:t xml:space="preserve">Table </w:t>
      </w:r>
      <w:r w:rsidR="003361A8">
        <w:rPr>
          <w:noProof/>
        </w:rPr>
        <w:t>85</w:t>
      </w:r>
      <w:r w:rsidR="00086C77">
        <w:fldChar w:fldCharType="end"/>
      </w:r>
      <w:r w:rsidR="00F37F7A">
        <w:t xml:space="preserve"> details MBS-listed conventional Pap </w:t>
      </w:r>
      <w:r>
        <w:t>tests for cervical cancer screening.</w:t>
      </w:r>
    </w:p>
    <w:p w:rsidR="00C5321C" w:rsidRPr="00B21043" w:rsidRDefault="00C5321C" w:rsidP="00B21043">
      <w:pPr>
        <w:pStyle w:val="Caption"/>
      </w:pPr>
      <w:bookmarkStart w:id="572" w:name="_Ref334430832"/>
      <w:bookmarkStart w:id="573" w:name="_Toc335666058"/>
      <w:bookmarkStart w:id="574" w:name="_Toc337547025"/>
      <w:r w:rsidRPr="00B21043">
        <w:lastRenderedPageBreak/>
        <w:t xml:space="preserve">Table </w:t>
      </w:r>
      <w:fldSimple w:instr=" SEQ Table \* ARABIC ">
        <w:r w:rsidR="003361A8">
          <w:rPr>
            <w:noProof/>
          </w:rPr>
          <w:t>85</w:t>
        </w:r>
      </w:fldSimple>
      <w:bookmarkEnd w:id="572"/>
      <w:r w:rsidR="00B21043">
        <w:tab/>
      </w:r>
      <w:r w:rsidRPr="00B21043">
        <w:t>Conventional Pap smear cytology tests currently available on the MBS</w:t>
      </w:r>
      <w:bookmarkEnd w:id="573"/>
      <w:bookmarkEnd w:id="57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91"/>
      </w:tblGrid>
      <w:tr w:rsidR="00C5321C" w:rsidRPr="00B21043" w:rsidTr="00791EC7">
        <w:trPr>
          <w:trHeight w:val="169"/>
        </w:trPr>
        <w:tc>
          <w:tcPr>
            <w:tcW w:w="8891" w:type="dxa"/>
            <w:shd w:val="clear" w:color="auto" w:fill="auto"/>
          </w:tcPr>
          <w:p w:rsidR="00C5321C" w:rsidRPr="00B21043" w:rsidRDefault="00C5321C" w:rsidP="00791EC7">
            <w:pPr>
              <w:pStyle w:val="Tabletext"/>
              <w:rPr>
                <w:b/>
              </w:rPr>
            </w:pPr>
            <w:r w:rsidRPr="00B21043">
              <w:rPr>
                <w:b/>
              </w:rPr>
              <w:t>Category 6– Pathology Services (Cytology)</w:t>
            </w:r>
          </w:p>
        </w:tc>
      </w:tr>
      <w:tr w:rsidR="00C5321C" w:rsidTr="00791EC7">
        <w:tc>
          <w:tcPr>
            <w:tcW w:w="8891" w:type="dxa"/>
            <w:shd w:val="clear" w:color="auto" w:fill="auto"/>
          </w:tcPr>
          <w:p w:rsidR="00C5321C" w:rsidRDefault="00C5321C" w:rsidP="00791EC7">
            <w:pPr>
              <w:pStyle w:val="Tabletext"/>
            </w:pPr>
            <w:r>
              <w:t>MBS 73053</w:t>
            </w:r>
          </w:p>
          <w:p w:rsidR="00C5321C" w:rsidRDefault="00C5321C" w:rsidP="00791EC7">
            <w:pPr>
              <w:pStyle w:val="Tabletext"/>
            </w:pPr>
            <w:r>
              <w:t>Cytology of a smear from cervix where the smear is prepared by direct application of the specimen to a slide, excluding the use of liquid-based slide preparation techniques, and the stained smear is microscopically examined by or on behalf of a pathologist - each examination</w:t>
            </w:r>
          </w:p>
          <w:p w:rsidR="00C5321C" w:rsidRDefault="00C5321C" w:rsidP="00791EC7">
            <w:pPr>
              <w:pStyle w:val="Tabletext"/>
            </w:pPr>
            <w:r>
              <w:t>(a) for the detection of precancerous or cancerous changes in women with no symptoms, signs or recent history suggestive of cervical neoplasia, or</w:t>
            </w:r>
          </w:p>
          <w:p w:rsidR="00C5321C" w:rsidRDefault="00C5321C" w:rsidP="00791EC7">
            <w:pPr>
              <w:pStyle w:val="Tabletext"/>
            </w:pPr>
            <w:r>
              <w:t>(b) if a further specimen is taken due to an unsatisfactory smear taken for the purposes of paragraph (a); or</w:t>
            </w:r>
          </w:p>
          <w:p w:rsidR="00C5321C" w:rsidRDefault="00C5321C" w:rsidP="00791EC7">
            <w:pPr>
              <w:pStyle w:val="Tabletext"/>
            </w:pPr>
            <w:r>
              <w:t>(c) if there is inadequate information provided to use item 73055;</w:t>
            </w:r>
          </w:p>
          <w:p w:rsidR="00C5321C" w:rsidRDefault="00C5321C" w:rsidP="00791EC7">
            <w:pPr>
              <w:pStyle w:val="Tabletext"/>
            </w:pPr>
            <w:r>
              <w:t>(See para P16.11 of explanatory notes to this Category)</w:t>
            </w:r>
          </w:p>
          <w:p w:rsidR="00C5321C" w:rsidRDefault="00C5321C" w:rsidP="00791EC7">
            <w:pPr>
              <w:pStyle w:val="Tabletext"/>
            </w:pPr>
            <w:r>
              <w:t>Fee: $19.60 Benefit: 75%</w:t>
            </w:r>
            <w:r w:rsidR="005E0D57">
              <w:t>=</w:t>
            </w:r>
            <w:r>
              <w:t>$14.70 85%</w:t>
            </w:r>
            <w:r w:rsidR="005E0D57">
              <w:t>=</w:t>
            </w:r>
            <w:r>
              <w:t>$16.70</w:t>
            </w:r>
          </w:p>
        </w:tc>
      </w:tr>
      <w:tr w:rsidR="00C5321C" w:rsidTr="00791EC7">
        <w:tc>
          <w:tcPr>
            <w:tcW w:w="8891" w:type="dxa"/>
            <w:shd w:val="clear" w:color="auto" w:fill="auto"/>
          </w:tcPr>
          <w:p w:rsidR="00C5321C" w:rsidRDefault="00C5321C" w:rsidP="00791EC7">
            <w:pPr>
              <w:pStyle w:val="Tabletext"/>
            </w:pPr>
            <w:r>
              <w:t>MBS 73055</w:t>
            </w:r>
          </w:p>
          <w:p w:rsidR="00C5321C" w:rsidRDefault="00C5321C" w:rsidP="00791EC7">
            <w:pPr>
              <w:pStyle w:val="Tabletext"/>
            </w:pPr>
            <w:r>
              <w:t>Cytology of a smear from cervix, not associated with item 73053, where the smear is prepared by direct application of the specimen to a slide, excluding the use of liquid-based slide preparation techniques, and the stained smear is microscopically examined by or on behalf of a pathologist - each test</w:t>
            </w:r>
          </w:p>
          <w:p w:rsidR="00C5321C" w:rsidRDefault="00C5321C" w:rsidP="00791EC7">
            <w:pPr>
              <w:pStyle w:val="Tabletext"/>
            </w:pPr>
            <w:r>
              <w:t>(a) for the management of previously detected abnormalities including precancerous or cancerous conditions; or</w:t>
            </w:r>
          </w:p>
          <w:p w:rsidR="00C5321C" w:rsidRDefault="00C5321C" w:rsidP="00791EC7">
            <w:pPr>
              <w:pStyle w:val="Tabletext"/>
            </w:pPr>
            <w:r>
              <w:t>(b) for the investigation of women with symptoms, signs or recent history suggestive of cervical neoplasia;</w:t>
            </w:r>
          </w:p>
          <w:p w:rsidR="00C5321C" w:rsidRDefault="00C5321C" w:rsidP="00791EC7">
            <w:pPr>
              <w:pStyle w:val="Tabletext"/>
            </w:pPr>
            <w:r>
              <w:t>(see para 16.11 of explanatory notes to this Category)</w:t>
            </w:r>
          </w:p>
          <w:p w:rsidR="00C5321C" w:rsidRDefault="00C5321C" w:rsidP="00791EC7">
            <w:pPr>
              <w:pStyle w:val="Tabletext"/>
            </w:pPr>
            <w:r>
              <w:t>(See para P16.11 of explanatory notes to this Category)</w:t>
            </w:r>
          </w:p>
          <w:p w:rsidR="00C5321C" w:rsidRDefault="00C5321C" w:rsidP="00791EC7">
            <w:pPr>
              <w:pStyle w:val="Tabletext"/>
            </w:pPr>
            <w:r>
              <w:t>Fee: $19.60 Benefit: 75%</w:t>
            </w:r>
            <w:r w:rsidR="005E0D57">
              <w:t>=</w:t>
            </w:r>
            <w:r>
              <w:t>$14.70 85%</w:t>
            </w:r>
            <w:r w:rsidR="005E0D57">
              <w:t>=</w:t>
            </w:r>
            <w:r>
              <w:t>$16.70</w:t>
            </w:r>
          </w:p>
        </w:tc>
      </w:tr>
    </w:tbl>
    <w:p w:rsidR="00C5321C" w:rsidRDefault="00C5321C" w:rsidP="00C5321C"/>
    <w:p w:rsidR="00C5321C" w:rsidRDefault="00C5321C" w:rsidP="00C5321C">
      <w:r w:rsidRPr="00673EC8">
        <w:t>The item descriptors for 73053</w:t>
      </w:r>
      <w:r w:rsidR="0090784E">
        <w:t xml:space="preserve"> and</w:t>
      </w:r>
      <w:r w:rsidRPr="00673EC8">
        <w:t xml:space="preserve"> 73055</w:t>
      </w:r>
      <w:r w:rsidR="0090784E">
        <w:t xml:space="preserve"> </w:t>
      </w:r>
      <w:r w:rsidRPr="00673EC8">
        <w:t>suggest that these listings would broadly account for four indications</w:t>
      </w:r>
      <w:r w:rsidR="0090784E">
        <w:t xml:space="preserve"> (Please note that item 73057 is applicable for smears of the vagina but is not included in this analysis because the frequency of repeat tests cannot be disaggregated using MBS item statistics. Item 73057 represents a small propor</w:t>
      </w:r>
      <w:r w:rsidR="00EB7B7A">
        <w:t xml:space="preserve">tion (less than 2%) </w:t>
      </w:r>
      <w:r w:rsidR="0090784E">
        <w:t xml:space="preserve">of the total </w:t>
      </w:r>
      <w:r w:rsidR="00EB7B7A">
        <w:t>MBS services rendered)</w:t>
      </w:r>
      <w:r w:rsidRPr="00673EC8">
        <w:t>:</w:t>
      </w:r>
    </w:p>
    <w:p w:rsidR="00C5321C" w:rsidRDefault="00C5321C" w:rsidP="00B21043">
      <w:pPr>
        <w:pStyle w:val="Bulletedbodytext"/>
      </w:pPr>
      <w:r>
        <w:t>Initial screening test</w:t>
      </w:r>
    </w:p>
    <w:p w:rsidR="00C5321C" w:rsidRDefault="00C5321C" w:rsidP="00B21043">
      <w:pPr>
        <w:pStyle w:val="Bulletedbodytext"/>
      </w:pPr>
      <w:r>
        <w:t xml:space="preserve">Re-test due to previous unsatisfactory smear </w:t>
      </w:r>
    </w:p>
    <w:p w:rsidR="00C5321C" w:rsidRDefault="00C5321C" w:rsidP="00B21043">
      <w:pPr>
        <w:pStyle w:val="Bulletedbodytext"/>
      </w:pPr>
      <w:r>
        <w:t xml:space="preserve">Follow-up test due to previous positive screening test </w:t>
      </w:r>
    </w:p>
    <w:p w:rsidR="00C5321C" w:rsidRDefault="00C5321C" w:rsidP="00B21043">
      <w:pPr>
        <w:pStyle w:val="Bulletedbodytext"/>
      </w:pPr>
      <w:r>
        <w:t>Other foll</w:t>
      </w:r>
      <w:r w:rsidR="00B21043">
        <w:t>ow-up investigative activities.</w:t>
      </w:r>
    </w:p>
    <w:p w:rsidR="00C5321C" w:rsidRDefault="00C5321C" w:rsidP="00C5321C">
      <w:r>
        <w:t>The first two indications are cap</w:t>
      </w:r>
      <w:r w:rsidR="00B27C9E">
        <w:t>tured within Item 73053</w:t>
      </w:r>
      <w:r>
        <w:t xml:space="preserve">. The item descriptor suggests that Item 73053 is used for an initial test and also for re-tests due to unsatisfactory smear from previous test occasion. </w:t>
      </w:r>
    </w:p>
    <w:p w:rsidR="00C5321C" w:rsidRDefault="00C5321C" w:rsidP="00C5321C">
      <w:r w:rsidRPr="007C79AC">
        <w:t>The number o</w:t>
      </w:r>
      <w:r w:rsidR="00B27C9E">
        <w:t>f initial screening tests (i.e.</w:t>
      </w:r>
      <w:r w:rsidRPr="007C79AC">
        <w:t xml:space="preserve"> the first indication) is unlikely to be affected due to the listing of </w:t>
      </w:r>
      <w:r w:rsidR="00FC15E5">
        <w:t>cell enrichment</w:t>
      </w:r>
      <w:r w:rsidR="00FC15E5" w:rsidRPr="00902506">
        <w:t xml:space="preserve"> LBC</w:t>
      </w:r>
      <w:r w:rsidRPr="007C79AC">
        <w:t xml:space="preserve">. However, the evidence presented in Section B suggests that the listing of </w:t>
      </w:r>
      <w:r w:rsidR="00FC15E5">
        <w:t>cell enrichment</w:t>
      </w:r>
      <w:r w:rsidR="00FC15E5" w:rsidRPr="00902506">
        <w:t xml:space="preserve"> LBC </w:t>
      </w:r>
      <w:r w:rsidRPr="007C79AC">
        <w:t>would reduce the number of unsatisfactory smear and thus reduces the needs for re</w:t>
      </w:r>
      <w:r w:rsidR="00195600">
        <w:t>-tests due to this reason (i.e. the second indication</w:t>
      </w:r>
      <w:r w:rsidRPr="007C79AC">
        <w:t xml:space="preserve">) when compared with </w:t>
      </w:r>
      <w:r w:rsidRPr="007C79AC">
        <w:lastRenderedPageBreak/>
        <w:t xml:space="preserve">conventional cytology. The proposed listing would </w:t>
      </w:r>
      <w:r>
        <w:t xml:space="preserve">potentially </w:t>
      </w:r>
      <w:r w:rsidRPr="007C79AC">
        <w:t xml:space="preserve">increase the </w:t>
      </w:r>
      <w:r w:rsidR="00195600">
        <w:t>number of follow-up tests (i.e.</w:t>
      </w:r>
      <w:r w:rsidRPr="007C79AC">
        <w:t xml:space="preserve"> the third indication) because of its higher sensitivity for pL</w:t>
      </w:r>
      <w:r>
        <w:t>SIL</w:t>
      </w:r>
      <w:r w:rsidRPr="007C79AC">
        <w:t xml:space="preserve"> when compared with conventional test, while leaving the use under the fourth indication largely unaffected. These factors are considered in Section E.2.2.</w:t>
      </w:r>
      <w:r>
        <w:t xml:space="preserve"> </w:t>
      </w:r>
    </w:p>
    <w:p w:rsidR="00C5321C" w:rsidRPr="00067DA4" w:rsidRDefault="00C5321C" w:rsidP="00C5321C">
      <w:pPr>
        <w:pStyle w:val="Heading30"/>
      </w:pPr>
      <w:bookmarkStart w:id="575" w:name="_Toc334430221"/>
      <w:bookmarkStart w:id="576" w:name="_Toc337546924"/>
      <w:r>
        <w:t>E.1.1</w:t>
      </w:r>
      <w:r>
        <w:tab/>
        <w:t xml:space="preserve">MBS statistics for </w:t>
      </w:r>
      <w:r w:rsidRPr="00067DA4">
        <w:t>conventional cytology</w:t>
      </w:r>
      <w:bookmarkEnd w:id="575"/>
      <w:bookmarkEnd w:id="576"/>
    </w:p>
    <w:p w:rsidR="00C5321C" w:rsidRDefault="00C5321C" w:rsidP="00C5321C">
      <w:r w:rsidRPr="00A77667">
        <w:t xml:space="preserve">The best available evidence is used to conduct the estimation. </w:t>
      </w:r>
      <w:r w:rsidRPr="00067DA4">
        <w:t>The Medicar</w:t>
      </w:r>
      <w:r w:rsidR="00B21043">
        <w:t>e MBS Item Statistics is a well-</w:t>
      </w:r>
      <w:r w:rsidRPr="00067DA4">
        <w:t xml:space="preserve">accepted source of MBS service utilisation data. Utilisation data are extracted for conventional cytology tests currently available for cervical cancer screening (as shown in </w:t>
      </w:r>
      <w:r w:rsidR="00086C77">
        <w:fldChar w:fldCharType="begin"/>
      </w:r>
      <w:r>
        <w:instrText xml:space="preserve"> REF _Ref334430832 \h </w:instrText>
      </w:r>
      <w:r w:rsidR="00086C77">
        <w:fldChar w:fldCharType="separate"/>
      </w:r>
      <w:r w:rsidR="003361A8" w:rsidRPr="00B21043">
        <w:t xml:space="preserve">Table </w:t>
      </w:r>
      <w:r w:rsidR="003361A8">
        <w:rPr>
          <w:noProof/>
        </w:rPr>
        <w:t>85</w:t>
      </w:r>
      <w:r w:rsidR="00086C77">
        <w:fldChar w:fldCharType="end"/>
      </w:r>
      <w:r w:rsidRPr="00067DA4">
        <w:t>).</w:t>
      </w:r>
      <w:r>
        <w:t xml:space="preserve"> Historical usage over the past two decades is presented in </w:t>
      </w:r>
      <w:r w:rsidR="00086C77">
        <w:fldChar w:fldCharType="begin"/>
      </w:r>
      <w:r>
        <w:instrText xml:space="preserve"> REF _Ref334433336 \h </w:instrText>
      </w:r>
      <w:r w:rsidR="00086C77">
        <w:fldChar w:fldCharType="separate"/>
      </w:r>
      <w:r w:rsidR="003361A8">
        <w:t xml:space="preserve">Figure </w:t>
      </w:r>
      <w:r w:rsidR="003361A8">
        <w:rPr>
          <w:noProof/>
        </w:rPr>
        <w:t>20</w:t>
      </w:r>
      <w:r w:rsidR="00086C77">
        <w:fldChar w:fldCharType="end"/>
      </w:r>
      <w:r>
        <w:t>. It is shown that the use of</w:t>
      </w:r>
      <w:r w:rsidR="00195600">
        <w:t xml:space="preserve"> Item 73053 has been around 1.4 to </w:t>
      </w:r>
      <w:r>
        <w:t>1.5 million with a recent increase in 2011/2012, while the use of Ite</w:t>
      </w:r>
      <w:r w:rsidR="00195600">
        <w:t xml:space="preserve">m 73055 has been around 200,000 to </w:t>
      </w:r>
      <w:r>
        <w:t xml:space="preserve">300,000 with a slightly declining trend in recent years. </w:t>
      </w:r>
      <w:r w:rsidR="00086C77">
        <w:fldChar w:fldCharType="begin"/>
      </w:r>
      <w:r>
        <w:instrText xml:space="preserve"> REF _Ref334433957 \h </w:instrText>
      </w:r>
      <w:r w:rsidR="00086C77">
        <w:fldChar w:fldCharType="separate"/>
      </w:r>
      <w:r w:rsidR="003361A8">
        <w:t xml:space="preserve">Table </w:t>
      </w:r>
      <w:r w:rsidR="003361A8">
        <w:rPr>
          <w:noProof/>
        </w:rPr>
        <w:t>86</w:t>
      </w:r>
      <w:r w:rsidR="00086C77">
        <w:fldChar w:fldCharType="end"/>
      </w:r>
      <w:r w:rsidR="00B21043">
        <w:t xml:space="preserve"> </w:t>
      </w:r>
      <w:r>
        <w:t xml:space="preserve">presents usage data over the recent five years. </w:t>
      </w:r>
    </w:p>
    <w:p w:rsidR="00C5321C" w:rsidRDefault="00CB6A66" w:rsidP="00C5321C">
      <w:r>
        <w:rPr>
          <w:noProof/>
          <w:lang w:eastAsia="en-AU"/>
        </w:rPr>
        <w:drawing>
          <wp:inline distT="0" distB="0" distL="0" distR="0">
            <wp:extent cx="5344160" cy="3200400"/>
            <wp:effectExtent l="0" t="0" r="889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4160" cy="3200400"/>
                    </a:xfrm>
                    <a:prstGeom prst="rect">
                      <a:avLst/>
                    </a:prstGeom>
                    <a:noFill/>
                    <a:ln>
                      <a:noFill/>
                    </a:ln>
                  </pic:spPr>
                </pic:pic>
              </a:graphicData>
            </a:graphic>
          </wp:inline>
        </w:drawing>
      </w:r>
    </w:p>
    <w:p w:rsidR="00C5321C" w:rsidRDefault="00C5321C" w:rsidP="00C5321C">
      <w:pPr>
        <w:pStyle w:val="Caption"/>
      </w:pPr>
      <w:bookmarkStart w:id="577" w:name="_Ref334433336"/>
      <w:bookmarkStart w:id="578" w:name="_Toc337547076"/>
      <w:r>
        <w:t xml:space="preserve">Figure </w:t>
      </w:r>
      <w:fldSimple w:instr=" SEQ Figure \* ARABIC ">
        <w:r w:rsidR="003361A8">
          <w:rPr>
            <w:noProof/>
          </w:rPr>
          <w:t>20</w:t>
        </w:r>
      </w:fldSimple>
      <w:bookmarkEnd w:id="577"/>
      <w:r>
        <w:tab/>
        <w:t>Historical use of conventional cytology tests for cervical cancer screening</w:t>
      </w:r>
      <w:bookmarkEnd w:id="578"/>
    </w:p>
    <w:p w:rsidR="00C5321C" w:rsidRDefault="00C5321C" w:rsidP="00195600">
      <w:pPr>
        <w:pStyle w:val="Tabletext"/>
      </w:pPr>
      <w:r>
        <w:t xml:space="preserve">Source: MBS Item Statistics Reports (financial year data are presented). </w:t>
      </w:r>
      <w:r>
        <w:br/>
        <w:t xml:space="preserve">Abbreviations: unsat, </w:t>
      </w:r>
      <w:r w:rsidR="00195600">
        <w:t>unsatisfactory results</w:t>
      </w:r>
    </w:p>
    <w:p w:rsidR="0090784E" w:rsidRDefault="0090784E" w:rsidP="0090784E"/>
    <w:p w:rsidR="00C5321C" w:rsidRDefault="00C5321C" w:rsidP="00C5321C">
      <w:pPr>
        <w:pStyle w:val="Caption"/>
      </w:pPr>
      <w:bookmarkStart w:id="579" w:name="_Ref334433957"/>
      <w:bookmarkStart w:id="580" w:name="_Toc335666059"/>
      <w:bookmarkStart w:id="581" w:name="_Toc337547026"/>
      <w:r>
        <w:lastRenderedPageBreak/>
        <w:t xml:space="preserve">Table </w:t>
      </w:r>
      <w:fldSimple w:instr=" SEQ Table \* ARABIC ">
        <w:r w:rsidR="003361A8">
          <w:rPr>
            <w:noProof/>
          </w:rPr>
          <w:t>86</w:t>
        </w:r>
      </w:fldSimple>
      <w:bookmarkEnd w:id="579"/>
      <w:r>
        <w:tab/>
        <w:t xml:space="preserve">MBS services for conventional cytology </w:t>
      </w:r>
      <w:r w:rsidRPr="008D7E6F">
        <w:t>of a smear from cervix</w:t>
      </w:r>
      <w:r>
        <w:t xml:space="preserve"> in 2008–2012</w:t>
      </w:r>
      <w:bookmarkEnd w:id="580"/>
      <w:bookmarkEnd w:id="58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1"/>
        <w:gridCol w:w="1482"/>
        <w:gridCol w:w="1482"/>
        <w:gridCol w:w="1482"/>
        <w:gridCol w:w="1482"/>
        <w:gridCol w:w="1482"/>
      </w:tblGrid>
      <w:tr w:rsidR="00C5321C" w:rsidTr="00791EC7">
        <w:tc>
          <w:tcPr>
            <w:tcW w:w="1481" w:type="dxa"/>
            <w:shd w:val="clear" w:color="auto" w:fill="auto"/>
          </w:tcPr>
          <w:p w:rsidR="00C5321C" w:rsidRPr="00B12200" w:rsidRDefault="00C5321C" w:rsidP="00791EC7">
            <w:pPr>
              <w:pStyle w:val="Tabletext"/>
              <w:rPr>
                <w:b/>
              </w:rPr>
            </w:pPr>
            <w:r w:rsidRPr="00B12200">
              <w:rPr>
                <w:b/>
              </w:rPr>
              <w:t>Year</w:t>
            </w:r>
          </w:p>
        </w:tc>
        <w:tc>
          <w:tcPr>
            <w:tcW w:w="1482" w:type="dxa"/>
            <w:shd w:val="clear" w:color="auto" w:fill="auto"/>
          </w:tcPr>
          <w:p w:rsidR="00C5321C" w:rsidRPr="00B12200" w:rsidRDefault="00C5321C" w:rsidP="00791EC7">
            <w:pPr>
              <w:pStyle w:val="Tabletext"/>
              <w:jc w:val="center"/>
              <w:rPr>
                <w:b/>
              </w:rPr>
            </w:pPr>
            <w:r w:rsidRPr="00B12200">
              <w:rPr>
                <w:b/>
              </w:rPr>
              <w:t>2008</w:t>
            </w:r>
          </w:p>
        </w:tc>
        <w:tc>
          <w:tcPr>
            <w:tcW w:w="1482" w:type="dxa"/>
            <w:shd w:val="clear" w:color="auto" w:fill="auto"/>
          </w:tcPr>
          <w:p w:rsidR="00C5321C" w:rsidRPr="00B12200" w:rsidRDefault="00C5321C" w:rsidP="00791EC7">
            <w:pPr>
              <w:pStyle w:val="Tabletext"/>
              <w:jc w:val="center"/>
              <w:rPr>
                <w:b/>
              </w:rPr>
            </w:pPr>
            <w:r w:rsidRPr="00B12200">
              <w:rPr>
                <w:b/>
              </w:rPr>
              <w:t>2009</w:t>
            </w:r>
          </w:p>
        </w:tc>
        <w:tc>
          <w:tcPr>
            <w:tcW w:w="1482" w:type="dxa"/>
            <w:shd w:val="clear" w:color="auto" w:fill="auto"/>
          </w:tcPr>
          <w:p w:rsidR="00C5321C" w:rsidRPr="00B12200" w:rsidRDefault="00C5321C" w:rsidP="00791EC7">
            <w:pPr>
              <w:pStyle w:val="Tabletext"/>
              <w:jc w:val="center"/>
              <w:rPr>
                <w:b/>
              </w:rPr>
            </w:pPr>
            <w:r w:rsidRPr="00B12200">
              <w:rPr>
                <w:b/>
              </w:rPr>
              <w:t>2010</w:t>
            </w:r>
          </w:p>
        </w:tc>
        <w:tc>
          <w:tcPr>
            <w:tcW w:w="1482" w:type="dxa"/>
            <w:shd w:val="clear" w:color="auto" w:fill="auto"/>
          </w:tcPr>
          <w:p w:rsidR="00C5321C" w:rsidRPr="00B12200" w:rsidRDefault="00C5321C" w:rsidP="00791EC7">
            <w:pPr>
              <w:pStyle w:val="Tabletext"/>
              <w:jc w:val="center"/>
              <w:rPr>
                <w:b/>
              </w:rPr>
            </w:pPr>
            <w:r w:rsidRPr="00B12200">
              <w:rPr>
                <w:b/>
              </w:rPr>
              <w:t>2011</w:t>
            </w:r>
          </w:p>
        </w:tc>
        <w:tc>
          <w:tcPr>
            <w:tcW w:w="1482" w:type="dxa"/>
            <w:shd w:val="clear" w:color="auto" w:fill="auto"/>
          </w:tcPr>
          <w:p w:rsidR="00C5321C" w:rsidRPr="00B12200" w:rsidRDefault="00C5321C" w:rsidP="00791EC7">
            <w:pPr>
              <w:pStyle w:val="Tabletext"/>
              <w:jc w:val="center"/>
              <w:rPr>
                <w:b/>
              </w:rPr>
            </w:pPr>
            <w:r w:rsidRPr="00B12200">
              <w:rPr>
                <w:b/>
              </w:rPr>
              <w:t>2012</w:t>
            </w:r>
          </w:p>
        </w:tc>
      </w:tr>
      <w:tr w:rsidR="00C5321C" w:rsidTr="00791EC7">
        <w:tc>
          <w:tcPr>
            <w:tcW w:w="1481" w:type="dxa"/>
            <w:shd w:val="clear" w:color="auto" w:fill="auto"/>
          </w:tcPr>
          <w:p w:rsidR="00C5321C" w:rsidRPr="00183BBB" w:rsidRDefault="00C5321C" w:rsidP="00791EC7">
            <w:pPr>
              <w:pStyle w:val="Tabletext"/>
            </w:pPr>
            <w:r w:rsidRPr="00183BBB">
              <w:t>73053</w:t>
            </w:r>
          </w:p>
        </w:tc>
        <w:tc>
          <w:tcPr>
            <w:tcW w:w="1482" w:type="dxa"/>
            <w:shd w:val="clear" w:color="auto" w:fill="auto"/>
          </w:tcPr>
          <w:p w:rsidR="00C5321C" w:rsidRPr="005F09B0" w:rsidRDefault="00C5321C" w:rsidP="00791EC7">
            <w:pPr>
              <w:pStyle w:val="Tabletext"/>
              <w:jc w:val="center"/>
            </w:pPr>
            <w:r w:rsidRPr="005F09B0">
              <w:t>1,409,404</w:t>
            </w:r>
          </w:p>
        </w:tc>
        <w:tc>
          <w:tcPr>
            <w:tcW w:w="1482" w:type="dxa"/>
            <w:shd w:val="clear" w:color="auto" w:fill="auto"/>
          </w:tcPr>
          <w:p w:rsidR="00C5321C" w:rsidRPr="005F09B0" w:rsidRDefault="00C5321C" w:rsidP="00791EC7">
            <w:pPr>
              <w:pStyle w:val="Tabletext"/>
              <w:jc w:val="center"/>
            </w:pPr>
            <w:r w:rsidRPr="005F09B0">
              <w:t>1,419,216</w:t>
            </w:r>
          </w:p>
        </w:tc>
        <w:tc>
          <w:tcPr>
            <w:tcW w:w="1482" w:type="dxa"/>
            <w:shd w:val="clear" w:color="auto" w:fill="auto"/>
          </w:tcPr>
          <w:p w:rsidR="00C5321C" w:rsidRPr="005F09B0" w:rsidRDefault="00C5321C" w:rsidP="00791EC7">
            <w:pPr>
              <w:pStyle w:val="Tabletext"/>
              <w:jc w:val="center"/>
            </w:pPr>
            <w:r w:rsidRPr="005F09B0">
              <w:t>1,421,936</w:t>
            </w:r>
          </w:p>
        </w:tc>
        <w:tc>
          <w:tcPr>
            <w:tcW w:w="1482" w:type="dxa"/>
            <w:shd w:val="clear" w:color="auto" w:fill="auto"/>
          </w:tcPr>
          <w:p w:rsidR="00C5321C" w:rsidRPr="005F09B0" w:rsidRDefault="00C5321C" w:rsidP="00791EC7">
            <w:pPr>
              <w:pStyle w:val="Tabletext"/>
              <w:jc w:val="center"/>
            </w:pPr>
            <w:r w:rsidRPr="005F09B0">
              <w:t>1,423,872</w:t>
            </w:r>
          </w:p>
        </w:tc>
        <w:tc>
          <w:tcPr>
            <w:tcW w:w="1482" w:type="dxa"/>
            <w:shd w:val="clear" w:color="auto" w:fill="auto"/>
          </w:tcPr>
          <w:p w:rsidR="00C5321C" w:rsidRPr="005F09B0" w:rsidRDefault="00C5321C" w:rsidP="00791EC7">
            <w:pPr>
              <w:pStyle w:val="Tabletext"/>
              <w:jc w:val="center"/>
            </w:pPr>
            <w:r w:rsidRPr="005F09B0">
              <w:t>1,535,752</w:t>
            </w:r>
          </w:p>
        </w:tc>
      </w:tr>
      <w:tr w:rsidR="00C5321C" w:rsidTr="00791EC7">
        <w:tc>
          <w:tcPr>
            <w:tcW w:w="1481" w:type="dxa"/>
            <w:shd w:val="clear" w:color="auto" w:fill="auto"/>
          </w:tcPr>
          <w:p w:rsidR="00C5321C" w:rsidRPr="00183BBB" w:rsidRDefault="00C5321C" w:rsidP="00791EC7">
            <w:pPr>
              <w:pStyle w:val="Tabletext"/>
            </w:pPr>
            <w:r w:rsidRPr="00183BBB">
              <w:t>73055</w:t>
            </w:r>
          </w:p>
        </w:tc>
        <w:tc>
          <w:tcPr>
            <w:tcW w:w="1482" w:type="dxa"/>
            <w:shd w:val="clear" w:color="auto" w:fill="auto"/>
          </w:tcPr>
          <w:p w:rsidR="00C5321C" w:rsidRPr="005F09B0" w:rsidRDefault="00C5321C" w:rsidP="00791EC7">
            <w:pPr>
              <w:pStyle w:val="Tabletext"/>
              <w:jc w:val="center"/>
            </w:pPr>
            <w:r w:rsidRPr="005F09B0">
              <w:t>304,773</w:t>
            </w:r>
          </w:p>
        </w:tc>
        <w:tc>
          <w:tcPr>
            <w:tcW w:w="1482" w:type="dxa"/>
            <w:shd w:val="clear" w:color="auto" w:fill="auto"/>
          </w:tcPr>
          <w:p w:rsidR="00C5321C" w:rsidRPr="005F09B0" w:rsidRDefault="00C5321C" w:rsidP="00791EC7">
            <w:pPr>
              <w:pStyle w:val="Tabletext"/>
              <w:jc w:val="center"/>
            </w:pPr>
            <w:r w:rsidRPr="005F09B0">
              <w:t>298,255</w:t>
            </w:r>
          </w:p>
        </w:tc>
        <w:tc>
          <w:tcPr>
            <w:tcW w:w="1482" w:type="dxa"/>
            <w:shd w:val="clear" w:color="auto" w:fill="auto"/>
          </w:tcPr>
          <w:p w:rsidR="00C5321C" w:rsidRPr="005F09B0" w:rsidRDefault="00C5321C" w:rsidP="00791EC7">
            <w:pPr>
              <w:pStyle w:val="Tabletext"/>
              <w:jc w:val="center"/>
            </w:pPr>
            <w:r w:rsidRPr="005F09B0">
              <w:t>243,171</w:t>
            </w:r>
          </w:p>
        </w:tc>
        <w:tc>
          <w:tcPr>
            <w:tcW w:w="1482" w:type="dxa"/>
            <w:shd w:val="clear" w:color="auto" w:fill="auto"/>
          </w:tcPr>
          <w:p w:rsidR="00C5321C" w:rsidRPr="005F09B0" w:rsidRDefault="00C5321C" w:rsidP="00791EC7">
            <w:pPr>
              <w:pStyle w:val="Tabletext"/>
              <w:jc w:val="center"/>
            </w:pPr>
            <w:r w:rsidRPr="005F09B0">
              <w:t>225,815</w:t>
            </w:r>
          </w:p>
        </w:tc>
        <w:tc>
          <w:tcPr>
            <w:tcW w:w="1482" w:type="dxa"/>
            <w:shd w:val="clear" w:color="auto" w:fill="auto"/>
          </w:tcPr>
          <w:p w:rsidR="00C5321C" w:rsidRPr="005F09B0" w:rsidRDefault="00C5321C" w:rsidP="00791EC7">
            <w:pPr>
              <w:pStyle w:val="Tabletext"/>
              <w:jc w:val="center"/>
            </w:pPr>
            <w:r w:rsidRPr="005F09B0">
              <w:t>203,470</w:t>
            </w:r>
          </w:p>
        </w:tc>
      </w:tr>
      <w:tr w:rsidR="00C5321C" w:rsidTr="00791EC7">
        <w:tc>
          <w:tcPr>
            <w:tcW w:w="1481" w:type="dxa"/>
            <w:shd w:val="clear" w:color="auto" w:fill="auto"/>
          </w:tcPr>
          <w:p w:rsidR="00C5321C" w:rsidRDefault="00C5321C" w:rsidP="00791EC7">
            <w:pPr>
              <w:pStyle w:val="Tabletext"/>
            </w:pPr>
            <w:r w:rsidRPr="00183BBB">
              <w:t>Total</w:t>
            </w:r>
          </w:p>
        </w:tc>
        <w:tc>
          <w:tcPr>
            <w:tcW w:w="1482" w:type="dxa"/>
            <w:shd w:val="clear" w:color="auto" w:fill="auto"/>
          </w:tcPr>
          <w:p w:rsidR="00C5321C" w:rsidRPr="005F09B0" w:rsidRDefault="00C5321C" w:rsidP="00791EC7">
            <w:pPr>
              <w:pStyle w:val="Tabletext"/>
              <w:jc w:val="center"/>
            </w:pPr>
            <w:r w:rsidRPr="005F09B0">
              <w:t>1,714,177</w:t>
            </w:r>
          </w:p>
        </w:tc>
        <w:tc>
          <w:tcPr>
            <w:tcW w:w="1482" w:type="dxa"/>
            <w:shd w:val="clear" w:color="auto" w:fill="auto"/>
          </w:tcPr>
          <w:p w:rsidR="00C5321C" w:rsidRPr="005F09B0" w:rsidRDefault="00C5321C" w:rsidP="00791EC7">
            <w:pPr>
              <w:pStyle w:val="Tabletext"/>
              <w:jc w:val="center"/>
            </w:pPr>
            <w:r w:rsidRPr="005F09B0">
              <w:t>1,717,471</w:t>
            </w:r>
          </w:p>
        </w:tc>
        <w:tc>
          <w:tcPr>
            <w:tcW w:w="1482" w:type="dxa"/>
            <w:shd w:val="clear" w:color="auto" w:fill="auto"/>
          </w:tcPr>
          <w:p w:rsidR="00C5321C" w:rsidRPr="005F09B0" w:rsidRDefault="00C5321C" w:rsidP="00791EC7">
            <w:pPr>
              <w:pStyle w:val="Tabletext"/>
              <w:jc w:val="center"/>
            </w:pPr>
            <w:r w:rsidRPr="005F09B0">
              <w:t>1,665,107</w:t>
            </w:r>
          </w:p>
        </w:tc>
        <w:tc>
          <w:tcPr>
            <w:tcW w:w="1482" w:type="dxa"/>
            <w:shd w:val="clear" w:color="auto" w:fill="auto"/>
          </w:tcPr>
          <w:p w:rsidR="00C5321C" w:rsidRPr="005F09B0" w:rsidRDefault="00C5321C" w:rsidP="00791EC7">
            <w:pPr>
              <w:pStyle w:val="Tabletext"/>
              <w:jc w:val="center"/>
            </w:pPr>
            <w:r w:rsidRPr="005F09B0">
              <w:t>1,649,687</w:t>
            </w:r>
          </w:p>
        </w:tc>
        <w:tc>
          <w:tcPr>
            <w:tcW w:w="1482" w:type="dxa"/>
            <w:shd w:val="clear" w:color="auto" w:fill="auto"/>
          </w:tcPr>
          <w:p w:rsidR="00C5321C" w:rsidRDefault="00C5321C" w:rsidP="00791EC7">
            <w:pPr>
              <w:pStyle w:val="Tabletext"/>
              <w:jc w:val="center"/>
            </w:pPr>
            <w:r w:rsidRPr="005F09B0">
              <w:t>1,739,222</w:t>
            </w:r>
          </w:p>
        </w:tc>
      </w:tr>
    </w:tbl>
    <w:p w:rsidR="00C5321C" w:rsidRDefault="00C5321C" w:rsidP="001B4A68">
      <w:pPr>
        <w:pStyle w:val="Tabletext"/>
      </w:pPr>
      <w:r>
        <w:t>Source: MBS Item Statistics Reports (financial year data are presented; financial year 2007</w:t>
      </w:r>
      <w:r w:rsidR="00AF3889">
        <w:t>–</w:t>
      </w:r>
      <w:r w:rsidR="001B4A68">
        <w:t>2008 for year 2008 and so on)</w:t>
      </w:r>
    </w:p>
    <w:p w:rsidR="001B4A68" w:rsidRDefault="001B4A68" w:rsidP="00C5321C"/>
    <w:p w:rsidR="00C5321C" w:rsidRDefault="00C5321C" w:rsidP="00C5321C">
      <w:r>
        <w:t>The use of conventional cytology over the next five years to 2017 is estimated based on these data. T</w:t>
      </w:r>
      <w:r w:rsidR="001B4A68">
        <w:t>his is shown in Section E.2.1.</w:t>
      </w:r>
    </w:p>
    <w:p w:rsidR="00C5321C" w:rsidRDefault="00C5321C" w:rsidP="00C5321C">
      <w:pPr>
        <w:pStyle w:val="Heading30"/>
      </w:pPr>
      <w:bookmarkStart w:id="582" w:name="_Toc337546925"/>
      <w:r>
        <w:t>E.1.2</w:t>
      </w:r>
      <w:r>
        <w:tab/>
        <w:t>Rate of unsatisfactory smear and pLSIL result</w:t>
      </w:r>
      <w:bookmarkEnd w:id="582"/>
    </w:p>
    <w:p w:rsidR="00C5321C" w:rsidRDefault="00C5321C" w:rsidP="00C5321C">
      <w:r w:rsidRPr="00DC6CFB">
        <w:t xml:space="preserve">The item descriptors for 73053 and 73055 suggest that the MBS statistics for these items would broadly account for four indications, as </w:t>
      </w:r>
      <w:r w:rsidR="00195600">
        <w:t>noted</w:t>
      </w:r>
      <w:r w:rsidRPr="00DC6CFB">
        <w:t>.</w:t>
      </w:r>
    </w:p>
    <w:p w:rsidR="00C5321C" w:rsidRDefault="00C5321C" w:rsidP="00C5321C">
      <w:r>
        <w:t xml:space="preserve">The service usage associated with </w:t>
      </w:r>
      <w:r w:rsidRPr="008702FF">
        <w:t xml:space="preserve">initial screening </w:t>
      </w:r>
      <w:r w:rsidRPr="00DC6CFB">
        <w:t>tests and follow-up activities unrelated to the r</w:t>
      </w:r>
      <w:r w:rsidR="00195600">
        <w:t>outine screening practice (</w:t>
      </w:r>
      <w:r w:rsidRPr="00DC6CFB">
        <w:t>the first and fourth indications</w:t>
      </w:r>
      <w:r w:rsidR="00195600">
        <w:t xml:space="preserve"> enlisted in Section E.1</w:t>
      </w:r>
      <w:r>
        <w:t>) are</w:t>
      </w:r>
      <w:r w:rsidRPr="008702FF">
        <w:t xml:space="preserve"> unlikely to be affected due to the </w:t>
      </w:r>
      <w:r>
        <w:t xml:space="preserve">proposed </w:t>
      </w:r>
      <w:r w:rsidRPr="008702FF">
        <w:t xml:space="preserve">listing of </w:t>
      </w:r>
      <w:r w:rsidR="00FC15E5">
        <w:t>cell enrichment</w:t>
      </w:r>
      <w:r w:rsidR="00FC15E5" w:rsidRPr="00902506">
        <w:t xml:space="preserve"> LBC</w:t>
      </w:r>
      <w:r w:rsidRPr="008702FF">
        <w:t xml:space="preserve">. However, the listing of </w:t>
      </w:r>
      <w:r w:rsidR="00FC15E5">
        <w:t>cell enrichment</w:t>
      </w:r>
      <w:r w:rsidR="00FC15E5" w:rsidRPr="00902506">
        <w:t xml:space="preserve"> LBC</w:t>
      </w:r>
      <w:r w:rsidRPr="008702FF">
        <w:t xml:space="preserve"> would reduce the number of unsatisfactory smear</w:t>
      </w:r>
      <w:r w:rsidR="00195600">
        <w:t>s</w:t>
      </w:r>
      <w:r w:rsidRPr="008702FF">
        <w:t xml:space="preserve"> </w:t>
      </w:r>
      <w:r>
        <w:t>and therefore</w:t>
      </w:r>
      <w:r w:rsidR="00195600">
        <w:t xml:space="preserve"> the need for re-tests for</w:t>
      </w:r>
      <w:r w:rsidRPr="008702FF">
        <w:t xml:space="preserve"> this reason when compared with conventional cytology. The proposed listing would </w:t>
      </w:r>
      <w:r>
        <w:t xml:space="preserve">potentially </w:t>
      </w:r>
      <w:r w:rsidRPr="008702FF">
        <w:t>increase the number of follow-up tests because of its higher sensitivity for pLISL when compared with conventional test.</w:t>
      </w:r>
      <w:r>
        <w:t xml:space="preserve"> </w:t>
      </w:r>
    </w:p>
    <w:p w:rsidR="00C5321C" w:rsidRDefault="00C5321C" w:rsidP="00C5321C">
      <w:r>
        <w:t>Comparison of r</w:t>
      </w:r>
      <w:r w:rsidRPr="009E39AC">
        <w:t>ate</w:t>
      </w:r>
      <w:r>
        <w:t>s</w:t>
      </w:r>
      <w:r w:rsidRPr="009E39AC">
        <w:t xml:space="preserve"> of unsatisfactory smear and pLSIL result</w:t>
      </w:r>
      <w:r>
        <w:t xml:space="preserve"> between conventional cytology and </w:t>
      </w:r>
      <w:r w:rsidR="00FC15E5">
        <w:t>cell enrichment</w:t>
      </w:r>
      <w:r w:rsidR="00FC15E5" w:rsidRPr="00902506">
        <w:t xml:space="preserve"> LBC</w:t>
      </w:r>
      <w:r>
        <w:t xml:space="preserve"> is presented in </w:t>
      </w:r>
      <w:r w:rsidR="00086C77">
        <w:fldChar w:fldCharType="begin"/>
      </w:r>
      <w:r>
        <w:instrText xml:space="preserve"> REF _Ref334435967 \h </w:instrText>
      </w:r>
      <w:r w:rsidR="00086C77">
        <w:fldChar w:fldCharType="separate"/>
      </w:r>
      <w:r w:rsidR="003361A8">
        <w:t xml:space="preserve">Table </w:t>
      </w:r>
      <w:r w:rsidR="003361A8">
        <w:rPr>
          <w:noProof/>
        </w:rPr>
        <w:t>87</w:t>
      </w:r>
      <w:r w:rsidR="00086C77">
        <w:fldChar w:fldCharType="end"/>
      </w:r>
      <w:r>
        <w:t xml:space="preserve">. </w:t>
      </w:r>
    </w:p>
    <w:p w:rsidR="00C5321C" w:rsidRDefault="00C5321C" w:rsidP="00C5321C">
      <w:pPr>
        <w:pStyle w:val="Caption"/>
      </w:pPr>
      <w:bookmarkStart w:id="583" w:name="_Ref334435967"/>
      <w:bookmarkStart w:id="584" w:name="_Toc335666060"/>
      <w:bookmarkStart w:id="585" w:name="_Toc337547027"/>
      <w:r>
        <w:t xml:space="preserve">Table </w:t>
      </w:r>
      <w:fldSimple w:instr=" SEQ Table \* ARABIC ">
        <w:r w:rsidR="003361A8">
          <w:rPr>
            <w:noProof/>
          </w:rPr>
          <w:t>87</w:t>
        </w:r>
      </w:fldSimple>
      <w:bookmarkEnd w:id="583"/>
      <w:r>
        <w:tab/>
      </w:r>
      <w:r w:rsidRPr="00D50801">
        <w:t>Rate</w:t>
      </w:r>
      <w:r>
        <w:t>s</w:t>
      </w:r>
      <w:r w:rsidRPr="00D50801">
        <w:t xml:space="preserve"> of unsatisfactory smear and pLSIL result</w:t>
      </w:r>
      <w:r>
        <w:t>, conventional cytology vs</w:t>
      </w:r>
      <w:r w:rsidR="00195600">
        <w:t>.</w:t>
      </w:r>
      <w:r>
        <w:t xml:space="preserve"> </w:t>
      </w:r>
      <w:bookmarkEnd w:id="584"/>
      <w:r w:rsidR="00FC15E5" w:rsidRPr="00FC15E5">
        <w:t>cell enrichment LBC</w:t>
      </w:r>
      <w:bookmarkEnd w:id="5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2"/>
        <w:gridCol w:w="2223"/>
        <w:gridCol w:w="2223"/>
        <w:gridCol w:w="2223"/>
      </w:tblGrid>
      <w:tr w:rsidR="00C5321C" w:rsidTr="00791EC7">
        <w:tc>
          <w:tcPr>
            <w:tcW w:w="1250" w:type="pct"/>
            <w:shd w:val="clear" w:color="auto" w:fill="auto"/>
          </w:tcPr>
          <w:p w:rsidR="00C5321C" w:rsidRPr="00B12200" w:rsidRDefault="00C5321C" w:rsidP="00791EC7">
            <w:pPr>
              <w:pStyle w:val="Tabletext"/>
              <w:rPr>
                <w:b/>
              </w:rPr>
            </w:pPr>
            <w:r w:rsidRPr="00B12200">
              <w:rPr>
                <w:b/>
              </w:rPr>
              <w:t>Test</w:t>
            </w:r>
          </w:p>
        </w:tc>
        <w:tc>
          <w:tcPr>
            <w:tcW w:w="1250" w:type="pct"/>
            <w:shd w:val="clear" w:color="auto" w:fill="auto"/>
          </w:tcPr>
          <w:p w:rsidR="00C5321C" w:rsidRPr="00B12200" w:rsidRDefault="00FC15E5" w:rsidP="00791EC7">
            <w:pPr>
              <w:pStyle w:val="Tabletext"/>
              <w:jc w:val="center"/>
              <w:rPr>
                <w:b/>
              </w:rPr>
            </w:pPr>
            <w:r>
              <w:rPr>
                <w:b/>
              </w:rPr>
              <w:t>C</w:t>
            </w:r>
            <w:r w:rsidRPr="00FC15E5">
              <w:rPr>
                <w:b/>
              </w:rPr>
              <w:t>ell enrichment LBC</w:t>
            </w:r>
          </w:p>
        </w:tc>
        <w:tc>
          <w:tcPr>
            <w:tcW w:w="1250" w:type="pct"/>
            <w:shd w:val="clear" w:color="auto" w:fill="auto"/>
          </w:tcPr>
          <w:p w:rsidR="00C5321C" w:rsidRPr="00B12200" w:rsidRDefault="00C5321C" w:rsidP="00791EC7">
            <w:pPr>
              <w:pStyle w:val="Tabletext"/>
              <w:jc w:val="center"/>
              <w:rPr>
                <w:b/>
              </w:rPr>
            </w:pPr>
            <w:r w:rsidRPr="00B12200">
              <w:rPr>
                <w:b/>
              </w:rPr>
              <w:t>Conventional</w:t>
            </w:r>
            <w:r w:rsidR="00FC15E5">
              <w:rPr>
                <w:b/>
              </w:rPr>
              <w:t xml:space="preserve"> </w:t>
            </w:r>
          </w:p>
        </w:tc>
        <w:tc>
          <w:tcPr>
            <w:tcW w:w="1250" w:type="pct"/>
            <w:shd w:val="clear" w:color="auto" w:fill="auto"/>
          </w:tcPr>
          <w:p w:rsidR="00C5321C" w:rsidRPr="00B12200" w:rsidRDefault="00C5321C" w:rsidP="00791EC7">
            <w:pPr>
              <w:pStyle w:val="Tabletext"/>
              <w:jc w:val="center"/>
              <w:rPr>
                <w:b/>
              </w:rPr>
            </w:pPr>
            <w:r w:rsidRPr="00B12200">
              <w:rPr>
                <w:b/>
              </w:rPr>
              <w:t>Difference</w:t>
            </w:r>
          </w:p>
        </w:tc>
      </w:tr>
      <w:tr w:rsidR="002F3C3B" w:rsidTr="00791EC7">
        <w:tc>
          <w:tcPr>
            <w:tcW w:w="1250" w:type="pct"/>
            <w:shd w:val="clear" w:color="auto" w:fill="auto"/>
          </w:tcPr>
          <w:p w:rsidR="002F3C3B" w:rsidRPr="00183BBB" w:rsidRDefault="002F3C3B" w:rsidP="00791EC7">
            <w:pPr>
              <w:pStyle w:val="Tabletext"/>
            </w:pPr>
            <w:r>
              <w:t>Unsatisfactory smear</w:t>
            </w:r>
          </w:p>
        </w:tc>
        <w:tc>
          <w:tcPr>
            <w:tcW w:w="1250" w:type="pct"/>
            <w:shd w:val="clear" w:color="auto" w:fill="auto"/>
          </w:tcPr>
          <w:p w:rsidR="002F3C3B" w:rsidRPr="0041624D" w:rsidRDefault="002F3C3B" w:rsidP="002F3C3B">
            <w:pPr>
              <w:pStyle w:val="Tabletext"/>
            </w:pPr>
            <w:r w:rsidRPr="0041624D">
              <w:t>1.13%</w:t>
            </w:r>
          </w:p>
        </w:tc>
        <w:tc>
          <w:tcPr>
            <w:tcW w:w="1250" w:type="pct"/>
            <w:shd w:val="clear" w:color="auto" w:fill="auto"/>
          </w:tcPr>
          <w:p w:rsidR="002F3C3B" w:rsidRPr="0041624D" w:rsidRDefault="002F3C3B" w:rsidP="002F3C3B">
            <w:pPr>
              <w:pStyle w:val="Tabletext"/>
            </w:pPr>
            <w:r w:rsidRPr="0041624D">
              <w:t>2.12%</w:t>
            </w:r>
          </w:p>
        </w:tc>
        <w:tc>
          <w:tcPr>
            <w:tcW w:w="1250" w:type="pct"/>
            <w:shd w:val="clear" w:color="auto" w:fill="auto"/>
          </w:tcPr>
          <w:p w:rsidR="002F3C3B" w:rsidRPr="0041624D" w:rsidRDefault="002F3C3B" w:rsidP="002F3C3B">
            <w:pPr>
              <w:pStyle w:val="Tabletext"/>
            </w:pPr>
            <w:r w:rsidRPr="0041624D">
              <w:t>-0.99%</w:t>
            </w:r>
          </w:p>
        </w:tc>
      </w:tr>
      <w:tr w:rsidR="002F3C3B" w:rsidTr="00791EC7">
        <w:tc>
          <w:tcPr>
            <w:tcW w:w="1250" w:type="pct"/>
            <w:shd w:val="clear" w:color="auto" w:fill="auto"/>
          </w:tcPr>
          <w:p w:rsidR="002F3C3B" w:rsidRPr="00183BBB" w:rsidRDefault="002F3C3B" w:rsidP="00791EC7">
            <w:pPr>
              <w:pStyle w:val="Tabletext"/>
            </w:pPr>
            <w:r>
              <w:t xml:space="preserve">Positive based on pLSIL </w:t>
            </w:r>
          </w:p>
        </w:tc>
        <w:tc>
          <w:tcPr>
            <w:tcW w:w="1250" w:type="pct"/>
            <w:shd w:val="clear" w:color="auto" w:fill="auto"/>
          </w:tcPr>
          <w:p w:rsidR="002F3C3B" w:rsidRPr="0041624D" w:rsidRDefault="002F3C3B" w:rsidP="002F3C3B">
            <w:pPr>
              <w:pStyle w:val="Tabletext"/>
            </w:pPr>
            <w:r w:rsidRPr="0041624D">
              <w:t>3.55%</w:t>
            </w:r>
          </w:p>
        </w:tc>
        <w:tc>
          <w:tcPr>
            <w:tcW w:w="1250" w:type="pct"/>
            <w:shd w:val="clear" w:color="auto" w:fill="auto"/>
          </w:tcPr>
          <w:p w:rsidR="002F3C3B" w:rsidRPr="0041624D" w:rsidRDefault="002F3C3B" w:rsidP="002F3C3B">
            <w:pPr>
              <w:pStyle w:val="Tabletext"/>
            </w:pPr>
            <w:r w:rsidRPr="0041624D">
              <w:t>2.98%</w:t>
            </w:r>
          </w:p>
        </w:tc>
        <w:tc>
          <w:tcPr>
            <w:tcW w:w="1250" w:type="pct"/>
            <w:shd w:val="clear" w:color="auto" w:fill="auto"/>
          </w:tcPr>
          <w:p w:rsidR="002F3C3B" w:rsidRDefault="002F3C3B" w:rsidP="002F3C3B">
            <w:pPr>
              <w:pStyle w:val="Tabletext"/>
            </w:pPr>
            <w:r w:rsidRPr="0041624D">
              <w:t>0.57%</w:t>
            </w:r>
          </w:p>
        </w:tc>
      </w:tr>
    </w:tbl>
    <w:p w:rsidR="00C5321C" w:rsidRDefault="00C5321C" w:rsidP="00195600">
      <w:pPr>
        <w:pStyle w:val="Tabletext"/>
      </w:pPr>
      <w:r w:rsidRPr="00D31AAB">
        <w:t>Source: Section D</w:t>
      </w:r>
      <w:r w:rsidR="00FA2DDA" w:rsidRPr="00D31AAB">
        <w:t>.</w:t>
      </w:r>
      <w:r w:rsidR="00D31AAB" w:rsidRPr="00D31AAB">
        <w:t>2</w:t>
      </w:r>
      <w:r w:rsidR="00FA2DDA" w:rsidRPr="00D31AAB">
        <w:t xml:space="preserve"> (</w:t>
      </w:r>
      <w:r w:rsidR="00086C77">
        <w:fldChar w:fldCharType="begin"/>
      </w:r>
      <w:r w:rsidR="00086C77">
        <w:instrText xml:space="preserve"> REF _Ref334090545 \h  \* MERGEFORMAT </w:instrText>
      </w:r>
      <w:r w:rsidR="00086C77">
        <w:fldChar w:fldCharType="separate"/>
      </w:r>
      <w:r w:rsidR="003361A8">
        <w:t xml:space="preserve">Table </w:t>
      </w:r>
      <w:r w:rsidR="003361A8">
        <w:rPr>
          <w:noProof/>
        </w:rPr>
        <w:t>83</w:t>
      </w:r>
      <w:r w:rsidR="00086C77">
        <w:fldChar w:fldCharType="end"/>
      </w:r>
      <w:r w:rsidRPr="00D31AAB">
        <w:t>)</w:t>
      </w:r>
    </w:p>
    <w:p w:rsidR="00195600" w:rsidRDefault="00195600" w:rsidP="00C5321C"/>
    <w:p w:rsidR="00C5321C" w:rsidRDefault="00C5321C" w:rsidP="00C5321C">
      <w:r>
        <w:t>The findings for the conventional cytology arm enable the available MBS statistics for Item 73053 and 73055 to be disaggregated into four different indications captured by these MBS items. The</w:t>
      </w:r>
      <w:r w:rsidR="002F3C3B">
        <w:t xml:space="preserve"> unsatisfactory smear rate (2.12</w:t>
      </w:r>
      <w:r>
        <w:t xml:space="preserve">%) is applied to the usage projection for Item 73053 to derive the number of services due to unsatisfactory smear with conventional cytology test. The remaining service number thus represents the total number of initial screening tests. The rate of positive </w:t>
      </w:r>
      <w:r>
        <w:lastRenderedPageBreak/>
        <w:t>results with conventional cyto</w:t>
      </w:r>
      <w:r w:rsidR="002F3C3B">
        <w:t>logy (1.13</w:t>
      </w:r>
      <w:r>
        <w:t xml:space="preserve">%) is applied to the total number of initial screening test, as derived above from </w:t>
      </w:r>
      <w:r w:rsidRPr="001B7D51">
        <w:t>Item 73053</w:t>
      </w:r>
      <w:r>
        <w:t xml:space="preserve">, in order to determine the number of screening-related follow-up tests within the total service numbers for Item 73055. The remaining service number for Item 73055 would then mean that they are for follow-up investigations that are unrelated to the routine screening.  </w:t>
      </w:r>
    </w:p>
    <w:p w:rsidR="00C5321C" w:rsidRPr="001B4A68" w:rsidRDefault="00C5321C" w:rsidP="001B4A68">
      <w:pPr>
        <w:pStyle w:val="Heading20"/>
      </w:pPr>
      <w:bookmarkStart w:id="586" w:name="_Toc334430223"/>
      <w:bookmarkStart w:id="587" w:name="_Toc337546926"/>
      <w:r w:rsidRPr="001B4A68">
        <w:t>E.2</w:t>
      </w:r>
      <w:r w:rsidRPr="001B4A68">
        <w:tab/>
      </w:r>
      <w:r w:rsidR="001B4A68">
        <w:t>E</w:t>
      </w:r>
      <w:r w:rsidR="006E00C2" w:rsidRPr="001B4A68">
        <w:t>stimation</w:t>
      </w:r>
      <w:r w:rsidR="001B4A68" w:rsidRPr="001B4A68">
        <w:t xml:space="preserve"> of use and costs of the proposed </w:t>
      </w:r>
      <w:bookmarkEnd w:id="586"/>
      <w:r w:rsidR="001B4A68" w:rsidRPr="001B4A68">
        <w:t>listing</w:t>
      </w:r>
      <w:bookmarkEnd w:id="587"/>
    </w:p>
    <w:p w:rsidR="00C5321C" w:rsidRPr="008702FF" w:rsidRDefault="00C5321C" w:rsidP="00C5321C">
      <w:pPr>
        <w:pStyle w:val="Heading30"/>
      </w:pPr>
      <w:bookmarkStart w:id="588" w:name="_Toc334430224"/>
      <w:bookmarkStart w:id="589" w:name="_Toc337546927"/>
      <w:r>
        <w:t>E.2.1</w:t>
      </w:r>
      <w:r>
        <w:tab/>
        <w:t xml:space="preserve">Historical and projected use of </w:t>
      </w:r>
      <w:bookmarkEnd w:id="588"/>
      <w:r>
        <w:t>conventional cytology</w:t>
      </w:r>
      <w:bookmarkEnd w:id="589"/>
    </w:p>
    <w:p w:rsidR="00C5321C" w:rsidRDefault="00195600" w:rsidP="00C5321C">
      <w:r>
        <w:t>T</w:t>
      </w:r>
      <w:r w:rsidR="00C5321C">
        <w:t xml:space="preserve">he service numbers associated with conventional cytology tests in 2012–2017 are estimated under a scenario where there is no </w:t>
      </w:r>
      <w:r w:rsidR="00FC15E5">
        <w:t>cell enrichment</w:t>
      </w:r>
      <w:r w:rsidR="00FC15E5" w:rsidRPr="00902506">
        <w:t xml:space="preserve"> LBC</w:t>
      </w:r>
      <w:r w:rsidR="00C5321C">
        <w:t xml:space="preserve"> becoming available on the MBS during this period. </w:t>
      </w:r>
    </w:p>
    <w:p w:rsidR="00C5321C" w:rsidRDefault="00086C77" w:rsidP="00C5321C">
      <w:r>
        <w:fldChar w:fldCharType="begin"/>
      </w:r>
      <w:r w:rsidR="00C5321C">
        <w:instrText xml:space="preserve"> REF _Ref334433336 \h </w:instrText>
      </w:r>
      <w:r>
        <w:fldChar w:fldCharType="separate"/>
      </w:r>
      <w:r w:rsidR="003361A8">
        <w:t xml:space="preserve">Figure </w:t>
      </w:r>
      <w:r w:rsidR="003361A8">
        <w:rPr>
          <w:noProof/>
        </w:rPr>
        <w:t>20</w:t>
      </w:r>
      <w:r>
        <w:fldChar w:fldCharType="end"/>
      </w:r>
      <w:r w:rsidR="00F37F7A">
        <w:t xml:space="preserve"> </w:t>
      </w:r>
      <w:r w:rsidR="00C5321C">
        <w:t xml:space="preserve">presented the use of conventional cytology tests in 1994–2012. Projection of the service numbers for these items is based on a linear trend using the data from year 1993, as shown in </w:t>
      </w:r>
      <w:r>
        <w:fldChar w:fldCharType="begin"/>
      </w:r>
      <w:r w:rsidR="00C5321C">
        <w:instrText xml:space="preserve"> REF _Ref334434842 \h </w:instrText>
      </w:r>
      <w:r>
        <w:fldChar w:fldCharType="separate"/>
      </w:r>
      <w:r w:rsidR="003361A8">
        <w:t xml:space="preserve">Figure </w:t>
      </w:r>
      <w:r w:rsidR="003361A8">
        <w:rPr>
          <w:noProof/>
        </w:rPr>
        <w:t>21</w:t>
      </w:r>
      <w:r>
        <w:fldChar w:fldCharType="end"/>
      </w:r>
      <w:r w:rsidR="00C5321C">
        <w:t>. For Item 73053, the average annual increase in its usage was 4512 and this is assumed to be applicable over the next five years. For 73055, this was -96, and again this was assumed to be applicable over the next five years.</w:t>
      </w:r>
    </w:p>
    <w:p w:rsidR="00C5321C" w:rsidRDefault="00C5321C" w:rsidP="00C5321C">
      <w:r>
        <w:t xml:space="preserve">These trend-based projections do not account for a recent increase and decline in the use of 73053 and 73055, respectively. An alternative analysis where the previous 5-year data is used is </w:t>
      </w:r>
      <w:r w:rsidRPr="007938BB">
        <w:t>presented in Section E.5 as a</w:t>
      </w:r>
      <w:r>
        <w:t xml:space="preserve"> sensitivity analysis. It is however unclear whether these recent observations reflect the fundamental (lasting) changes to the utilisation of these MBS items. </w:t>
      </w:r>
    </w:p>
    <w:p w:rsidR="00C5321C" w:rsidRPr="0089460A" w:rsidRDefault="00CB6A66" w:rsidP="00EB7B7A">
      <w:pPr>
        <w:keepNext/>
        <w:keepLines/>
      </w:pPr>
      <w:r>
        <w:rPr>
          <w:noProof/>
          <w:lang w:eastAsia="en-AU"/>
        </w:rPr>
        <w:lastRenderedPageBreak/>
        <w:drawing>
          <wp:inline distT="0" distB="0" distL="0" distR="0">
            <wp:extent cx="5302250" cy="318833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02250" cy="3188335"/>
                    </a:xfrm>
                    <a:prstGeom prst="rect">
                      <a:avLst/>
                    </a:prstGeom>
                    <a:noFill/>
                    <a:ln>
                      <a:noFill/>
                    </a:ln>
                  </pic:spPr>
                </pic:pic>
              </a:graphicData>
            </a:graphic>
          </wp:inline>
        </w:drawing>
      </w:r>
    </w:p>
    <w:p w:rsidR="00C5321C" w:rsidRDefault="00C5321C" w:rsidP="00EB7B7A">
      <w:pPr>
        <w:pStyle w:val="Caption"/>
        <w:keepLines/>
      </w:pPr>
      <w:bookmarkStart w:id="590" w:name="_Ref334434842"/>
      <w:bookmarkStart w:id="591" w:name="_Toc337547077"/>
      <w:r>
        <w:t xml:space="preserve">Figure </w:t>
      </w:r>
      <w:fldSimple w:instr=" SEQ Figure \* ARABIC ">
        <w:r w:rsidR="003361A8">
          <w:rPr>
            <w:noProof/>
          </w:rPr>
          <w:t>21</w:t>
        </w:r>
      </w:fldSimple>
      <w:bookmarkEnd w:id="590"/>
      <w:r>
        <w:tab/>
        <w:t xml:space="preserve">Projected use of </w:t>
      </w:r>
      <w:r w:rsidR="00195600">
        <w:t xml:space="preserve">Items </w:t>
      </w:r>
      <w:r>
        <w:t>73053 and 73055 to 2017</w:t>
      </w:r>
      <w:bookmarkEnd w:id="591"/>
    </w:p>
    <w:p w:rsidR="00F37F7A" w:rsidRDefault="00F37F7A" w:rsidP="00C5321C"/>
    <w:p w:rsidR="00C5321C" w:rsidRDefault="00C5321C" w:rsidP="00C5321C">
      <w:r>
        <w:t xml:space="preserve">The estimated extent of conventional cytology test each year in 2012–2017 is presented in </w:t>
      </w:r>
      <w:r w:rsidR="00086C77">
        <w:fldChar w:fldCharType="begin"/>
      </w:r>
      <w:r w:rsidR="00086C77">
        <w:instrText xml:space="preserve"> REF _Ref334445242 \h  \* MERGEFORMAT </w:instrText>
      </w:r>
      <w:r w:rsidR="00086C77">
        <w:fldChar w:fldCharType="separate"/>
      </w:r>
      <w:r w:rsidR="003361A8" w:rsidRPr="0077649A">
        <w:t xml:space="preserve">Table </w:t>
      </w:r>
      <w:r w:rsidR="003361A8">
        <w:t>88</w:t>
      </w:r>
      <w:r w:rsidR="00086C77">
        <w:fldChar w:fldCharType="end"/>
      </w:r>
      <w:r>
        <w:t>. These estimates are derived using equations; service number for 73053</w:t>
      </w:r>
      <w:r w:rsidR="005E0D57">
        <w:rPr>
          <w:lang w:val="en-US"/>
        </w:rPr>
        <w:t>=</w:t>
      </w:r>
      <w:r>
        <w:rPr>
          <w:lang w:val="en-US"/>
        </w:rPr>
        <w:t>4,512 x Year</w:t>
      </w:r>
      <w:r w:rsidRPr="008D7E6F">
        <w:rPr>
          <w:lang w:val="en-US"/>
        </w:rPr>
        <w:t xml:space="preserve"> + 1,336,424</w:t>
      </w:r>
      <w:r>
        <w:rPr>
          <w:lang w:val="en-US"/>
        </w:rPr>
        <w:t xml:space="preserve"> and service number for 73055</w:t>
      </w:r>
      <w:r w:rsidR="005E0D57">
        <w:rPr>
          <w:lang w:val="en-US"/>
        </w:rPr>
        <w:t>=</w:t>
      </w:r>
      <w:r>
        <w:rPr>
          <w:lang w:val="en-US"/>
        </w:rPr>
        <w:t>-9</w:t>
      </w:r>
      <w:r w:rsidR="00F37F7A">
        <w:rPr>
          <w:lang w:val="en-US"/>
        </w:rPr>
        <w:t xml:space="preserve">6 x Year + 274,032 (see </w:t>
      </w:r>
      <w:r w:rsidR="00086C77">
        <w:rPr>
          <w:lang w:val="en-US"/>
        </w:rPr>
        <w:fldChar w:fldCharType="begin"/>
      </w:r>
      <w:r w:rsidR="00F37F7A">
        <w:rPr>
          <w:lang w:val="en-US"/>
        </w:rPr>
        <w:instrText xml:space="preserve"> REF _Ref334434842 \h </w:instrText>
      </w:r>
      <w:r w:rsidR="00086C77">
        <w:rPr>
          <w:lang w:val="en-US"/>
        </w:rPr>
      </w:r>
      <w:r w:rsidR="00086C77">
        <w:rPr>
          <w:lang w:val="en-US"/>
        </w:rPr>
        <w:fldChar w:fldCharType="separate"/>
      </w:r>
      <w:r w:rsidR="003361A8">
        <w:t xml:space="preserve">Figure </w:t>
      </w:r>
      <w:r w:rsidR="003361A8">
        <w:rPr>
          <w:noProof/>
        </w:rPr>
        <w:t>21</w:t>
      </w:r>
      <w:r w:rsidR="00086C77">
        <w:rPr>
          <w:lang w:val="en-US"/>
        </w:rPr>
        <w:fldChar w:fldCharType="end"/>
      </w:r>
      <w:r>
        <w:rPr>
          <w:lang w:val="en-US"/>
        </w:rPr>
        <w:t xml:space="preserve">). </w:t>
      </w:r>
    </w:p>
    <w:p w:rsidR="00C5321C" w:rsidRPr="0077649A" w:rsidRDefault="00C5321C" w:rsidP="00BC0FE6">
      <w:pPr>
        <w:pStyle w:val="Caption"/>
      </w:pPr>
      <w:bookmarkStart w:id="592" w:name="_Ref334445242"/>
      <w:bookmarkStart w:id="593" w:name="_Toc335666061"/>
      <w:bookmarkStart w:id="594" w:name="_Toc337547028"/>
      <w:r w:rsidRPr="0077649A">
        <w:t xml:space="preserve">Table </w:t>
      </w:r>
      <w:fldSimple w:instr=" SEQ Table \* ARABIC ">
        <w:r w:rsidR="003361A8">
          <w:rPr>
            <w:noProof/>
          </w:rPr>
          <w:t>88</w:t>
        </w:r>
      </w:fldSimple>
      <w:bookmarkEnd w:id="592"/>
      <w:r w:rsidRPr="0077649A">
        <w:tab/>
      </w:r>
      <w:r>
        <w:t>Projected MBS service numbers for</w:t>
      </w:r>
      <w:r w:rsidRPr="0077649A">
        <w:t xml:space="preserve"> conventional cytology </w:t>
      </w:r>
      <w:r>
        <w:t>in 2013–2017</w:t>
      </w:r>
      <w:bookmarkEnd w:id="593"/>
      <w:bookmarkEnd w:id="59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02"/>
        <w:gridCol w:w="1514"/>
        <w:gridCol w:w="1255"/>
        <w:gridCol w:w="1255"/>
        <w:gridCol w:w="1255"/>
        <w:gridCol w:w="1255"/>
        <w:gridCol w:w="1255"/>
      </w:tblGrid>
      <w:tr w:rsidR="00C5321C" w:rsidRPr="0077649A" w:rsidTr="00791EC7">
        <w:tc>
          <w:tcPr>
            <w:tcW w:w="619" w:type="pct"/>
            <w:shd w:val="clear" w:color="auto" w:fill="auto"/>
          </w:tcPr>
          <w:p w:rsidR="00C5321C" w:rsidRPr="0077649A" w:rsidRDefault="00C5321C" w:rsidP="00791EC7">
            <w:pPr>
              <w:pStyle w:val="Tableheading"/>
            </w:pPr>
            <w:r w:rsidRPr="0077649A">
              <w:t>Year</w:t>
            </w:r>
          </w:p>
        </w:tc>
        <w:tc>
          <w:tcPr>
            <w:tcW w:w="851" w:type="pct"/>
            <w:shd w:val="clear" w:color="auto" w:fill="auto"/>
          </w:tcPr>
          <w:p w:rsidR="00C5321C" w:rsidRPr="00B12200" w:rsidRDefault="00C5321C" w:rsidP="00791EC7">
            <w:pPr>
              <w:pStyle w:val="Tableheading"/>
              <w:jc w:val="center"/>
              <w:rPr>
                <w:vertAlign w:val="superscript"/>
              </w:rPr>
            </w:pPr>
            <w:r>
              <w:t>Current (2012)</w:t>
            </w:r>
            <w:r w:rsidRPr="00B12200">
              <w:rPr>
                <w:vertAlign w:val="superscript"/>
              </w:rPr>
              <w:t>a</w:t>
            </w:r>
          </w:p>
        </w:tc>
        <w:tc>
          <w:tcPr>
            <w:tcW w:w="706" w:type="pct"/>
            <w:shd w:val="clear" w:color="auto" w:fill="auto"/>
          </w:tcPr>
          <w:p w:rsidR="00C5321C" w:rsidRPr="00A638A4" w:rsidRDefault="00C5321C" w:rsidP="00791EC7">
            <w:pPr>
              <w:pStyle w:val="Tableheading"/>
              <w:jc w:val="center"/>
            </w:pPr>
            <w:r>
              <w:t>2013</w:t>
            </w:r>
          </w:p>
        </w:tc>
        <w:tc>
          <w:tcPr>
            <w:tcW w:w="706" w:type="pct"/>
            <w:shd w:val="clear" w:color="auto" w:fill="auto"/>
          </w:tcPr>
          <w:p w:rsidR="00C5321C" w:rsidRPr="00A638A4" w:rsidRDefault="00C5321C" w:rsidP="00791EC7">
            <w:pPr>
              <w:pStyle w:val="Tableheading"/>
              <w:jc w:val="center"/>
            </w:pPr>
            <w:r>
              <w:t>2014</w:t>
            </w:r>
          </w:p>
        </w:tc>
        <w:tc>
          <w:tcPr>
            <w:tcW w:w="706" w:type="pct"/>
            <w:shd w:val="clear" w:color="auto" w:fill="auto"/>
          </w:tcPr>
          <w:p w:rsidR="00C5321C" w:rsidRPr="00A638A4" w:rsidRDefault="00C5321C" w:rsidP="00791EC7">
            <w:pPr>
              <w:pStyle w:val="Tableheading"/>
              <w:jc w:val="center"/>
            </w:pPr>
            <w:r>
              <w:t>2015</w:t>
            </w:r>
          </w:p>
        </w:tc>
        <w:tc>
          <w:tcPr>
            <w:tcW w:w="706" w:type="pct"/>
            <w:shd w:val="clear" w:color="auto" w:fill="auto"/>
          </w:tcPr>
          <w:p w:rsidR="00C5321C" w:rsidRPr="00A638A4" w:rsidRDefault="00C5321C" w:rsidP="00791EC7">
            <w:pPr>
              <w:pStyle w:val="Tableheading"/>
              <w:jc w:val="center"/>
            </w:pPr>
            <w:r>
              <w:t>2016</w:t>
            </w:r>
          </w:p>
        </w:tc>
        <w:tc>
          <w:tcPr>
            <w:tcW w:w="706" w:type="pct"/>
            <w:shd w:val="clear" w:color="auto" w:fill="auto"/>
          </w:tcPr>
          <w:p w:rsidR="00C5321C" w:rsidRDefault="00C5321C" w:rsidP="00791EC7">
            <w:pPr>
              <w:pStyle w:val="Tableheading"/>
              <w:jc w:val="center"/>
            </w:pPr>
            <w:r>
              <w:t>2017</w:t>
            </w:r>
          </w:p>
        </w:tc>
      </w:tr>
      <w:tr w:rsidR="00C5321C" w:rsidRPr="0077649A" w:rsidTr="00791EC7">
        <w:tc>
          <w:tcPr>
            <w:tcW w:w="619" w:type="pct"/>
            <w:shd w:val="clear" w:color="auto" w:fill="auto"/>
          </w:tcPr>
          <w:p w:rsidR="00C5321C" w:rsidRPr="0077649A" w:rsidRDefault="00C5321C" w:rsidP="00791EC7">
            <w:pPr>
              <w:pStyle w:val="Tabletext"/>
            </w:pPr>
            <w:r w:rsidRPr="0077649A">
              <w:t>73053</w:t>
            </w:r>
          </w:p>
        </w:tc>
        <w:tc>
          <w:tcPr>
            <w:tcW w:w="851" w:type="pct"/>
            <w:shd w:val="clear" w:color="auto" w:fill="auto"/>
          </w:tcPr>
          <w:p w:rsidR="00C5321C" w:rsidRPr="00D1531B" w:rsidRDefault="00C5321C" w:rsidP="00791EC7">
            <w:pPr>
              <w:pStyle w:val="Tabletext"/>
              <w:jc w:val="center"/>
            </w:pPr>
            <w:r w:rsidRPr="00D1531B">
              <w:t>1,422,152</w:t>
            </w:r>
          </w:p>
        </w:tc>
        <w:tc>
          <w:tcPr>
            <w:tcW w:w="706" w:type="pct"/>
            <w:shd w:val="clear" w:color="auto" w:fill="auto"/>
          </w:tcPr>
          <w:p w:rsidR="00C5321C" w:rsidRPr="00D1531B" w:rsidRDefault="00C5321C" w:rsidP="00791EC7">
            <w:pPr>
              <w:pStyle w:val="Tabletext"/>
              <w:jc w:val="center"/>
            </w:pPr>
            <w:r w:rsidRPr="00D1531B">
              <w:t>1,426,664</w:t>
            </w:r>
          </w:p>
        </w:tc>
        <w:tc>
          <w:tcPr>
            <w:tcW w:w="706" w:type="pct"/>
            <w:shd w:val="clear" w:color="auto" w:fill="auto"/>
          </w:tcPr>
          <w:p w:rsidR="00C5321C" w:rsidRPr="00D1531B" w:rsidRDefault="00C5321C" w:rsidP="00791EC7">
            <w:pPr>
              <w:pStyle w:val="Tabletext"/>
              <w:jc w:val="center"/>
            </w:pPr>
            <w:r w:rsidRPr="00D1531B">
              <w:t>1,431,176</w:t>
            </w:r>
          </w:p>
        </w:tc>
        <w:tc>
          <w:tcPr>
            <w:tcW w:w="706" w:type="pct"/>
            <w:shd w:val="clear" w:color="auto" w:fill="auto"/>
          </w:tcPr>
          <w:p w:rsidR="00C5321C" w:rsidRPr="00D1531B" w:rsidRDefault="00C5321C" w:rsidP="00791EC7">
            <w:pPr>
              <w:pStyle w:val="Tabletext"/>
              <w:jc w:val="center"/>
            </w:pPr>
            <w:r w:rsidRPr="00D1531B">
              <w:t>1,435,688</w:t>
            </w:r>
          </w:p>
        </w:tc>
        <w:tc>
          <w:tcPr>
            <w:tcW w:w="706" w:type="pct"/>
            <w:shd w:val="clear" w:color="auto" w:fill="auto"/>
          </w:tcPr>
          <w:p w:rsidR="00C5321C" w:rsidRPr="00D1531B" w:rsidRDefault="00C5321C" w:rsidP="00791EC7">
            <w:pPr>
              <w:pStyle w:val="Tabletext"/>
              <w:jc w:val="center"/>
            </w:pPr>
            <w:r w:rsidRPr="00D1531B">
              <w:t>1,440,200</w:t>
            </w:r>
          </w:p>
        </w:tc>
        <w:tc>
          <w:tcPr>
            <w:tcW w:w="706" w:type="pct"/>
            <w:shd w:val="clear" w:color="auto" w:fill="auto"/>
          </w:tcPr>
          <w:p w:rsidR="00C5321C" w:rsidRPr="00D1531B" w:rsidRDefault="00C5321C" w:rsidP="00791EC7">
            <w:pPr>
              <w:pStyle w:val="Tabletext"/>
              <w:jc w:val="center"/>
            </w:pPr>
            <w:r w:rsidRPr="00D1531B">
              <w:t>1,444,712</w:t>
            </w:r>
          </w:p>
        </w:tc>
      </w:tr>
      <w:tr w:rsidR="00C5321C" w:rsidRPr="0077649A" w:rsidTr="00791EC7">
        <w:tc>
          <w:tcPr>
            <w:tcW w:w="619" w:type="pct"/>
            <w:shd w:val="clear" w:color="auto" w:fill="auto"/>
          </w:tcPr>
          <w:p w:rsidR="00C5321C" w:rsidRPr="0077649A" w:rsidRDefault="00C5321C" w:rsidP="00791EC7">
            <w:pPr>
              <w:pStyle w:val="Tabletext"/>
            </w:pPr>
            <w:r w:rsidRPr="0077649A">
              <w:t>73055</w:t>
            </w:r>
          </w:p>
        </w:tc>
        <w:tc>
          <w:tcPr>
            <w:tcW w:w="851" w:type="pct"/>
            <w:shd w:val="clear" w:color="auto" w:fill="auto"/>
          </w:tcPr>
          <w:p w:rsidR="00C5321C" w:rsidRPr="00D1531B" w:rsidRDefault="00C5321C" w:rsidP="00791EC7">
            <w:pPr>
              <w:pStyle w:val="Tabletext"/>
              <w:jc w:val="center"/>
            </w:pPr>
            <w:r w:rsidRPr="00D1531B">
              <w:t>272,208</w:t>
            </w:r>
          </w:p>
        </w:tc>
        <w:tc>
          <w:tcPr>
            <w:tcW w:w="706" w:type="pct"/>
            <w:shd w:val="clear" w:color="auto" w:fill="auto"/>
          </w:tcPr>
          <w:p w:rsidR="00C5321C" w:rsidRPr="00D1531B" w:rsidRDefault="00C5321C" w:rsidP="00791EC7">
            <w:pPr>
              <w:pStyle w:val="Tabletext"/>
              <w:jc w:val="center"/>
            </w:pPr>
            <w:r w:rsidRPr="00D1531B">
              <w:t>272,112</w:t>
            </w:r>
          </w:p>
        </w:tc>
        <w:tc>
          <w:tcPr>
            <w:tcW w:w="706" w:type="pct"/>
            <w:shd w:val="clear" w:color="auto" w:fill="auto"/>
          </w:tcPr>
          <w:p w:rsidR="00C5321C" w:rsidRPr="00D1531B" w:rsidRDefault="00C5321C" w:rsidP="00791EC7">
            <w:pPr>
              <w:pStyle w:val="Tabletext"/>
              <w:jc w:val="center"/>
            </w:pPr>
            <w:r w:rsidRPr="00D1531B">
              <w:t>272,016</w:t>
            </w:r>
          </w:p>
        </w:tc>
        <w:tc>
          <w:tcPr>
            <w:tcW w:w="706" w:type="pct"/>
            <w:shd w:val="clear" w:color="auto" w:fill="auto"/>
          </w:tcPr>
          <w:p w:rsidR="00C5321C" w:rsidRPr="00D1531B" w:rsidRDefault="00C5321C" w:rsidP="00791EC7">
            <w:pPr>
              <w:pStyle w:val="Tabletext"/>
              <w:jc w:val="center"/>
            </w:pPr>
            <w:r w:rsidRPr="00D1531B">
              <w:t>271,920</w:t>
            </w:r>
          </w:p>
        </w:tc>
        <w:tc>
          <w:tcPr>
            <w:tcW w:w="706" w:type="pct"/>
            <w:shd w:val="clear" w:color="auto" w:fill="auto"/>
          </w:tcPr>
          <w:p w:rsidR="00C5321C" w:rsidRPr="00D1531B" w:rsidRDefault="00C5321C" w:rsidP="00791EC7">
            <w:pPr>
              <w:pStyle w:val="Tabletext"/>
              <w:jc w:val="center"/>
            </w:pPr>
            <w:r w:rsidRPr="00D1531B">
              <w:t>271,824</w:t>
            </w:r>
          </w:p>
        </w:tc>
        <w:tc>
          <w:tcPr>
            <w:tcW w:w="706" w:type="pct"/>
            <w:shd w:val="clear" w:color="auto" w:fill="auto"/>
          </w:tcPr>
          <w:p w:rsidR="00C5321C" w:rsidRPr="00D1531B" w:rsidRDefault="00C5321C" w:rsidP="00791EC7">
            <w:pPr>
              <w:pStyle w:val="Tabletext"/>
              <w:jc w:val="center"/>
            </w:pPr>
            <w:r w:rsidRPr="00D1531B">
              <w:t>271,728</w:t>
            </w:r>
          </w:p>
        </w:tc>
      </w:tr>
      <w:tr w:rsidR="00C5321C" w:rsidRPr="0077649A" w:rsidTr="00791EC7">
        <w:tc>
          <w:tcPr>
            <w:tcW w:w="619" w:type="pct"/>
            <w:shd w:val="clear" w:color="auto" w:fill="auto"/>
          </w:tcPr>
          <w:p w:rsidR="00C5321C" w:rsidRPr="0077649A" w:rsidRDefault="00C5321C" w:rsidP="00791EC7">
            <w:pPr>
              <w:pStyle w:val="Tabletext"/>
            </w:pPr>
            <w:r w:rsidRPr="0077649A">
              <w:t>Total</w:t>
            </w:r>
          </w:p>
        </w:tc>
        <w:tc>
          <w:tcPr>
            <w:tcW w:w="851" w:type="pct"/>
            <w:shd w:val="clear" w:color="auto" w:fill="auto"/>
          </w:tcPr>
          <w:p w:rsidR="00C5321C" w:rsidRPr="00D1531B" w:rsidRDefault="00C5321C" w:rsidP="00791EC7">
            <w:pPr>
              <w:pStyle w:val="Tabletext"/>
              <w:jc w:val="center"/>
            </w:pPr>
            <w:r w:rsidRPr="00D1531B">
              <w:t>1,694,360</w:t>
            </w:r>
          </w:p>
        </w:tc>
        <w:tc>
          <w:tcPr>
            <w:tcW w:w="706" w:type="pct"/>
            <w:shd w:val="clear" w:color="auto" w:fill="auto"/>
          </w:tcPr>
          <w:p w:rsidR="00C5321C" w:rsidRPr="00D1531B" w:rsidRDefault="00C5321C" w:rsidP="00791EC7">
            <w:pPr>
              <w:pStyle w:val="Tabletext"/>
              <w:jc w:val="center"/>
            </w:pPr>
            <w:r w:rsidRPr="00D1531B">
              <w:t>1,698,776</w:t>
            </w:r>
          </w:p>
        </w:tc>
        <w:tc>
          <w:tcPr>
            <w:tcW w:w="706" w:type="pct"/>
            <w:shd w:val="clear" w:color="auto" w:fill="auto"/>
          </w:tcPr>
          <w:p w:rsidR="00C5321C" w:rsidRPr="00D1531B" w:rsidRDefault="00C5321C" w:rsidP="00791EC7">
            <w:pPr>
              <w:pStyle w:val="Tabletext"/>
              <w:jc w:val="center"/>
            </w:pPr>
            <w:r w:rsidRPr="00D1531B">
              <w:t>1,703,192</w:t>
            </w:r>
          </w:p>
        </w:tc>
        <w:tc>
          <w:tcPr>
            <w:tcW w:w="706" w:type="pct"/>
            <w:shd w:val="clear" w:color="auto" w:fill="auto"/>
          </w:tcPr>
          <w:p w:rsidR="00C5321C" w:rsidRPr="00D1531B" w:rsidRDefault="00C5321C" w:rsidP="00791EC7">
            <w:pPr>
              <w:pStyle w:val="Tabletext"/>
              <w:jc w:val="center"/>
            </w:pPr>
            <w:r w:rsidRPr="00D1531B">
              <w:t>1,707,608</w:t>
            </w:r>
          </w:p>
        </w:tc>
        <w:tc>
          <w:tcPr>
            <w:tcW w:w="706" w:type="pct"/>
            <w:shd w:val="clear" w:color="auto" w:fill="auto"/>
          </w:tcPr>
          <w:p w:rsidR="00C5321C" w:rsidRPr="00D1531B" w:rsidRDefault="00C5321C" w:rsidP="00791EC7">
            <w:pPr>
              <w:pStyle w:val="Tabletext"/>
              <w:jc w:val="center"/>
            </w:pPr>
            <w:r w:rsidRPr="00D1531B">
              <w:t>1,712,024</w:t>
            </w:r>
          </w:p>
        </w:tc>
        <w:tc>
          <w:tcPr>
            <w:tcW w:w="706" w:type="pct"/>
            <w:shd w:val="clear" w:color="auto" w:fill="auto"/>
          </w:tcPr>
          <w:p w:rsidR="00C5321C" w:rsidRDefault="00C5321C" w:rsidP="00791EC7">
            <w:pPr>
              <w:pStyle w:val="Tabletext"/>
              <w:jc w:val="center"/>
            </w:pPr>
            <w:r w:rsidRPr="00D1531B">
              <w:t>1,716,440</w:t>
            </w:r>
          </w:p>
        </w:tc>
      </w:tr>
    </w:tbl>
    <w:p w:rsidR="00C5321C" w:rsidRPr="00195600" w:rsidRDefault="00C5321C" w:rsidP="00195600">
      <w:pPr>
        <w:pStyle w:val="Tabletext"/>
      </w:pPr>
      <w:proofErr w:type="gramStart"/>
      <w:r w:rsidRPr="00195600">
        <w:t>a</w:t>
      </w:r>
      <w:proofErr w:type="gramEnd"/>
      <w:r w:rsidRPr="00195600">
        <w:t xml:space="preserve"> Derived numbers from the equations (see </w:t>
      </w:r>
      <w:r w:rsidR="00086C77">
        <w:fldChar w:fldCharType="begin"/>
      </w:r>
      <w:r w:rsidR="00086C77">
        <w:instrText xml:space="preserve"> REF _Ref334434842 \h  \* MERGEFORMAT </w:instrText>
      </w:r>
      <w:r w:rsidR="00086C77">
        <w:fldChar w:fldCharType="separate"/>
      </w:r>
      <w:r w:rsidR="003361A8">
        <w:t>Figure 21</w:t>
      </w:r>
      <w:r w:rsidR="00086C77">
        <w:fldChar w:fldCharType="end"/>
      </w:r>
      <w:r w:rsidRPr="00195600">
        <w:t>).</w:t>
      </w:r>
    </w:p>
    <w:p w:rsidR="00BC0FE6" w:rsidRDefault="00BC0FE6" w:rsidP="00C5321C"/>
    <w:p w:rsidR="00C5321C" w:rsidRDefault="00195600" w:rsidP="00C5321C">
      <w:r>
        <w:t>As noted</w:t>
      </w:r>
      <w:r w:rsidR="00C5321C">
        <w:t xml:space="preserve">, a total of four indications are captured by these two MBS items. Disaggregation by each indication is </w:t>
      </w:r>
      <w:r w:rsidR="00F37F7A">
        <w:t>performed in Section E.2.2</w:t>
      </w:r>
      <w:r w:rsidR="00C5321C">
        <w:t xml:space="preserve">. </w:t>
      </w:r>
    </w:p>
    <w:p w:rsidR="00C5321C" w:rsidRPr="008C72C8" w:rsidRDefault="00C5321C" w:rsidP="00C5321C">
      <w:pPr>
        <w:pStyle w:val="Heading30"/>
      </w:pPr>
      <w:bookmarkStart w:id="595" w:name="_Toc337546928"/>
      <w:r>
        <w:t>E.2.2</w:t>
      </w:r>
      <w:r>
        <w:tab/>
        <w:t xml:space="preserve">Projected </w:t>
      </w:r>
      <w:r w:rsidRPr="008C72C8">
        <w:t>use of conventional cytology test by indication</w:t>
      </w:r>
      <w:bookmarkEnd w:id="595"/>
      <w:r w:rsidRPr="008C72C8">
        <w:t xml:space="preserve"> </w:t>
      </w:r>
    </w:p>
    <w:p w:rsidR="00C5321C" w:rsidRPr="008C72C8" w:rsidRDefault="00C5321C" w:rsidP="00C5321C">
      <w:r w:rsidRPr="008C72C8">
        <w:t>It has been described that Items 73053 and 73055 account for four indications:</w:t>
      </w:r>
    </w:p>
    <w:p w:rsidR="00C5321C" w:rsidRPr="00195600" w:rsidRDefault="00C5321C" w:rsidP="00195600">
      <w:pPr>
        <w:pStyle w:val="Bulletedbodytext"/>
      </w:pPr>
      <w:r w:rsidRPr="00195600">
        <w:t>Initial screening test</w:t>
      </w:r>
    </w:p>
    <w:p w:rsidR="00C5321C" w:rsidRPr="00195600" w:rsidRDefault="00C5321C" w:rsidP="00195600">
      <w:pPr>
        <w:pStyle w:val="Bulletedbodytext"/>
      </w:pPr>
      <w:r w:rsidRPr="00195600">
        <w:t xml:space="preserve">Re-test due to previous unsatisfactory smear </w:t>
      </w:r>
    </w:p>
    <w:p w:rsidR="00C5321C" w:rsidRPr="00195600" w:rsidRDefault="00C5321C" w:rsidP="00195600">
      <w:pPr>
        <w:pStyle w:val="Bulletedbodytext"/>
      </w:pPr>
      <w:r w:rsidRPr="00195600">
        <w:lastRenderedPageBreak/>
        <w:t xml:space="preserve">Follow-up test due to previous positive screening test </w:t>
      </w:r>
    </w:p>
    <w:p w:rsidR="00C5321C" w:rsidRPr="00195600" w:rsidRDefault="00C5321C" w:rsidP="00195600">
      <w:pPr>
        <w:pStyle w:val="Bulletedbodytext"/>
      </w:pPr>
      <w:r w:rsidRPr="00195600">
        <w:t>Other foll</w:t>
      </w:r>
      <w:r w:rsidR="00195600">
        <w:t>ow-up investigative activities.</w:t>
      </w:r>
    </w:p>
    <w:p w:rsidR="00C5321C" w:rsidRDefault="00C5321C" w:rsidP="00F37F7A">
      <w:r>
        <w:t>The first two indications are captured within Item 73053 together, while Item 73055 accounts for the</w:t>
      </w:r>
      <w:r w:rsidR="00195600">
        <w:t xml:space="preserve"> third and fourth indications.</w:t>
      </w:r>
    </w:p>
    <w:p w:rsidR="00C5321C" w:rsidRDefault="00C5321C" w:rsidP="00C5321C">
      <w:r>
        <w:t xml:space="preserve">First, the projected use of 73053 is disaggregated into the two indications, as shown in </w:t>
      </w:r>
      <w:r w:rsidR="00086C77">
        <w:fldChar w:fldCharType="begin"/>
      </w:r>
      <w:r w:rsidR="00086C77">
        <w:instrText xml:space="preserve"> REF _Ref334446169 \h  \* MERGEFORMAT </w:instrText>
      </w:r>
      <w:r w:rsidR="00086C77">
        <w:fldChar w:fldCharType="separate"/>
      </w:r>
      <w:r w:rsidR="003361A8" w:rsidRPr="0077649A">
        <w:t xml:space="preserve">Table </w:t>
      </w:r>
      <w:r w:rsidR="003361A8">
        <w:t>89</w:t>
      </w:r>
      <w:r w:rsidR="00086C77">
        <w:fldChar w:fldCharType="end"/>
      </w:r>
      <w:r w:rsidR="00F37F7A">
        <w:t xml:space="preserve">. </w:t>
      </w:r>
      <w:r w:rsidR="00086C77">
        <w:fldChar w:fldCharType="begin"/>
      </w:r>
      <w:r w:rsidR="00F37F7A">
        <w:instrText xml:space="preserve"> REF _Ref334435967 \h </w:instrText>
      </w:r>
      <w:r w:rsidR="00086C77">
        <w:fldChar w:fldCharType="separate"/>
      </w:r>
      <w:r w:rsidR="003361A8">
        <w:t xml:space="preserve">Table </w:t>
      </w:r>
      <w:r w:rsidR="003361A8">
        <w:rPr>
          <w:noProof/>
        </w:rPr>
        <w:t>87</w:t>
      </w:r>
      <w:r w:rsidR="00086C77">
        <w:fldChar w:fldCharType="end"/>
      </w:r>
      <w:r w:rsidR="00F37F7A">
        <w:t xml:space="preserve"> </w:t>
      </w:r>
      <w:r w:rsidR="002F3C3B">
        <w:t>described that 2.12</w:t>
      </w:r>
      <w:r>
        <w:t xml:space="preserve">% of conventional cytology tests return an unsatisfactory result due to inadequate smear collection. If a </w:t>
      </w:r>
      <w:r w:rsidR="00195600">
        <w:t>100% follow-up is assumed (i.e.</w:t>
      </w:r>
      <w:r>
        <w:t xml:space="preserve"> all unsatisfactory smear</w:t>
      </w:r>
      <w:r w:rsidR="00195600">
        <w:t>s will be</w:t>
      </w:r>
      <w:r>
        <w:t xml:space="preserve"> re-test</w:t>
      </w:r>
      <w:r w:rsidR="00195600">
        <w:t>ed</w:t>
      </w:r>
      <w:r>
        <w:t xml:space="preserve">), the number of re-tests due to unsatisfactory smears in 2013, for example, can be estimated as </w:t>
      </w:r>
      <w:r w:rsidR="002F3C3B">
        <w:t xml:space="preserve">29,672 (that is, </w:t>
      </w:r>
      <w:r>
        <w:t>1,426,664</w:t>
      </w:r>
      <w:r w:rsidR="005E0D57">
        <w:t>–</w:t>
      </w:r>
      <w:r w:rsidR="002F3C3B">
        <w:t>(1,426,664/1.01</w:t>
      </w:r>
      <w:r>
        <w:t>2)</w:t>
      </w:r>
      <w:r w:rsidR="00195600">
        <w:t>). This would then</w:t>
      </w:r>
      <w:r>
        <w:t xml:space="preserve"> mean that the number of initial screen</w:t>
      </w:r>
      <w:r w:rsidR="002F3C3B">
        <w:t>ing tests for that year is 1,396,992</w:t>
      </w:r>
      <w:r>
        <w:t xml:space="preserve"> (that is 1,426,664</w:t>
      </w:r>
      <w:r w:rsidR="005E0D57">
        <w:t>–</w:t>
      </w:r>
      <w:r w:rsidR="002F3C3B">
        <w:t>29,672</w:t>
      </w:r>
      <w:r>
        <w:t xml:space="preserve">). </w:t>
      </w:r>
    </w:p>
    <w:p w:rsidR="00C5321C" w:rsidRPr="0077649A" w:rsidRDefault="00C5321C" w:rsidP="00BC0FE6">
      <w:pPr>
        <w:pStyle w:val="Caption"/>
      </w:pPr>
      <w:bookmarkStart w:id="596" w:name="_Ref334446169"/>
      <w:bookmarkStart w:id="597" w:name="_Toc335666062"/>
      <w:bookmarkStart w:id="598" w:name="_Toc337547029"/>
      <w:r w:rsidRPr="0077649A">
        <w:t xml:space="preserve">Table </w:t>
      </w:r>
      <w:fldSimple w:instr=" SEQ Table \* ARABIC ">
        <w:r w:rsidR="003361A8">
          <w:rPr>
            <w:noProof/>
          </w:rPr>
          <w:t>89</w:t>
        </w:r>
      </w:fldSimple>
      <w:bookmarkEnd w:id="596"/>
      <w:r w:rsidRPr="0077649A">
        <w:tab/>
      </w:r>
      <w:r>
        <w:t>Projected u</w:t>
      </w:r>
      <w:r w:rsidRPr="00F11133">
        <w:t xml:space="preserve">se of </w:t>
      </w:r>
      <w:r>
        <w:t xml:space="preserve">Item </w:t>
      </w:r>
      <w:r w:rsidRPr="00F11133">
        <w:t xml:space="preserve">73053 </w:t>
      </w:r>
      <w:r>
        <w:t>for</w:t>
      </w:r>
      <w:r w:rsidRPr="00F11133">
        <w:t xml:space="preserve"> initial screening test</w:t>
      </w:r>
      <w:r>
        <w:t>s</w:t>
      </w:r>
      <w:r w:rsidRPr="00F11133">
        <w:t xml:space="preserve"> and </w:t>
      </w:r>
      <w:r>
        <w:t xml:space="preserve">for </w:t>
      </w:r>
      <w:r w:rsidRPr="00F11133">
        <w:t>re-tests due to previous unsatisfactory smear</w:t>
      </w:r>
      <w:bookmarkEnd w:id="597"/>
      <w:bookmarkEnd w:id="59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69"/>
        <w:gridCol w:w="1065"/>
        <w:gridCol w:w="1065"/>
        <w:gridCol w:w="1065"/>
        <w:gridCol w:w="1065"/>
        <w:gridCol w:w="1062"/>
      </w:tblGrid>
      <w:tr w:rsidR="00C5321C" w:rsidRPr="0077649A" w:rsidTr="002F3C3B">
        <w:tc>
          <w:tcPr>
            <w:tcW w:w="2007" w:type="pct"/>
            <w:shd w:val="clear" w:color="auto" w:fill="auto"/>
          </w:tcPr>
          <w:p w:rsidR="00C5321C" w:rsidRPr="0077649A" w:rsidRDefault="00C5321C" w:rsidP="00791EC7">
            <w:pPr>
              <w:pStyle w:val="Tableheading"/>
            </w:pPr>
            <w:r w:rsidRPr="0077649A">
              <w:t>Year</w:t>
            </w:r>
          </w:p>
        </w:tc>
        <w:tc>
          <w:tcPr>
            <w:tcW w:w="599" w:type="pct"/>
            <w:shd w:val="clear" w:color="auto" w:fill="auto"/>
          </w:tcPr>
          <w:p w:rsidR="00C5321C" w:rsidRPr="00A638A4" w:rsidRDefault="00C5321C" w:rsidP="00195600">
            <w:pPr>
              <w:pStyle w:val="Tableheading"/>
            </w:pPr>
            <w:r>
              <w:t>2013</w:t>
            </w:r>
          </w:p>
        </w:tc>
        <w:tc>
          <w:tcPr>
            <w:tcW w:w="599" w:type="pct"/>
            <w:shd w:val="clear" w:color="auto" w:fill="auto"/>
          </w:tcPr>
          <w:p w:rsidR="00C5321C" w:rsidRPr="00A638A4" w:rsidRDefault="00C5321C" w:rsidP="00195600">
            <w:pPr>
              <w:pStyle w:val="Tableheading"/>
            </w:pPr>
            <w:r>
              <w:t>2014</w:t>
            </w:r>
          </w:p>
        </w:tc>
        <w:tc>
          <w:tcPr>
            <w:tcW w:w="599" w:type="pct"/>
            <w:shd w:val="clear" w:color="auto" w:fill="auto"/>
          </w:tcPr>
          <w:p w:rsidR="00C5321C" w:rsidRPr="00A638A4" w:rsidRDefault="00C5321C" w:rsidP="00195600">
            <w:pPr>
              <w:pStyle w:val="Tableheading"/>
            </w:pPr>
            <w:r>
              <w:t>2015</w:t>
            </w:r>
          </w:p>
        </w:tc>
        <w:tc>
          <w:tcPr>
            <w:tcW w:w="599" w:type="pct"/>
            <w:shd w:val="clear" w:color="auto" w:fill="auto"/>
          </w:tcPr>
          <w:p w:rsidR="00C5321C" w:rsidRPr="00A638A4" w:rsidRDefault="00C5321C" w:rsidP="00195600">
            <w:pPr>
              <w:pStyle w:val="Tableheading"/>
            </w:pPr>
            <w:r>
              <w:t>2016</w:t>
            </w:r>
          </w:p>
        </w:tc>
        <w:tc>
          <w:tcPr>
            <w:tcW w:w="598" w:type="pct"/>
            <w:shd w:val="clear" w:color="auto" w:fill="auto"/>
          </w:tcPr>
          <w:p w:rsidR="00C5321C" w:rsidRDefault="00C5321C" w:rsidP="00195600">
            <w:pPr>
              <w:pStyle w:val="Tableheading"/>
            </w:pPr>
            <w:r>
              <w:t>2017</w:t>
            </w:r>
          </w:p>
        </w:tc>
      </w:tr>
      <w:tr w:rsidR="002F3C3B" w:rsidRPr="0077649A" w:rsidTr="002F3C3B">
        <w:tc>
          <w:tcPr>
            <w:tcW w:w="2007" w:type="pct"/>
            <w:shd w:val="clear" w:color="auto" w:fill="auto"/>
          </w:tcPr>
          <w:p w:rsidR="002F3C3B" w:rsidRPr="0077649A" w:rsidRDefault="002F3C3B" w:rsidP="00791EC7">
            <w:pPr>
              <w:pStyle w:val="Tabletext"/>
            </w:pPr>
            <w:r w:rsidRPr="0077649A">
              <w:t>73053</w:t>
            </w:r>
            <w:r>
              <w:t>—total</w:t>
            </w:r>
          </w:p>
        </w:tc>
        <w:tc>
          <w:tcPr>
            <w:tcW w:w="599" w:type="pct"/>
            <w:shd w:val="clear" w:color="auto" w:fill="auto"/>
          </w:tcPr>
          <w:p w:rsidR="002F3C3B" w:rsidRPr="009356A1" w:rsidRDefault="002F3C3B" w:rsidP="002F3C3B">
            <w:pPr>
              <w:pStyle w:val="Tabletext"/>
            </w:pPr>
            <w:r w:rsidRPr="009356A1">
              <w:t>1,426,664</w:t>
            </w:r>
          </w:p>
        </w:tc>
        <w:tc>
          <w:tcPr>
            <w:tcW w:w="599" w:type="pct"/>
            <w:shd w:val="clear" w:color="auto" w:fill="auto"/>
          </w:tcPr>
          <w:p w:rsidR="002F3C3B" w:rsidRPr="009356A1" w:rsidRDefault="002F3C3B" w:rsidP="002F3C3B">
            <w:pPr>
              <w:pStyle w:val="Tabletext"/>
            </w:pPr>
            <w:r w:rsidRPr="009356A1">
              <w:t>1,431,176</w:t>
            </w:r>
          </w:p>
        </w:tc>
        <w:tc>
          <w:tcPr>
            <w:tcW w:w="599" w:type="pct"/>
            <w:shd w:val="clear" w:color="auto" w:fill="auto"/>
          </w:tcPr>
          <w:p w:rsidR="002F3C3B" w:rsidRPr="009356A1" w:rsidRDefault="002F3C3B" w:rsidP="002F3C3B">
            <w:pPr>
              <w:pStyle w:val="Tabletext"/>
            </w:pPr>
            <w:r w:rsidRPr="009356A1">
              <w:t>1,435,688</w:t>
            </w:r>
          </w:p>
        </w:tc>
        <w:tc>
          <w:tcPr>
            <w:tcW w:w="599" w:type="pct"/>
            <w:shd w:val="clear" w:color="auto" w:fill="auto"/>
          </w:tcPr>
          <w:p w:rsidR="002F3C3B" w:rsidRPr="009356A1" w:rsidRDefault="002F3C3B" w:rsidP="002F3C3B">
            <w:pPr>
              <w:pStyle w:val="Tabletext"/>
            </w:pPr>
            <w:r w:rsidRPr="009356A1">
              <w:t>1,440,200</w:t>
            </w:r>
          </w:p>
        </w:tc>
        <w:tc>
          <w:tcPr>
            <w:tcW w:w="598" w:type="pct"/>
            <w:shd w:val="clear" w:color="auto" w:fill="auto"/>
          </w:tcPr>
          <w:p w:rsidR="002F3C3B" w:rsidRPr="009356A1" w:rsidRDefault="002F3C3B" w:rsidP="002F3C3B">
            <w:pPr>
              <w:pStyle w:val="Tabletext"/>
            </w:pPr>
            <w:r w:rsidRPr="009356A1">
              <w:t>1,444,712</w:t>
            </w:r>
          </w:p>
        </w:tc>
      </w:tr>
      <w:tr w:rsidR="002F3C3B" w:rsidRPr="0077649A" w:rsidTr="002F3C3B">
        <w:tc>
          <w:tcPr>
            <w:tcW w:w="2007" w:type="pct"/>
            <w:shd w:val="clear" w:color="auto" w:fill="auto"/>
          </w:tcPr>
          <w:p w:rsidR="002F3C3B" w:rsidRPr="0077649A" w:rsidRDefault="002F3C3B" w:rsidP="00791EC7">
            <w:pPr>
              <w:pStyle w:val="Tabletext"/>
            </w:pPr>
            <w:r>
              <w:t>% due to re-test for unsatisfactory smear</w:t>
            </w:r>
          </w:p>
        </w:tc>
        <w:tc>
          <w:tcPr>
            <w:tcW w:w="599" w:type="pct"/>
            <w:shd w:val="clear" w:color="auto" w:fill="auto"/>
          </w:tcPr>
          <w:p w:rsidR="002F3C3B" w:rsidRPr="009356A1" w:rsidRDefault="002F3C3B" w:rsidP="002F3C3B">
            <w:pPr>
              <w:pStyle w:val="Tabletext"/>
            </w:pPr>
            <w:r w:rsidRPr="009356A1">
              <w:t>2.12%</w:t>
            </w:r>
          </w:p>
        </w:tc>
        <w:tc>
          <w:tcPr>
            <w:tcW w:w="599" w:type="pct"/>
            <w:shd w:val="clear" w:color="auto" w:fill="auto"/>
          </w:tcPr>
          <w:p w:rsidR="002F3C3B" w:rsidRPr="009356A1" w:rsidRDefault="002F3C3B" w:rsidP="002F3C3B">
            <w:pPr>
              <w:pStyle w:val="Tabletext"/>
            </w:pPr>
            <w:r w:rsidRPr="009356A1">
              <w:t>2.12%</w:t>
            </w:r>
          </w:p>
        </w:tc>
        <w:tc>
          <w:tcPr>
            <w:tcW w:w="599" w:type="pct"/>
            <w:shd w:val="clear" w:color="auto" w:fill="auto"/>
          </w:tcPr>
          <w:p w:rsidR="002F3C3B" w:rsidRPr="009356A1" w:rsidRDefault="002F3C3B" w:rsidP="002F3C3B">
            <w:pPr>
              <w:pStyle w:val="Tabletext"/>
            </w:pPr>
            <w:r w:rsidRPr="009356A1">
              <w:t>2.12%</w:t>
            </w:r>
          </w:p>
        </w:tc>
        <w:tc>
          <w:tcPr>
            <w:tcW w:w="599" w:type="pct"/>
            <w:shd w:val="clear" w:color="auto" w:fill="auto"/>
          </w:tcPr>
          <w:p w:rsidR="002F3C3B" w:rsidRPr="009356A1" w:rsidRDefault="002F3C3B" w:rsidP="002F3C3B">
            <w:pPr>
              <w:pStyle w:val="Tabletext"/>
            </w:pPr>
            <w:r w:rsidRPr="009356A1">
              <w:t>2.12%</w:t>
            </w:r>
          </w:p>
        </w:tc>
        <w:tc>
          <w:tcPr>
            <w:tcW w:w="598" w:type="pct"/>
            <w:shd w:val="clear" w:color="auto" w:fill="auto"/>
          </w:tcPr>
          <w:p w:rsidR="002F3C3B" w:rsidRPr="009356A1" w:rsidRDefault="002F3C3B" w:rsidP="002F3C3B">
            <w:pPr>
              <w:pStyle w:val="Tabletext"/>
            </w:pPr>
            <w:r w:rsidRPr="009356A1">
              <w:t>2.12%</w:t>
            </w:r>
          </w:p>
        </w:tc>
      </w:tr>
      <w:tr w:rsidR="002F3C3B" w:rsidRPr="0077649A" w:rsidTr="002F3C3B">
        <w:tc>
          <w:tcPr>
            <w:tcW w:w="2007" w:type="pct"/>
            <w:shd w:val="clear" w:color="auto" w:fill="auto"/>
          </w:tcPr>
          <w:p w:rsidR="002F3C3B" w:rsidRPr="0077649A" w:rsidRDefault="002F3C3B" w:rsidP="00791EC7">
            <w:pPr>
              <w:pStyle w:val="Tabletext"/>
            </w:pPr>
            <w:r>
              <w:t>Services due to unsatisfactory smear</w:t>
            </w:r>
          </w:p>
        </w:tc>
        <w:tc>
          <w:tcPr>
            <w:tcW w:w="599" w:type="pct"/>
            <w:shd w:val="clear" w:color="auto" w:fill="auto"/>
          </w:tcPr>
          <w:p w:rsidR="002F3C3B" w:rsidRPr="009356A1" w:rsidRDefault="002F3C3B" w:rsidP="002F3C3B">
            <w:pPr>
              <w:pStyle w:val="Tabletext"/>
            </w:pPr>
            <w:r w:rsidRPr="009356A1">
              <w:t>29,672</w:t>
            </w:r>
          </w:p>
        </w:tc>
        <w:tc>
          <w:tcPr>
            <w:tcW w:w="599" w:type="pct"/>
            <w:shd w:val="clear" w:color="auto" w:fill="auto"/>
          </w:tcPr>
          <w:p w:rsidR="002F3C3B" w:rsidRPr="009356A1" w:rsidRDefault="002F3C3B" w:rsidP="002F3C3B">
            <w:pPr>
              <w:pStyle w:val="Tabletext"/>
            </w:pPr>
            <w:r w:rsidRPr="009356A1">
              <w:t>29,766</w:t>
            </w:r>
          </w:p>
        </w:tc>
        <w:tc>
          <w:tcPr>
            <w:tcW w:w="599" w:type="pct"/>
            <w:shd w:val="clear" w:color="auto" w:fill="auto"/>
          </w:tcPr>
          <w:p w:rsidR="002F3C3B" w:rsidRPr="009356A1" w:rsidRDefault="002F3C3B" w:rsidP="002F3C3B">
            <w:pPr>
              <w:pStyle w:val="Tabletext"/>
            </w:pPr>
            <w:r w:rsidRPr="009356A1">
              <w:t>29,860</w:t>
            </w:r>
          </w:p>
        </w:tc>
        <w:tc>
          <w:tcPr>
            <w:tcW w:w="599" w:type="pct"/>
            <w:shd w:val="clear" w:color="auto" w:fill="auto"/>
          </w:tcPr>
          <w:p w:rsidR="002F3C3B" w:rsidRPr="009356A1" w:rsidRDefault="002F3C3B" w:rsidP="002F3C3B">
            <w:pPr>
              <w:pStyle w:val="Tabletext"/>
            </w:pPr>
            <w:r w:rsidRPr="009356A1">
              <w:t>29,954</w:t>
            </w:r>
          </w:p>
        </w:tc>
        <w:tc>
          <w:tcPr>
            <w:tcW w:w="598" w:type="pct"/>
            <w:shd w:val="clear" w:color="auto" w:fill="auto"/>
          </w:tcPr>
          <w:p w:rsidR="002F3C3B" w:rsidRPr="009356A1" w:rsidRDefault="002F3C3B" w:rsidP="002F3C3B">
            <w:pPr>
              <w:pStyle w:val="Tabletext"/>
            </w:pPr>
            <w:r w:rsidRPr="009356A1">
              <w:t>30,048</w:t>
            </w:r>
          </w:p>
        </w:tc>
      </w:tr>
      <w:tr w:rsidR="002F3C3B" w:rsidRPr="0077649A" w:rsidTr="002F3C3B">
        <w:tc>
          <w:tcPr>
            <w:tcW w:w="2007" w:type="pct"/>
            <w:shd w:val="clear" w:color="auto" w:fill="auto"/>
          </w:tcPr>
          <w:p w:rsidR="002F3C3B" w:rsidRDefault="002F3C3B" w:rsidP="00791EC7">
            <w:pPr>
              <w:pStyle w:val="Tabletext"/>
            </w:pPr>
            <w:r>
              <w:t>Services due to initial screening test</w:t>
            </w:r>
          </w:p>
        </w:tc>
        <w:tc>
          <w:tcPr>
            <w:tcW w:w="599" w:type="pct"/>
            <w:shd w:val="clear" w:color="auto" w:fill="auto"/>
          </w:tcPr>
          <w:p w:rsidR="002F3C3B" w:rsidRPr="009356A1" w:rsidRDefault="002F3C3B" w:rsidP="002F3C3B">
            <w:pPr>
              <w:pStyle w:val="Tabletext"/>
            </w:pPr>
            <w:r w:rsidRPr="009356A1">
              <w:t>1,396,992</w:t>
            </w:r>
          </w:p>
        </w:tc>
        <w:tc>
          <w:tcPr>
            <w:tcW w:w="599" w:type="pct"/>
            <w:shd w:val="clear" w:color="auto" w:fill="auto"/>
          </w:tcPr>
          <w:p w:rsidR="002F3C3B" w:rsidRPr="009356A1" w:rsidRDefault="002F3C3B" w:rsidP="002F3C3B">
            <w:pPr>
              <w:pStyle w:val="Tabletext"/>
            </w:pPr>
            <w:r w:rsidRPr="009356A1">
              <w:t>1,401,410</w:t>
            </w:r>
          </w:p>
        </w:tc>
        <w:tc>
          <w:tcPr>
            <w:tcW w:w="599" w:type="pct"/>
            <w:shd w:val="clear" w:color="auto" w:fill="auto"/>
          </w:tcPr>
          <w:p w:rsidR="002F3C3B" w:rsidRPr="009356A1" w:rsidRDefault="002F3C3B" w:rsidP="002F3C3B">
            <w:pPr>
              <w:pStyle w:val="Tabletext"/>
            </w:pPr>
            <w:r w:rsidRPr="009356A1">
              <w:t>1,405,828</w:t>
            </w:r>
          </w:p>
        </w:tc>
        <w:tc>
          <w:tcPr>
            <w:tcW w:w="599" w:type="pct"/>
            <w:shd w:val="clear" w:color="auto" w:fill="auto"/>
          </w:tcPr>
          <w:p w:rsidR="002F3C3B" w:rsidRPr="009356A1" w:rsidRDefault="002F3C3B" w:rsidP="002F3C3B">
            <w:pPr>
              <w:pStyle w:val="Tabletext"/>
            </w:pPr>
            <w:r w:rsidRPr="009356A1">
              <w:t>1,410,246</w:t>
            </w:r>
          </w:p>
        </w:tc>
        <w:tc>
          <w:tcPr>
            <w:tcW w:w="598" w:type="pct"/>
            <w:shd w:val="clear" w:color="auto" w:fill="auto"/>
          </w:tcPr>
          <w:p w:rsidR="002F3C3B" w:rsidRDefault="002F3C3B" w:rsidP="002F3C3B">
            <w:pPr>
              <w:pStyle w:val="Tabletext"/>
            </w:pPr>
            <w:r w:rsidRPr="009356A1">
              <w:t>1,414,664</w:t>
            </w:r>
          </w:p>
        </w:tc>
      </w:tr>
    </w:tbl>
    <w:p w:rsidR="00C5321C" w:rsidRDefault="00C5321C" w:rsidP="00C5321C"/>
    <w:p w:rsidR="00C5321C" w:rsidRDefault="00C5321C" w:rsidP="00C5321C">
      <w:r>
        <w:t xml:space="preserve">By the same token, the total usage of Item 73055 can be disaggregated into its use due to screening-related follow-up tests and its use due to other follow-up investigative activities, as shown in </w:t>
      </w:r>
      <w:r w:rsidR="00086C77">
        <w:fldChar w:fldCharType="begin"/>
      </w:r>
      <w:r>
        <w:instrText xml:space="preserve"> REF _Ref334449902 \h </w:instrText>
      </w:r>
      <w:r w:rsidR="00086C77">
        <w:fldChar w:fldCharType="separate"/>
      </w:r>
      <w:r w:rsidR="003361A8" w:rsidRPr="009C1F99">
        <w:t xml:space="preserve">Table </w:t>
      </w:r>
      <w:r w:rsidR="003361A8">
        <w:rPr>
          <w:noProof/>
        </w:rPr>
        <w:t>90</w:t>
      </w:r>
      <w:r w:rsidR="00086C77">
        <w:fldChar w:fldCharType="end"/>
      </w:r>
      <w:r w:rsidR="00F37F7A">
        <w:t xml:space="preserve">. </w:t>
      </w:r>
      <w:r w:rsidR="00086C77">
        <w:fldChar w:fldCharType="begin"/>
      </w:r>
      <w:r w:rsidR="00F37F7A">
        <w:instrText xml:space="preserve"> REF _Ref334435967 \h </w:instrText>
      </w:r>
      <w:r w:rsidR="00086C77">
        <w:fldChar w:fldCharType="separate"/>
      </w:r>
      <w:r w:rsidR="003361A8">
        <w:t xml:space="preserve">Table </w:t>
      </w:r>
      <w:r w:rsidR="003361A8">
        <w:rPr>
          <w:noProof/>
        </w:rPr>
        <w:t>87</w:t>
      </w:r>
      <w:r w:rsidR="00086C77">
        <w:fldChar w:fldCharType="end"/>
      </w:r>
      <w:r w:rsidR="002F3C3B">
        <w:t xml:space="preserve"> described that 2.98</w:t>
      </w:r>
      <w:r>
        <w:t xml:space="preserve">% of conventional cytology tests return a pLSIL positive result, thereby prompting a follow-up test. </w:t>
      </w:r>
    </w:p>
    <w:p w:rsidR="00C5321C" w:rsidRDefault="00C5321C" w:rsidP="00C5321C">
      <w:r>
        <w:t>If a 100% follow-up is assumed (i.e. all pLSIL results will receive a follow-up test), the number of screening-related follow-up tests in 2013, for example, can</w:t>
      </w:r>
      <w:r w:rsidR="002F3C3B">
        <w:t xml:space="preserve"> be estimated as 41,671 (that is,</w:t>
      </w:r>
      <w:r w:rsidR="00195600">
        <w:t xml:space="preserve"> </w:t>
      </w:r>
      <w:r w:rsidRPr="00AF0360">
        <w:t>1,39</w:t>
      </w:r>
      <w:r w:rsidR="002F3C3B">
        <w:t>6,992</w:t>
      </w:r>
      <w:r>
        <w:t>x 0.0</w:t>
      </w:r>
      <w:r w:rsidR="002F3C3B">
        <w:t>298</w:t>
      </w:r>
      <w:r>
        <w:t xml:space="preserve">). This would then mean that the number of initial screening tests for that year is </w:t>
      </w:r>
      <w:r w:rsidR="002F3C3B">
        <w:t>230,441</w:t>
      </w:r>
      <w:r w:rsidRPr="00AF0360">
        <w:t xml:space="preserve"> </w:t>
      </w:r>
      <w:r>
        <w:t>(that is 272,112</w:t>
      </w:r>
      <w:r w:rsidR="005E0D57">
        <w:t>–</w:t>
      </w:r>
      <w:r w:rsidR="002F3C3B">
        <w:t>41,671</w:t>
      </w:r>
      <w:r>
        <w:t xml:space="preserve">). </w:t>
      </w:r>
    </w:p>
    <w:p w:rsidR="00C5321C" w:rsidRPr="009C1F99" w:rsidRDefault="00C5321C" w:rsidP="00C5321C">
      <w:pPr>
        <w:pStyle w:val="Tablecaption"/>
      </w:pPr>
      <w:bookmarkStart w:id="599" w:name="_Ref334449902"/>
      <w:bookmarkStart w:id="600" w:name="_Toc335666063"/>
      <w:bookmarkStart w:id="601" w:name="_Toc337547030"/>
      <w:r w:rsidRPr="009C1F99">
        <w:lastRenderedPageBreak/>
        <w:t xml:space="preserve">Table </w:t>
      </w:r>
      <w:fldSimple w:instr=" SEQ Table \* ARABIC ">
        <w:r w:rsidR="003361A8">
          <w:rPr>
            <w:noProof/>
          </w:rPr>
          <w:t>90</w:t>
        </w:r>
      </w:fldSimple>
      <w:bookmarkEnd w:id="599"/>
      <w:r w:rsidRPr="009C1F99">
        <w:tab/>
        <w:t>Projected use of Item 73055 for screening-related follow-up tests and for other follow-up investigation</w:t>
      </w:r>
      <w:bookmarkEnd w:id="600"/>
      <w:bookmarkEnd w:id="60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38"/>
        <w:gridCol w:w="971"/>
        <w:gridCol w:w="971"/>
        <w:gridCol w:w="971"/>
        <w:gridCol w:w="971"/>
        <w:gridCol w:w="969"/>
      </w:tblGrid>
      <w:tr w:rsidR="00C5321C" w:rsidRPr="006E00C2" w:rsidTr="002F3C3B">
        <w:tc>
          <w:tcPr>
            <w:tcW w:w="2271" w:type="pct"/>
            <w:shd w:val="clear" w:color="auto" w:fill="auto"/>
          </w:tcPr>
          <w:p w:rsidR="00C5321C" w:rsidRPr="006E00C2" w:rsidRDefault="00C5321C" w:rsidP="006E00C2">
            <w:pPr>
              <w:pStyle w:val="Tabletext"/>
              <w:rPr>
                <w:b/>
              </w:rPr>
            </w:pPr>
            <w:r w:rsidRPr="006E00C2">
              <w:rPr>
                <w:b/>
              </w:rPr>
              <w:t>Year</w:t>
            </w:r>
          </w:p>
        </w:tc>
        <w:tc>
          <w:tcPr>
            <w:tcW w:w="546" w:type="pct"/>
            <w:shd w:val="clear" w:color="auto" w:fill="auto"/>
          </w:tcPr>
          <w:p w:rsidR="00C5321C" w:rsidRPr="006E00C2" w:rsidRDefault="00C5321C" w:rsidP="006E00C2">
            <w:pPr>
              <w:pStyle w:val="Tabletext"/>
              <w:rPr>
                <w:b/>
              </w:rPr>
            </w:pPr>
            <w:r w:rsidRPr="006E00C2">
              <w:rPr>
                <w:b/>
              </w:rPr>
              <w:t>2013</w:t>
            </w:r>
          </w:p>
        </w:tc>
        <w:tc>
          <w:tcPr>
            <w:tcW w:w="546" w:type="pct"/>
            <w:shd w:val="clear" w:color="auto" w:fill="auto"/>
          </w:tcPr>
          <w:p w:rsidR="00C5321C" w:rsidRPr="006E00C2" w:rsidRDefault="00C5321C" w:rsidP="006E00C2">
            <w:pPr>
              <w:pStyle w:val="Tabletext"/>
              <w:rPr>
                <w:b/>
              </w:rPr>
            </w:pPr>
            <w:r w:rsidRPr="006E00C2">
              <w:rPr>
                <w:b/>
              </w:rPr>
              <w:t>2014</w:t>
            </w:r>
          </w:p>
        </w:tc>
        <w:tc>
          <w:tcPr>
            <w:tcW w:w="546" w:type="pct"/>
            <w:shd w:val="clear" w:color="auto" w:fill="auto"/>
          </w:tcPr>
          <w:p w:rsidR="00C5321C" w:rsidRPr="006E00C2" w:rsidRDefault="00C5321C" w:rsidP="006E00C2">
            <w:pPr>
              <w:pStyle w:val="Tabletext"/>
              <w:rPr>
                <w:b/>
              </w:rPr>
            </w:pPr>
            <w:r w:rsidRPr="006E00C2">
              <w:rPr>
                <w:b/>
              </w:rPr>
              <w:t>2015</w:t>
            </w:r>
          </w:p>
        </w:tc>
        <w:tc>
          <w:tcPr>
            <w:tcW w:w="546" w:type="pct"/>
            <w:shd w:val="clear" w:color="auto" w:fill="auto"/>
          </w:tcPr>
          <w:p w:rsidR="00C5321C" w:rsidRPr="006E00C2" w:rsidRDefault="00C5321C" w:rsidP="006E00C2">
            <w:pPr>
              <w:pStyle w:val="Tabletext"/>
              <w:rPr>
                <w:b/>
              </w:rPr>
            </w:pPr>
            <w:r w:rsidRPr="006E00C2">
              <w:rPr>
                <w:b/>
              </w:rPr>
              <w:t>2016</w:t>
            </w:r>
          </w:p>
        </w:tc>
        <w:tc>
          <w:tcPr>
            <w:tcW w:w="545" w:type="pct"/>
            <w:shd w:val="clear" w:color="auto" w:fill="auto"/>
          </w:tcPr>
          <w:p w:rsidR="00C5321C" w:rsidRPr="006E00C2" w:rsidRDefault="00C5321C" w:rsidP="006E00C2">
            <w:pPr>
              <w:pStyle w:val="Tabletext"/>
              <w:rPr>
                <w:b/>
              </w:rPr>
            </w:pPr>
            <w:r w:rsidRPr="006E00C2">
              <w:rPr>
                <w:b/>
              </w:rPr>
              <w:t>2017</w:t>
            </w:r>
          </w:p>
        </w:tc>
      </w:tr>
      <w:tr w:rsidR="002F3C3B" w:rsidRPr="0077649A" w:rsidTr="002F3C3B">
        <w:tc>
          <w:tcPr>
            <w:tcW w:w="2271" w:type="pct"/>
            <w:shd w:val="clear" w:color="auto" w:fill="auto"/>
          </w:tcPr>
          <w:p w:rsidR="002F3C3B" w:rsidRPr="00AF0360" w:rsidRDefault="002F3C3B" w:rsidP="006E00C2">
            <w:pPr>
              <w:pStyle w:val="Tabletext"/>
            </w:pPr>
            <w:r w:rsidRPr="00AF0360">
              <w:t xml:space="preserve">Services due to initial screening test (see </w:t>
            </w:r>
            <w:r w:rsidR="00086C77">
              <w:fldChar w:fldCharType="begin"/>
            </w:r>
            <w:r w:rsidR="00086C77">
              <w:instrText xml:space="preserve"> REF _Ref334446169 \h  \* MERGEFORMAT </w:instrText>
            </w:r>
            <w:r w:rsidR="00086C77">
              <w:fldChar w:fldCharType="separate"/>
            </w:r>
            <w:r w:rsidR="003361A8" w:rsidRPr="0077649A">
              <w:t xml:space="preserve">Table </w:t>
            </w:r>
            <w:r w:rsidR="003361A8">
              <w:t>89</w:t>
            </w:r>
            <w:r w:rsidR="00086C77">
              <w:fldChar w:fldCharType="end"/>
            </w:r>
            <w:r w:rsidRPr="00AF0360">
              <w:t xml:space="preserve">) </w:t>
            </w:r>
          </w:p>
        </w:tc>
        <w:tc>
          <w:tcPr>
            <w:tcW w:w="546" w:type="pct"/>
            <w:shd w:val="clear" w:color="auto" w:fill="auto"/>
          </w:tcPr>
          <w:p w:rsidR="002F3C3B" w:rsidRPr="004231CF" w:rsidRDefault="002F3C3B" w:rsidP="002F3C3B">
            <w:pPr>
              <w:pStyle w:val="Tabletext"/>
            </w:pPr>
            <w:r w:rsidRPr="004231CF">
              <w:t>1,396,992</w:t>
            </w:r>
          </w:p>
        </w:tc>
        <w:tc>
          <w:tcPr>
            <w:tcW w:w="546" w:type="pct"/>
            <w:shd w:val="clear" w:color="auto" w:fill="auto"/>
          </w:tcPr>
          <w:p w:rsidR="002F3C3B" w:rsidRPr="004231CF" w:rsidRDefault="002F3C3B" w:rsidP="002F3C3B">
            <w:pPr>
              <w:pStyle w:val="Tabletext"/>
            </w:pPr>
            <w:r w:rsidRPr="004231CF">
              <w:t>1,401,410</w:t>
            </w:r>
          </w:p>
        </w:tc>
        <w:tc>
          <w:tcPr>
            <w:tcW w:w="546" w:type="pct"/>
            <w:shd w:val="clear" w:color="auto" w:fill="auto"/>
          </w:tcPr>
          <w:p w:rsidR="002F3C3B" w:rsidRPr="004231CF" w:rsidRDefault="002F3C3B" w:rsidP="002F3C3B">
            <w:pPr>
              <w:pStyle w:val="Tabletext"/>
            </w:pPr>
            <w:r w:rsidRPr="004231CF">
              <w:t>1,405,828</w:t>
            </w:r>
          </w:p>
        </w:tc>
        <w:tc>
          <w:tcPr>
            <w:tcW w:w="546" w:type="pct"/>
            <w:shd w:val="clear" w:color="auto" w:fill="auto"/>
          </w:tcPr>
          <w:p w:rsidR="002F3C3B" w:rsidRPr="004231CF" w:rsidRDefault="002F3C3B" w:rsidP="002F3C3B">
            <w:pPr>
              <w:pStyle w:val="Tabletext"/>
            </w:pPr>
            <w:r w:rsidRPr="004231CF">
              <w:t>1,410,246</w:t>
            </w:r>
          </w:p>
        </w:tc>
        <w:tc>
          <w:tcPr>
            <w:tcW w:w="545" w:type="pct"/>
            <w:shd w:val="clear" w:color="auto" w:fill="auto"/>
          </w:tcPr>
          <w:p w:rsidR="002F3C3B" w:rsidRPr="004231CF" w:rsidRDefault="002F3C3B" w:rsidP="002F3C3B">
            <w:pPr>
              <w:pStyle w:val="Tabletext"/>
            </w:pPr>
            <w:r w:rsidRPr="004231CF">
              <w:t>1,414,664</w:t>
            </w:r>
          </w:p>
        </w:tc>
      </w:tr>
      <w:tr w:rsidR="002F3C3B" w:rsidRPr="0077649A" w:rsidTr="002F3C3B">
        <w:tc>
          <w:tcPr>
            <w:tcW w:w="2271" w:type="pct"/>
            <w:shd w:val="clear" w:color="auto" w:fill="auto"/>
          </w:tcPr>
          <w:p w:rsidR="002F3C3B" w:rsidRPr="00AF0360" w:rsidRDefault="002F3C3B" w:rsidP="006E00C2">
            <w:pPr>
              <w:pStyle w:val="Tabletext"/>
            </w:pPr>
            <w:r w:rsidRPr="00AF0360">
              <w:t>% due to pLSIL follow-up</w:t>
            </w:r>
          </w:p>
        </w:tc>
        <w:tc>
          <w:tcPr>
            <w:tcW w:w="546" w:type="pct"/>
            <w:shd w:val="clear" w:color="auto" w:fill="auto"/>
          </w:tcPr>
          <w:p w:rsidR="002F3C3B" w:rsidRPr="004231CF" w:rsidRDefault="002F3C3B" w:rsidP="002F3C3B">
            <w:pPr>
              <w:pStyle w:val="Tabletext"/>
            </w:pPr>
            <w:r w:rsidRPr="004231CF">
              <w:t>2.98%</w:t>
            </w:r>
          </w:p>
        </w:tc>
        <w:tc>
          <w:tcPr>
            <w:tcW w:w="546" w:type="pct"/>
            <w:shd w:val="clear" w:color="auto" w:fill="auto"/>
          </w:tcPr>
          <w:p w:rsidR="002F3C3B" w:rsidRPr="004231CF" w:rsidRDefault="002F3C3B" w:rsidP="002F3C3B">
            <w:pPr>
              <w:pStyle w:val="Tabletext"/>
            </w:pPr>
            <w:r w:rsidRPr="004231CF">
              <w:t>2.98%</w:t>
            </w:r>
          </w:p>
        </w:tc>
        <w:tc>
          <w:tcPr>
            <w:tcW w:w="546" w:type="pct"/>
            <w:shd w:val="clear" w:color="auto" w:fill="auto"/>
          </w:tcPr>
          <w:p w:rsidR="002F3C3B" w:rsidRPr="004231CF" w:rsidRDefault="002F3C3B" w:rsidP="002F3C3B">
            <w:pPr>
              <w:pStyle w:val="Tabletext"/>
            </w:pPr>
            <w:r w:rsidRPr="004231CF">
              <w:t>2.98%</w:t>
            </w:r>
          </w:p>
        </w:tc>
        <w:tc>
          <w:tcPr>
            <w:tcW w:w="546" w:type="pct"/>
            <w:shd w:val="clear" w:color="auto" w:fill="auto"/>
          </w:tcPr>
          <w:p w:rsidR="002F3C3B" w:rsidRPr="004231CF" w:rsidRDefault="002F3C3B" w:rsidP="002F3C3B">
            <w:pPr>
              <w:pStyle w:val="Tabletext"/>
            </w:pPr>
            <w:r w:rsidRPr="004231CF">
              <w:t>2.98%</w:t>
            </w:r>
          </w:p>
        </w:tc>
        <w:tc>
          <w:tcPr>
            <w:tcW w:w="545" w:type="pct"/>
            <w:shd w:val="clear" w:color="auto" w:fill="auto"/>
          </w:tcPr>
          <w:p w:rsidR="002F3C3B" w:rsidRPr="004231CF" w:rsidRDefault="002F3C3B" w:rsidP="002F3C3B">
            <w:pPr>
              <w:pStyle w:val="Tabletext"/>
            </w:pPr>
            <w:r w:rsidRPr="004231CF">
              <w:t>2.98%</w:t>
            </w:r>
          </w:p>
        </w:tc>
      </w:tr>
      <w:tr w:rsidR="002F3C3B" w:rsidRPr="0077649A" w:rsidTr="002F3C3B">
        <w:tc>
          <w:tcPr>
            <w:tcW w:w="2271" w:type="pct"/>
            <w:shd w:val="clear" w:color="auto" w:fill="auto"/>
          </w:tcPr>
          <w:p w:rsidR="002F3C3B" w:rsidRPr="00AF0360" w:rsidRDefault="002F3C3B" w:rsidP="006E00C2">
            <w:pPr>
              <w:pStyle w:val="Tabletext"/>
            </w:pPr>
            <w:r w:rsidRPr="00AF0360">
              <w:t>Services due to pLSIL follow-up</w:t>
            </w:r>
          </w:p>
        </w:tc>
        <w:tc>
          <w:tcPr>
            <w:tcW w:w="546" w:type="pct"/>
            <w:shd w:val="clear" w:color="auto" w:fill="auto"/>
          </w:tcPr>
          <w:p w:rsidR="002F3C3B" w:rsidRPr="004231CF" w:rsidRDefault="002F3C3B" w:rsidP="002F3C3B">
            <w:pPr>
              <w:pStyle w:val="Tabletext"/>
            </w:pPr>
            <w:r w:rsidRPr="004231CF">
              <w:t>41,671</w:t>
            </w:r>
          </w:p>
        </w:tc>
        <w:tc>
          <w:tcPr>
            <w:tcW w:w="546" w:type="pct"/>
            <w:shd w:val="clear" w:color="auto" w:fill="auto"/>
          </w:tcPr>
          <w:p w:rsidR="002F3C3B" w:rsidRPr="004231CF" w:rsidRDefault="002F3C3B" w:rsidP="002F3C3B">
            <w:pPr>
              <w:pStyle w:val="Tabletext"/>
            </w:pPr>
            <w:r w:rsidRPr="004231CF">
              <w:t>41,803</w:t>
            </w:r>
          </w:p>
        </w:tc>
        <w:tc>
          <w:tcPr>
            <w:tcW w:w="546" w:type="pct"/>
            <w:shd w:val="clear" w:color="auto" w:fill="auto"/>
          </w:tcPr>
          <w:p w:rsidR="002F3C3B" w:rsidRPr="004231CF" w:rsidRDefault="002F3C3B" w:rsidP="002F3C3B">
            <w:pPr>
              <w:pStyle w:val="Tabletext"/>
            </w:pPr>
            <w:r w:rsidRPr="004231CF">
              <w:t>41,934</w:t>
            </w:r>
          </w:p>
        </w:tc>
        <w:tc>
          <w:tcPr>
            <w:tcW w:w="546" w:type="pct"/>
            <w:shd w:val="clear" w:color="auto" w:fill="auto"/>
          </w:tcPr>
          <w:p w:rsidR="002F3C3B" w:rsidRPr="004231CF" w:rsidRDefault="002F3C3B" w:rsidP="002F3C3B">
            <w:pPr>
              <w:pStyle w:val="Tabletext"/>
            </w:pPr>
            <w:r w:rsidRPr="004231CF">
              <w:t>42,066</w:t>
            </w:r>
          </w:p>
        </w:tc>
        <w:tc>
          <w:tcPr>
            <w:tcW w:w="545" w:type="pct"/>
            <w:shd w:val="clear" w:color="auto" w:fill="auto"/>
          </w:tcPr>
          <w:p w:rsidR="002F3C3B" w:rsidRPr="004231CF" w:rsidRDefault="002F3C3B" w:rsidP="002F3C3B">
            <w:pPr>
              <w:pStyle w:val="Tabletext"/>
            </w:pPr>
            <w:r w:rsidRPr="004231CF">
              <w:t>42,198</w:t>
            </w:r>
          </w:p>
        </w:tc>
      </w:tr>
      <w:tr w:rsidR="002F3C3B" w:rsidRPr="0077649A" w:rsidTr="002F3C3B">
        <w:tc>
          <w:tcPr>
            <w:tcW w:w="2271" w:type="pct"/>
            <w:shd w:val="clear" w:color="auto" w:fill="auto"/>
          </w:tcPr>
          <w:p w:rsidR="002F3C3B" w:rsidRPr="00AF0360" w:rsidRDefault="002F3C3B" w:rsidP="006E00C2">
            <w:pPr>
              <w:pStyle w:val="Tabletext"/>
            </w:pPr>
            <w:r>
              <w:t>73055—</w:t>
            </w:r>
            <w:r w:rsidRPr="00AF0360">
              <w:t>total</w:t>
            </w:r>
          </w:p>
        </w:tc>
        <w:tc>
          <w:tcPr>
            <w:tcW w:w="546" w:type="pct"/>
            <w:shd w:val="clear" w:color="auto" w:fill="auto"/>
          </w:tcPr>
          <w:p w:rsidR="002F3C3B" w:rsidRPr="004231CF" w:rsidRDefault="002F3C3B" w:rsidP="002F3C3B">
            <w:pPr>
              <w:pStyle w:val="Tabletext"/>
            </w:pPr>
            <w:r w:rsidRPr="004231CF">
              <w:t>272,112</w:t>
            </w:r>
          </w:p>
        </w:tc>
        <w:tc>
          <w:tcPr>
            <w:tcW w:w="546" w:type="pct"/>
            <w:shd w:val="clear" w:color="auto" w:fill="auto"/>
          </w:tcPr>
          <w:p w:rsidR="002F3C3B" w:rsidRPr="004231CF" w:rsidRDefault="002F3C3B" w:rsidP="002F3C3B">
            <w:pPr>
              <w:pStyle w:val="Tabletext"/>
            </w:pPr>
            <w:r w:rsidRPr="004231CF">
              <w:t>272,016</w:t>
            </w:r>
          </w:p>
        </w:tc>
        <w:tc>
          <w:tcPr>
            <w:tcW w:w="546" w:type="pct"/>
            <w:shd w:val="clear" w:color="auto" w:fill="auto"/>
          </w:tcPr>
          <w:p w:rsidR="002F3C3B" w:rsidRPr="004231CF" w:rsidRDefault="002F3C3B" w:rsidP="002F3C3B">
            <w:pPr>
              <w:pStyle w:val="Tabletext"/>
            </w:pPr>
            <w:r w:rsidRPr="004231CF">
              <w:t>271,920</w:t>
            </w:r>
          </w:p>
        </w:tc>
        <w:tc>
          <w:tcPr>
            <w:tcW w:w="546" w:type="pct"/>
            <w:shd w:val="clear" w:color="auto" w:fill="auto"/>
          </w:tcPr>
          <w:p w:rsidR="002F3C3B" w:rsidRPr="004231CF" w:rsidRDefault="002F3C3B" w:rsidP="002F3C3B">
            <w:pPr>
              <w:pStyle w:val="Tabletext"/>
            </w:pPr>
            <w:r w:rsidRPr="004231CF">
              <w:t>271,824</w:t>
            </w:r>
          </w:p>
        </w:tc>
        <w:tc>
          <w:tcPr>
            <w:tcW w:w="545" w:type="pct"/>
            <w:shd w:val="clear" w:color="auto" w:fill="auto"/>
          </w:tcPr>
          <w:p w:rsidR="002F3C3B" w:rsidRPr="004231CF" w:rsidRDefault="002F3C3B" w:rsidP="002F3C3B">
            <w:pPr>
              <w:pStyle w:val="Tabletext"/>
            </w:pPr>
            <w:r w:rsidRPr="004231CF">
              <w:t>271,728</w:t>
            </w:r>
          </w:p>
        </w:tc>
      </w:tr>
      <w:tr w:rsidR="002F3C3B" w:rsidRPr="0077649A" w:rsidTr="002F3C3B">
        <w:tc>
          <w:tcPr>
            <w:tcW w:w="2271" w:type="pct"/>
            <w:shd w:val="clear" w:color="auto" w:fill="auto"/>
          </w:tcPr>
          <w:p w:rsidR="002F3C3B" w:rsidRPr="00AF0360" w:rsidRDefault="002F3C3B" w:rsidP="006E00C2">
            <w:pPr>
              <w:pStyle w:val="Tabletext"/>
            </w:pPr>
            <w:r w:rsidRPr="00AF0360">
              <w:t>Services due to other follow-up investigation</w:t>
            </w:r>
          </w:p>
        </w:tc>
        <w:tc>
          <w:tcPr>
            <w:tcW w:w="546" w:type="pct"/>
            <w:shd w:val="clear" w:color="auto" w:fill="auto"/>
          </w:tcPr>
          <w:p w:rsidR="002F3C3B" w:rsidRPr="004231CF" w:rsidRDefault="002F3C3B" w:rsidP="002F3C3B">
            <w:pPr>
              <w:pStyle w:val="Tabletext"/>
            </w:pPr>
            <w:r w:rsidRPr="004231CF">
              <w:t>230,441</w:t>
            </w:r>
          </w:p>
        </w:tc>
        <w:tc>
          <w:tcPr>
            <w:tcW w:w="546" w:type="pct"/>
            <w:shd w:val="clear" w:color="auto" w:fill="auto"/>
          </w:tcPr>
          <w:p w:rsidR="002F3C3B" w:rsidRPr="004231CF" w:rsidRDefault="002F3C3B" w:rsidP="002F3C3B">
            <w:pPr>
              <w:pStyle w:val="Tabletext"/>
            </w:pPr>
            <w:r w:rsidRPr="004231CF">
              <w:t>230,213</w:t>
            </w:r>
          </w:p>
        </w:tc>
        <w:tc>
          <w:tcPr>
            <w:tcW w:w="546" w:type="pct"/>
            <w:shd w:val="clear" w:color="auto" w:fill="auto"/>
          </w:tcPr>
          <w:p w:rsidR="002F3C3B" w:rsidRPr="004231CF" w:rsidRDefault="002F3C3B" w:rsidP="002F3C3B">
            <w:pPr>
              <w:pStyle w:val="Tabletext"/>
            </w:pPr>
            <w:r w:rsidRPr="004231CF">
              <w:t>229,986</w:t>
            </w:r>
          </w:p>
        </w:tc>
        <w:tc>
          <w:tcPr>
            <w:tcW w:w="546" w:type="pct"/>
            <w:shd w:val="clear" w:color="auto" w:fill="auto"/>
          </w:tcPr>
          <w:p w:rsidR="002F3C3B" w:rsidRPr="004231CF" w:rsidRDefault="002F3C3B" w:rsidP="002F3C3B">
            <w:pPr>
              <w:pStyle w:val="Tabletext"/>
            </w:pPr>
            <w:r w:rsidRPr="004231CF">
              <w:t>229,758</w:t>
            </w:r>
          </w:p>
        </w:tc>
        <w:tc>
          <w:tcPr>
            <w:tcW w:w="545" w:type="pct"/>
            <w:shd w:val="clear" w:color="auto" w:fill="auto"/>
          </w:tcPr>
          <w:p w:rsidR="002F3C3B" w:rsidRDefault="002F3C3B" w:rsidP="002F3C3B">
            <w:pPr>
              <w:pStyle w:val="Tabletext"/>
            </w:pPr>
            <w:r w:rsidRPr="004231CF">
              <w:t>229,530</w:t>
            </w:r>
          </w:p>
        </w:tc>
      </w:tr>
    </w:tbl>
    <w:p w:rsidR="00C5321C" w:rsidRPr="00C30A6D" w:rsidRDefault="00C5321C" w:rsidP="00F37F7A">
      <w:pPr>
        <w:pStyle w:val="Tabletext"/>
      </w:pPr>
      <w:r w:rsidRPr="00C30A6D">
        <w:t xml:space="preserve">Source: </w:t>
      </w:r>
      <w:r w:rsidR="00086C77">
        <w:fldChar w:fldCharType="begin"/>
      </w:r>
      <w:r w:rsidR="00086C77">
        <w:instrText xml:space="preserve"> REF _Ref334445242 \h  \* MERGEFORMAT </w:instrText>
      </w:r>
      <w:r w:rsidR="00086C77">
        <w:fldChar w:fldCharType="separate"/>
      </w:r>
      <w:r w:rsidR="003361A8" w:rsidRPr="0077649A">
        <w:t xml:space="preserve">Table </w:t>
      </w:r>
      <w:r w:rsidR="003361A8">
        <w:t>88</w:t>
      </w:r>
      <w:r w:rsidR="00086C77">
        <w:fldChar w:fldCharType="end"/>
      </w:r>
      <w:r>
        <w:t xml:space="preserve"> and </w:t>
      </w:r>
      <w:r w:rsidR="00086C77">
        <w:fldChar w:fldCharType="begin"/>
      </w:r>
      <w:r w:rsidR="00086C77">
        <w:instrText xml:space="preserve"> REF _Ref334446169 \h  \* MERGEFORMAT </w:instrText>
      </w:r>
      <w:r w:rsidR="00086C77">
        <w:fldChar w:fldCharType="separate"/>
      </w:r>
      <w:r w:rsidR="003361A8" w:rsidRPr="0077649A">
        <w:t xml:space="preserve">Table </w:t>
      </w:r>
      <w:r w:rsidR="003361A8">
        <w:t>89</w:t>
      </w:r>
      <w:r w:rsidR="00086C77">
        <w:fldChar w:fldCharType="end"/>
      </w:r>
    </w:p>
    <w:p w:rsidR="00C5321C" w:rsidRDefault="00C5321C" w:rsidP="00C5321C"/>
    <w:p w:rsidR="00C5321C" w:rsidRPr="009C04A7" w:rsidRDefault="00C5321C" w:rsidP="00C5321C">
      <w:pPr>
        <w:pStyle w:val="Heading30"/>
      </w:pPr>
      <w:bookmarkStart w:id="602" w:name="_Toc334430225"/>
      <w:bookmarkStart w:id="603" w:name="_Toc337546929"/>
      <w:r>
        <w:t>E.2.3</w:t>
      </w:r>
      <w:r>
        <w:tab/>
      </w:r>
      <w:bookmarkEnd w:id="602"/>
      <w:r>
        <w:t xml:space="preserve">Estimated extent of </w:t>
      </w:r>
      <w:r w:rsidR="00FC15E5" w:rsidRPr="00FC15E5">
        <w:t xml:space="preserve">cell enrichment LBC </w:t>
      </w:r>
      <w:r>
        <w:t>use on the MBS</w:t>
      </w:r>
      <w:bookmarkEnd w:id="603"/>
    </w:p>
    <w:p w:rsidR="00C5321C" w:rsidRDefault="006E00C2" w:rsidP="00C5321C">
      <w:r>
        <w:t>As noted</w:t>
      </w:r>
      <w:r w:rsidR="00C5321C">
        <w:t xml:space="preserve">, the use of </w:t>
      </w:r>
      <w:r w:rsidR="00FC15E5" w:rsidRPr="00FC15E5">
        <w:t xml:space="preserve">cell enrichment LBC </w:t>
      </w:r>
      <w:r w:rsidR="00C5321C">
        <w:t xml:space="preserve">for routine screening for cervical cancer on the MBS would be attributable to substitutions away from conventional cytology tests currently available on the MBS. </w:t>
      </w:r>
    </w:p>
    <w:p w:rsidR="00C5321C" w:rsidRDefault="00C5321C" w:rsidP="00C5321C">
      <w:r>
        <w:t xml:space="preserve">For the purpose of this analysis, a full uptake is assumed from Year 1. This means that all screening tests will be conducted using </w:t>
      </w:r>
      <w:r w:rsidR="00FC15E5" w:rsidRPr="00FC15E5">
        <w:t xml:space="preserve">cell enrichment LBC </w:t>
      </w:r>
      <w:r>
        <w:t xml:space="preserve">over the estimation period. This is presented in </w:t>
      </w:r>
      <w:r w:rsidR="00086C77">
        <w:fldChar w:fldCharType="begin"/>
      </w:r>
      <w:r>
        <w:instrText xml:space="preserve"> REF _Ref334450944 \h </w:instrText>
      </w:r>
      <w:r w:rsidR="00086C77">
        <w:fldChar w:fldCharType="separate"/>
      </w:r>
      <w:r w:rsidR="003361A8" w:rsidRPr="009C1F99">
        <w:t xml:space="preserve">Table </w:t>
      </w:r>
      <w:r w:rsidR="003361A8">
        <w:rPr>
          <w:noProof/>
        </w:rPr>
        <w:t>91</w:t>
      </w:r>
      <w:r w:rsidR="00086C77">
        <w:fldChar w:fldCharType="end"/>
      </w:r>
      <w:r>
        <w:t xml:space="preserve">. </w:t>
      </w:r>
    </w:p>
    <w:p w:rsidR="00C5321C" w:rsidRDefault="00C5321C" w:rsidP="00C5321C">
      <w:r>
        <w:t xml:space="preserve">In practice, should </w:t>
      </w:r>
      <w:r w:rsidR="00FC15E5" w:rsidRPr="00FC15E5">
        <w:t xml:space="preserve">cell enrichment LBC </w:t>
      </w:r>
      <w:r>
        <w:t xml:space="preserve">be added to the listing, the transition from conventional cytology to </w:t>
      </w:r>
      <w:r w:rsidR="00FC15E5">
        <w:t>cell enrichment</w:t>
      </w:r>
      <w:r w:rsidR="00FC15E5" w:rsidRPr="00902506">
        <w:t xml:space="preserve"> LBC</w:t>
      </w:r>
      <w:r>
        <w:t xml:space="preserve"> would be gradual and the assumption of full uptake would represent a conservative approach from the perspective of the MBS (thereby overestimating the true extent of </w:t>
      </w:r>
      <w:r w:rsidR="00FC15E5">
        <w:t>cell enrichment</w:t>
      </w:r>
      <w:r w:rsidR="00FC15E5" w:rsidRPr="00902506">
        <w:t xml:space="preserve"> LBC</w:t>
      </w:r>
      <w:r>
        <w:t xml:space="preserve"> usage on the MBS)</w:t>
      </w:r>
      <w:proofErr w:type="gramStart"/>
      <w:r>
        <w:t>.</w:t>
      </w:r>
      <w:proofErr w:type="gramEnd"/>
      <w:r>
        <w:t xml:space="preserve"> </w:t>
      </w:r>
    </w:p>
    <w:p w:rsidR="00C5321C" w:rsidRPr="001F1CE7" w:rsidRDefault="00C5321C" w:rsidP="00C5321C">
      <w:r w:rsidRPr="001F1CE7">
        <w:t xml:space="preserve">While presenting a set of conservative estimates, the cost-minimising benefit amount requested for </w:t>
      </w:r>
      <w:r w:rsidR="00FC15E5">
        <w:t>cell enrichment</w:t>
      </w:r>
      <w:r w:rsidR="00FC15E5" w:rsidRPr="00902506">
        <w:t xml:space="preserve"> LBC </w:t>
      </w:r>
      <w:r w:rsidRPr="001F1CE7">
        <w:t xml:space="preserve">in this submission means that any substitution to </w:t>
      </w:r>
      <w:r w:rsidR="00FC15E5">
        <w:t>cell enrichment</w:t>
      </w:r>
      <w:r w:rsidR="00FC15E5" w:rsidRPr="00902506">
        <w:t xml:space="preserve"> LBC </w:t>
      </w:r>
      <w:r w:rsidRPr="001F1CE7">
        <w:t xml:space="preserve">would be cost </w:t>
      </w:r>
      <w:r>
        <w:t xml:space="preserve">saving or at worst cost </w:t>
      </w:r>
      <w:r w:rsidRPr="001F1CE7">
        <w:t xml:space="preserve">neutral to the MBS regardless of assumptions about its uptake. </w:t>
      </w:r>
    </w:p>
    <w:p w:rsidR="00C5321C" w:rsidRPr="009C1F99" w:rsidRDefault="00C5321C" w:rsidP="00C5321C">
      <w:pPr>
        <w:pStyle w:val="Tablecaption"/>
      </w:pPr>
      <w:bookmarkStart w:id="604" w:name="_Ref334450944"/>
      <w:bookmarkStart w:id="605" w:name="_Toc335666064"/>
      <w:bookmarkStart w:id="606" w:name="_Toc337547031"/>
      <w:r w:rsidRPr="009C1F99">
        <w:lastRenderedPageBreak/>
        <w:t xml:space="preserve">Table </w:t>
      </w:r>
      <w:fldSimple w:instr=" SEQ Table \* ARABIC ">
        <w:r w:rsidR="003361A8">
          <w:rPr>
            <w:noProof/>
          </w:rPr>
          <w:t>91</w:t>
        </w:r>
      </w:fldSimple>
      <w:bookmarkEnd w:id="604"/>
      <w:r w:rsidRPr="009C1F99">
        <w:tab/>
      </w:r>
      <w:r>
        <w:t>Estimated</w:t>
      </w:r>
      <w:r w:rsidRPr="009C1F99">
        <w:t xml:space="preserve"> use of </w:t>
      </w:r>
      <w:r w:rsidR="00FC15E5" w:rsidRPr="00FC15E5">
        <w:t>cell enrichment LBC</w:t>
      </w:r>
      <w:r>
        <w:t xml:space="preserve"> as screening tests</w:t>
      </w:r>
      <w:r w:rsidR="005E0D57">
        <w:t>–</w:t>
      </w:r>
      <w:r>
        <w:t>initial screening tests and re-tests due to previous unsatisfactory smear</w:t>
      </w:r>
      <w:bookmarkEnd w:id="605"/>
      <w:bookmarkEnd w:id="60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94"/>
        <w:gridCol w:w="1113"/>
        <w:gridCol w:w="946"/>
        <w:gridCol w:w="946"/>
        <w:gridCol w:w="946"/>
        <w:gridCol w:w="946"/>
      </w:tblGrid>
      <w:tr w:rsidR="00C5321C" w:rsidRPr="0077649A" w:rsidTr="006E00C2">
        <w:tc>
          <w:tcPr>
            <w:tcW w:w="0" w:type="auto"/>
            <w:shd w:val="clear" w:color="auto" w:fill="auto"/>
          </w:tcPr>
          <w:p w:rsidR="00C5321C" w:rsidRPr="0077649A" w:rsidRDefault="00C5321C" w:rsidP="00791EC7">
            <w:pPr>
              <w:pStyle w:val="Tableheading"/>
            </w:pPr>
            <w:r w:rsidRPr="0077649A">
              <w:t>Year</w:t>
            </w:r>
          </w:p>
        </w:tc>
        <w:tc>
          <w:tcPr>
            <w:tcW w:w="0" w:type="auto"/>
            <w:shd w:val="clear" w:color="auto" w:fill="auto"/>
          </w:tcPr>
          <w:p w:rsidR="00C5321C" w:rsidRPr="00A638A4" w:rsidRDefault="00C5321C" w:rsidP="00791EC7">
            <w:pPr>
              <w:pStyle w:val="Tableheading"/>
              <w:jc w:val="center"/>
            </w:pPr>
            <w:r>
              <w:t>Year 1 (2013)</w:t>
            </w:r>
          </w:p>
        </w:tc>
        <w:tc>
          <w:tcPr>
            <w:tcW w:w="0" w:type="auto"/>
            <w:shd w:val="clear" w:color="auto" w:fill="auto"/>
          </w:tcPr>
          <w:p w:rsidR="00C5321C" w:rsidRPr="00A638A4" w:rsidRDefault="00C5321C" w:rsidP="00791EC7">
            <w:pPr>
              <w:pStyle w:val="Tableheading"/>
              <w:jc w:val="center"/>
            </w:pPr>
            <w:r>
              <w:t>Year 2</w:t>
            </w:r>
          </w:p>
        </w:tc>
        <w:tc>
          <w:tcPr>
            <w:tcW w:w="0" w:type="auto"/>
            <w:shd w:val="clear" w:color="auto" w:fill="auto"/>
          </w:tcPr>
          <w:p w:rsidR="00C5321C" w:rsidRPr="00A638A4" w:rsidRDefault="00C5321C" w:rsidP="00791EC7">
            <w:pPr>
              <w:pStyle w:val="Tableheading"/>
              <w:jc w:val="center"/>
            </w:pPr>
            <w:r>
              <w:t>Year 3</w:t>
            </w:r>
          </w:p>
        </w:tc>
        <w:tc>
          <w:tcPr>
            <w:tcW w:w="0" w:type="auto"/>
            <w:shd w:val="clear" w:color="auto" w:fill="auto"/>
          </w:tcPr>
          <w:p w:rsidR="00C5321C" w:rsidRPr="00A638A4" w:rsidRDefault="00C5321C" w:rsidP="00791EC7">
            <w:pPr>
              <w:pStyle w:val="Tableheading"/>
              <w:jc w:val="center"/>
            </w:pPr>
            <w:r>
              <w:t>Year 4</w:t>
            </w:r>
          </w:p>
        </w:tc>
        <w:tc>
          <w:tcPr>
            <w:tcW w:w="0" w:type="auto"/>
            <w:shd w:val="clear" w:color="auto" w:fill="auto"/>
          </w:tcPr>
          <w:p w:rsidR="00C5321C" w:rsidRDefault="00C5321C" w:rsidP="00791EC7">
            <w:pPr>
              <w:pStyle w:val="Tableheading"/>
              <w:jc w:val="center"/>
            </w:pPr>
            <w:r>
              <w:t>Year 5</w:t>
            </w:r>
          </w:p>
        </w:tc>
      </w:tr>
      <w:tr w:rsidR="00C5321C" w:rsidRPr="006E00C2" w:rsidTr="006E00C2">
        <w:tc>
          <w:tcPr>
            <w:tcW w:w="0" w:type="auto"/>
            <w:gridSpan w:val="6"/>
            <w:shd w:val="clear" w:color="auto" w:fill="auto"/>
          </w:tcPr>
          <w:p w:rsidR="00C5321C" w:rsidRPr="006E00C2" w:rsidRDefault="00C5321C" w:rsidP="006702EA">
            <w:pPr>
              <w:pStyle w:val="Tabletext"/>
              <w:rPr>
                <w:b/>
              </w:rPr>
            </w:pPr>
            <w:r w:rsidRPr="006E00C2">
              <w:rPr>
                <w:b/>
              </w:rPr>
              <w:t xml:space="preserve">Use of </w:t>
            </w:r>
            <w:r w:rsidR="006702EA">
              <w:rPr>
                <w:b/>
              </w:rPr>
              <w:t xml:space="preserve">cell enrichment </w:t>
            </w:r>
            <w:r w:rsidRPr="006E00C2">
              <w:rPr>
                <w:b/>
              </w:rPr>
              <w:t>LBC for initial screening</w:t>
            </w:r>
          </w:p>
        </w:tc>
      </w:tr>
      <w:tr w:rsidR="002F3C3B" w:rsidRPr="0077649A" w:rsidTr="006E00C2">
        <w:tc>
          <w:tcPr>
            <w:tcW w:w="0" w:type="auto"/>
            <w:shd w:val="clear" w:color="auto" w:fill="auto"/>
          </w:tcPr>
          <w:p w:rsidR="002F3C3B" w:rsidRPr="00294E67" w:rsidRDefault="002F3C3B" w:rsidP="00F37F7A">
            <w:pPr>
              <w:pStyle w:val="Tabletext"/>
            </w:pPr>
            <w:r w:rsidRPr="00294E67">
              <w:t xml:space="preserve">73053 services due to initial screening test (see </w:t>
            </w:r>
            <w:r w:rsidR="00086C77">
              <w:fldChar w:fldCharType="begin"/>
            </w:r>
            <w:r w:rsidR="00086C77">
              <w:instrText xml:space="preserve"> REF _Ref334446169 \h  \* MERGEFORMAT </w:instrText>
            </w:r>
            <w:r w:rsidR="00086C77">
              <w:fldChar w:fldCharType="separate"/>
            </w:r>
            <w:r w:rsidR="003361A8" w:rsidRPr="0077649A">
              <w:t xml:space="preserve">Table </w:t>
            </w:r>
            <w:r w:rsidR="003361A8">
              <w:t>89</w:t>
            </w:r>
            <w:r w:rsidR="00086C77">
              <w:fldChar w:fldCharType="end"/>
            </w:r>
            <w:r w:rsidRPr="00294E67">
              <w:t>)</w:t>
            </w:r>
          </w:p>
        </w:tc>
        <w:tc>
          <w:tcPr>
            <w:tcW w:w="0" w:type="auto"/>
            <w:shd w:val="clear" w:color="auto" w:fill="auto"/>
          </w:tcPr>
          <w:p w:rsidR="002F3C3B" w:rsidRPr="007241E8" w:rsidRDefault="002F3C3B" w:rsidP="002F3C3B">
            <w:pPr>
              <w:pStyle w:val="Tabletext"/>
            </w:pPr>
            <w:r w:rsidRPr="007241E8">
              <w:t>1,396,992</w:t>
            </w:r>
          </w:p>
        </w:tc>
        <w:tc>
          <w:tcPr>
            <w:tcW w:w="0" w:type="auto"/>
            <w:shd w:val="clear" w:color="auto" w:fill="auto"/>
          </w:tcPr>
          <w:p w:rsidR="002F3C3B" w:rsidRPr="007241E8" w:rsidRDefault="002F3C3B" w:rsidP="002F3C3B">
            <w:pPr>
              <w:pStyle w:val="Tabletext"/>
            </w:pPr>
            <w:r w:rsidRPr="007241E8">
              <w:t>1,401,410</w:t>
            </w:r>
          </w:p>
        </w:tc>
        <w:tc>
          <w:tcPr>
            <w:tcW w:w="0" w:type="auto"/>
            <w:shd w:val="clear" w:color="auto" w:fill="auto"/>
          </w:tcPr>
          <w:p w:rsidR="002F3C3B" w:rsidRPr="007241E8" w:rsidRDefault="002F3C3B" w:rsidP="002F3C3B">
            <w:pPr>
              <w:pStyle w:val="Tabletext"/>
            </w:pPr>
            <w:r w:rsidRPr="007241E8">
              <w:t>1,405,828</w:t>
            </w:r>
          </w:p>
        </w:tc>
        <w:tc>
          <w:tcPr>
            <w:tcW w:w="0" w:type="auto"/>
            <w:shd w:val="clear" w:color="auto" w:fill="auto"/>
          </w:tcPr>
          <w:p w:rsidR="002F3C3B" w:rsidRPr="007241E8" w:rsidRDefault="002F3C3B" w:rsidP="002F3C3B">
            <w:pPr>
              <w:pStyle w:val="Tabletext"/>
            </w:pPr>
            <w:r w:rsidRPr="007241E8">
              <w:t>1,410,246</w:t>
            </w:r>
          </w:p>
        </w:tc>
        <w:tc>
          <w:tcPr>
            <w:tcW w:w="0" w:type="auto"/>
            <w:shd w:val="clear" w:color="auto" w:fill="auto"/>
          </w:tcPr>
          <w:p w:rsidR="002F3C3B" w:rsidRPr="007241E8" w:rsidRDefault="002F3C3B" w:rsidP="002F3C3B">
            <w:pPr>
              <w:pStyle w:val="Tabletext"/>
            </w:pPr>
            <w:r w:rsidRPr="007241E8">
              <w:t>1,414,664</w:t>
            </w:r>
          </w:p>
        </w:tc>
      </w:tr>
      <w:tr w:rsidR="002F3C3B" w:rsidRPr="0077649A" w:rsidTr="006E00C2">
        <w:tc>
          <w:tcPr>
            <w:tcW w:w="0" w:type="auto"/>
            <w:shd w:val="clear" w:color="auto" w:fill="auto"/>
          </w:tcPr>
          <w:p w:rsidR="002F3C3B" w:rsidRPr="00294E67" w:rsidRDefault="002F3C3B" w:rsidP="00F37F7A">
            <w:pPr>
              <w:pStyle w:val="Tabletext"/>
            </w:pPr>
            <w:r>
              <w:t xml:space="preserve">Uptake of </w:t>
            </w:r>
            <w:r w:rsidR="00FC15E5" w:rsidRPr="00FC15E5">
              <w:t>cell enrichment LBC</w:t>
            </w:r>
          </w:p>
        </w:tc>
        <w:tc>
          <w:tcPr>
            <w:tcW w:w="0" w:type="auto"/>
            <w:shd w:val="clear" w:color="auto" w:fill="auto"/>
          </w:tcPr>
          <w:p w:rsidR="002F3C3B" w:rsidRPr="007241E8" w:rsidRDefault="002F3C3B" w:rsidP="002F3C3B">
            <w:pPr>
              <w:pStyle w:val="Tabletext"/>
            </w:pPr>
            <w:r w:rsidRPr="007241E8">
              <w:t>100%</w:t>
            </w:r>
          </w:p>
        </w:tc>
        <w:tc>
          <w:tcPr>
            <w:tcW w:w="0" w:type="auto"/>
            <w:shd w:val="clear" w:color="auto" w:fill="auto"/>
          </w:tcPr>
          <w:p w:rsidR="002F3C3B" w:rsidRPr="007241E8" w:rsidRDefault="002F3C3B" w:rsidP="002F3C3B">
            <w:pPr>
              <w:pStyle w:val="Tabletext"/>
            </w:pPr>
            <w:r w:rsidRPr="007241E8">
              <w:t>100%</w:t>
            </w:r>
          </w:p>
        </w:tc>
        <w:tc>
          <w:tcPr>
            <w:tcW w:w="0" w:type="auto"/>
            <w:shd w:val="clear" w:color="auto" w:fill="auto"/>
          </w:tcPr>
          <w:p w:rsidR="002F3C3B" w:rsidRPr="007241E8" w:rsidRDefault="002F3C3B" w:rsidP="002F3C3B">
            <w:pPr>
              <w:pStyle w:val="Tabletext"/>
            </w:pPr>
            <w:r w:rsidRPr="007241E8">
              <w:t>100%</w:t>
            </w:r>
          </w:p>
        </w:tc>
        <w:tc>
          <w:tcPr>
            <w:tcW w:w="0" w:type="auto"/>
            <w:shd w:val="clear" w:color="auto" w:fill="auto"/>
          </w:tcPr>
          <w:p w:rsidR="002F3C3B" w:rsidRPr="007241E8" w:rsidRDefault="002F3C3B" w:rsidP="002F3C3B">
            <w:pPr>
              <w:pStyle w:val="Tabletext"/>
            </w:pPr>
            <w:r w:rsidRPr="007241E8">
              <w:t>100%</w:t>
            </w:r>
          </w:p>
        </w:tc>
        <w:tc>
          <w:tcPr>
            <w:tcW w:w="0" w:type="auto"/>
            <w:shd w:val="clear" w:color="auto" w:fill="auto"/>
          </w:tcPr>
          <w:p w:rsidR="002F3C3B" w:rsidRPr="007241E8" w:rsidRDefault="002F3C3B" w:rsidP="002F3C3B">
            <w:pPr>
              <w:pStyle w:val="Tabletext"/>
            </w:pPr>
            <w:r w:rsidRPr="007241E8">
              <w:t>100%</w:t>
            </w:r>
          </w:p>
        </w:tc>
      </w:tr>
      <w:tr w:rsidR="002F3C3B" w:rsidRPr="0077649A" w:rsidTr="006E00C2">
        <w:tc>
          <w:tcPr>
            <w:tcW w:w="0" w:type="auto"/>
            <w:shd w:val="clear" w:color="auto" w:fill="auto"/>
          </w:tcPr>
          <w:p w:rsidR="002F3C3B" w:rsidRPr="00294E67" w:rsidRDefault="00FC15E5" w:rsidP="00F37F7A">
            <w:pPr>
              <w:pStyle w:val="Tabletext"/>
            </w:pPr>
            <w:r>
              <w:t>C</w:t>
            </w:r>
            <w:r w:rsidRPr="00FC15E5">
              <w:t xml:space="preserve">ell enrichment LBC </w:t>
            </w:r>
            <w:r w:rsidR="002F3C3B">
              <w:t>for initial screening</w:t>
            </w:r>
          </w:p>
        </w:tc>
        <w:tc>
          <w:tcPr>
            <w:tcW w:w="0" w:type="auto"/>
            <w:shd w:val="clear" w:color="auto" w:fill="auto"/>
          </w:tcPr>
          <w:p w:rsidR="002F3C3B" w:rsidRPr="007241E8" w:rsidRDefault="002F3C3B" w:rsidP="002F3C3B">
            <w:pPr>
              <w:pStyle w:val="Tabletext"/>
            </w:pPr>
            <w:r w:rsidRPr="007241E8">
              <w:t>1,396,992</w:t>
            </w:r>
          </w:p>
        </w:tc>
        <w:tc>
          <w:tcPr>
            <w:tcW w:w="0" w:type="auto"/>
            <w:shd w:val="clear" w:color="auto" w:fill="auto"/>
          </w:tcPr>
          <w:p w:rsidR="002F3C3B" w:rsidRPr="007241E8" w:rsidRDefault="002F3C3B" w:rsidP="002F3C3B">
            <w:pPr>
              <w:pStyle w:val="Tabletext"/>
            </w:pPr>
            <w:r w:rsidRPr="007241E8">
              <w:t>1,401,410</w:t>
            </w:r>
          </w:p>
        </w:tc>
        <w:tc>
          <w:tcPr>
            <w:tcW w:w="0" w:type="auto"/>
            <w:shd w:val="clear" w:color="auto" w:fill="auto"/>
          </w:tcPr>
          <w:p w:rsidR="002F3C3B" w:rsidRPr="007241E8" w:rsidRDefault="002F3C3B" w:rsidP="002F3C3B">
            <w:pPr>
              <w:pStyle w:val="Tabletext"/>
            </w:pPr>
            <w:r w:rsidRPr="007241E8">
              <w:t>1,405,828</w:t>
            </w:r>
          </w:p>
        </w:tc>
        <w:tc>
          <w:tcPr>
            <w:tcW w:w="0" w:type="auto"/>
            <w:shd w:val="clear" w:color="auto" w:fill="auto"/>
          </w:tcPr>
          <w:p w:rsidR="002F3C3B" w:rsidRPr="007241E8" w:rsidRDefault="002F3C3B" w:rsidP="002F3C3B">
            <w:pPr>
              <w:pStyle w:val="Tabletext"/>
            </w:pPr>
            <w:r w:rsidRPr="007241E8">
              <w:t>1,410,246</w:t>
            </w:r>
          </w:p>
        </w:tc>
        <w:tc>
          <w:tcPr>
            <w:tcW w:w="0" w:type="auto"/>
            <w:shd w:val="clear" w:color="auto" w:fill="auto"/>
          </w:tcPr>
          <w:p w:rsidR="002F3C3B" w:rsidRDefault="002F3C3B" w:rsidP="002F3C3B">
            <w:pPr>
              <w:pStyle w:val="Tabletext"/>
            </w:pPr>
            <w:r w:rsidRPr="007241E8">
              <w:t>1,414,664</w:t>
            </w:r>
          </w:p>
        </w:tc>
      </w:tr>
      <w:tr w:rsidR="00C5321C" w:rsidRPr="006E00C2" w:rsidTr="006E00C2">
        <w:tc>
          <w:tcPr>
            <w:tcW w:w="0" w:type="auto"/>
            <w:gridSpan w:val="6"/>
            <w:shd w:val="clear" w:color="auto" w:fill="auto"/>
          </w:tcPr>
          <w:p w:rsidR="00C5321C" w:rsidRPr="006E00C2" w:rsidRDefault="00C5321C" w:rsidP="00F37F7A">
            <w:pPr>
              <w:pStyle w:val="Tabletext"/>
              <w:rPr>
                <w:b/>
              </w:rPr>
            </w:pPr>
            <w:r w:rsidRPr="006E00C2">
              <w:rPr>
                <w:b/>
              </w:rPr>
              <w:t xml:space="preserve">Use of </w:t>
            </w:r>
            <w:r w:rsidR="00FC15E5" w:rsidRPr="00FC15E5">
              <w:rPr>
                <w:b/>
              </w:rPr>
              <w:t xml:space="preserve">cell enrichment LBC </w:t>
            </w:r>
            <w:r w:rsidRPr="006E00C2">
              <w:rPr>
                <w:b/>
              </w:rPr>
              <w:t>for re-tests due to unsatisfactory smear</w:t>
            </w:r>
          </w:p>
        </w:tc>
      </w:tr>
      <w:tr w:rsidR="002F3C3B" w:rsidRPr="0077649A" w:rsidTr="006E00C2">
        <w:tc>
          <w:tcPr>
            <w:tcW w:w="0" w:type="auto"/>
            <w:shd w:val="clear" w:color="auto" w:fill="auto"/>
          </w:tcPr>
          <w:p w:rsidR="002F3C3B" w:rsidRDefault="002F3C3B" w:rsidP="00F37F7A">
            <w:pPr>
              <w:pStyle w:val="Tabletext"/>
            </w:pPr>
            <w:r>
              <w:t xml:space="preserve">Initial screening tests using </w:t>
            </w:r>
            <w:r w:rsidR="00FC15E5" w:rsidRPr="00FC15E5">
              <w:t>cell enrichment LBC</w:t>
            </w:r>
          </w:p>
        </w:tc>
        <w:tc>
          <w:tcPr>
            <w:tcW w:w="0" w:type="auto"/>
            <w:shd w:val="clear" w:color="auto" w:fill="auto"/>
          </w:tcPr>
          <w:p w:rsidR="002F3C3B" w:rsidRPr="00FE4E40" w:rsidRDefault="002F3C3B" w:rsidP="002F3C3B">
            <w:pPr>
              <w:pStyle w:val="Tabletext"/>
            </w:pPr>
            <w:r w:rsidRPr="00FE4E40">
              <w:t>1,396,992</w:t>
            </w:r>
          </w:p>
        </w:tc>
        <w:tc>
          <w:tcPr>
            <w:tcW w:w="0" w:type="auto"/>
            <w:shd w:val="clear" w:color="auto" w:fill="auto"/>
          </w:tcPr>
          <w:p w:rsidR="002F3C3B" w:rsidRPr="00FE4E40" w:rsidRDefault="002F3C3B" w:rsidP="002F3C3B">
            <w:pPr>
              <w:pStyle w:val="Tabletext"/>
            </w:pPr>
            <w:r w:rsidRPr="00FE4E40">
              <w:t>1,401,410</w:t>
            </w:r>
          </w:p>
        </w:tc>
        <w:tc>
          <w:tcPr>
            <w:tcW w:w="0" w:type="auto"/>
            <w:shd w:val="clear" w:color="auto" w:fill="auto"/>
          </w:tcPr>
          <w:p w:rsidR="002F3C3B" w:rsidRPr="00FE4E40" w:rsidRDefault="002F3C3B" w:rsidP="002F3C3B">
            <w:pPr>
              <w:pStyle w:val="Tabletext"/>
            </w:pPr>
            <w:r w:rsidRPr="00FE4E40">
              <w:t>1,405,828</w:t>
            </w:r>
          </w:p>
        </w:tc>
        <w:tc>
          <w:tcPr>
            <w:tcW w:w="0" w:type="auto"/>
            <w:shd w:val="clear" w:color="auto" w:fill="auto"/>
          </w:tcPr>
          <w:p w:rsidR="002F3C3B" w:rsidRPr="00FE4E40" w:rsidRDefault="002F3C3B" w:rsidP="002F3C3B">
            <w:pPr>
              <w:pStyle w:val="Tabletext"/>
            </w:pPr>
            <w:r w:rsidRPr="00FE4E40">
              <w:t>1,410,246</w:t>
            </w:r>
          </w:p>
        </w:tc>
        <w:tc>
          <w:tcPr>
            <w:tcW w:w="0" w:type="auto"/>
            <w:shd w:val="clear" w:color="auto" w:fill="auto"/>
          </w:tcPr>
          <w:p w:rsidR="002F3C3B" w:rsidRPr="00FE4E40" w:rsidRDefault="002F3C3B" w:rsidP="002F3C3B">
            <w:pPr>
              <w:pStyle w:val="Tabletext"/>
            </w:pPr>
            <w:r w:rsidRPr="00FE4E40">
              <w:t>1,414,664</w:t>
            </w:r>
          </w:p>
        </w:tc>
      </w:tr>
      <w:tr w:rsidR="002F3C3B" w:rsidRPr="0077649A" w:rsidTr="006E00C2">
        <w:tc>
          <w:tcPr>
            <w:tcW w:w="0" w:type="auto"/>
            <w:shd w:val="clear" w:color="auto" w:fill="auto"/>
          </w:tcPr>
          <w:p w:rsidR="002F3C3B" w:rsidRPr="00294E67" w:rsidRDefault="002F3C3B" w:rsidP="00F37F7A">
            <w:pPr>
              <w:pStyle w:val="Tabletext"/>
            </w:pPr>
            <w:r>
              <w:t xml:space="preserve">% of unsatisfactory tests with </w:t>
            </w:r>
            <w:r w:rsidR="00FC15E5" w:rsidRPr="00FC15E5">
              <w:t>cell enrichment LBC</w:t>
            </w:r>
          </w:p>
        </w:tc>
        <w:tc>
          <w:tcPr>
            <w:tcW w:w="0" w:type="auto"/>
            <w:shd w:val="clear" w:color="auto" w:fill="auto"/>
          </w:tcPr>
          <w:p w:rsidR="002F3C3B" w:rsidRPr="00FE4E40" w:rsidRDefault="002F3C3B" w:rsidP="002F3C3B">
            <w:pPr>
              <w:pStyle w:val="Tabletext"/>
            </w:pPr>
            <w:r w:rsidRPr="00FE4E40">
              <w:t>1.13%</w:t>
            </w:r>
          </w:p>
        </w:tc>
        <w:tc>
          <w:tcPr>
            <w:tcW w:w="0" w:type="auto"/>
            <w:shd w:val="clear" w:color="auto" w:fill="auto"/>
          </w:tcPr>
          <w:p w:rsidR="002F3C3B" w:rsidRPr="00FE4E40" w:rsidRDefault="002F3C3B" w:rsidP="002F3C3B">
            <w:pPr>
              <w:pStyle w:val="Tabletext"/>
            </w:pPr>
            <w:r w:rsidRPr="00FE4E40">
              <w:t>1.13%</w:t>
            </w:r>
          </w:p>
        </w:tc>
        <w:tc>
          <w:tcPr>
            <w:tcW w:w="0" w:type="auto"/>
            <w:shd w:val="clear" w:color="auto" w:fill="auto"/>
          </w:tcPr>
          <w:p w:rsidR="002F3C3B" w:rsidRPr="00FE4E40" w:rsidRDefault="002F3C3B" w:rsidP="002F3C3B">
            <w:pPr>
              <w:pStyle w:val="Tabletext"/>
            </w:pPr>
            <w:r w:rsidRPr="00FE4E40">
              <w:t>1.13%</w:t>
            </w:r>
          </w:p>
        </w:tc>
        <w:tc>
          <w:tcPr>
            <w:tcW w:w="0" w:type="auto"/>
            <w:shd w:val="clear" w:color="auto" w:fill="auto"/>
          </w:tcPr>
          <w:p w:rsidR="002F3C3B" w:rsidRPr="00FE4E40" w:rsidRDefault="002F3C3B" w:rsidP="002F3C3B">
            <w:pPr>
              <w:pStyle w:val="Tabletext"/>
            </w:pPr>
            <w:r w:rsidRPr="00FE4E40">
              <w:t>1.13%</w:t>
            </w:r>
          </w:p>
        </w:tc>
        <w:tc>
          <w:tcPr>
            <w:tcW w:w="0" w:type="auto"/>
            <w:shd w:val="clear" w:color="auto" w:fill="auto"/>
          </w:tcPr>
          <w:p w:rsidR="002F3C3B" w:rsidRPr="00FE4E40" w:rsidRDefault="002F3C3B" w:rsidP="002F3C3B">
            <w:pPr>
              <w:pStyle w:val="Tabletext"/>
            </w:pPr>
            <w:r w:rsidRPr="00FE4E40">
              <w:t>1.13%</w:t>
            </w:r>
          </w:p>
        </w:tc>
      </w:tr>
      <w:tr w:rsidR="002F3C3B" w:rsidRPr="0077649A" w:rsidTr="006E00C2">
        <w:tc>
          <w:tcPr>
            <w:tcW w:w="0" w:type="auto"/>
            <w:shd w:val="clear" w:color="auto" w:fill="auto"/>
          </w:tcPr>
          <w:p w:rsidR="002F3C3B" w:rsidRPr="00294E67" w:rsidRDefault="00FC15E5" w:rsidP="00F37F7A">
            <w:pPr>
              <w:pStyle w:val="Tabletext"/>
            </w:pPr>
            <w:r w:rsidRPr="00FC15E5">
              <w:t xml:space="preserve">cell enrichment LBC </w:t>
            </w:r>
            <w:r w:rsidR="002F3C3B">
              <w:t xml:space="preserve">for re-tests due to unsatisfactory smear </w:t>
            </w:r>
          </w:p>
        </w:tc>
        <w:tc>
          <w:tcPr>
            <w:tcW w:w="0" w:type="auto"/>
            <w:tcBorders>
              <w:bottom w:val="single" w:sz="4" w:space="0" w:color="000000"/>
            </w:tcBorders>
            <w:shd w:val="clear" w:color="auto" w:fill="auto"/>
          </w:tcPr>
          <w:p w:rsidR="002F3C3B" w:rsidRPr="00FE4E40" w:rsidRDefault="002F3C3B" w:rsidP="002F3C3B">
            <w:pPr>
              <w:pStyle w:val="Tabletext"/>
            </w:pPr>
            <w:r w:rsidRPr="00FE4E40">
              <w:t>15,835</w:t>
            </w:r>
          </w:p>
        </w:tc>
        <w:tc>
          <w:tcPr>
            <w:tcW w:w="0" w:type="auto"/>
            <w:tcBorders>
              <w:bottom w:val="single" w:sz="4" w:space="0" w:color="000000"/>
            </w:tcBorders>
            <w:shd w:val="clear" w:color="auto" w:fill="auto"/>
          </w:tcPr>
          <w:p w:rsidR="002F3C3B" w:rsidRPr="00FE4E40" w:rsidRDefault="002F3C3B" w:rsidP="002F3C3B">
            <w:pPr>
              <w:pStyle w:val="Tabletext"/>
            </w:pPr>
            <w:r w:rsidRPr="00FE4E40">
              <w:t>15,885</w:t>
            </w:r>
          </w:p>
        </w:tc>
        <w:tc>
          <w:tcPr>
            <w:tcW w:w="0" w:type="auto"/>
            <w:tcBorders>
              <w:bottom w:val="single" w:sz="4" w:space="0" w:color="000000"/>
            </w:tcBorders>
            <w:shd w:val="clear" w:color="auto" w:fill="auto"/>
          </w:tcPr>
          <w:p w:rsidR="002F3C3B" w:rsidRPr="00FE4E40" w:rsidRDefault="002F3C3B" w:rsidP="002F3C3B">
            <w:pPr>
              <w:pStyle w:val="Tabletext"/>
            </w:pPr>
            <w:r w:rsidRPr="00FE4E40">
              <w:t>15,935</w:t>
            </w:r>
          </w:p>
        </w:tc>
        <w:tc>
          <w:tcPr>
            <w:tcW w:w="0" w:type="auto"/>
            <w:tcBorders>
              <w:bottom w:val="single" w:sz="4" w:space="0" w:color="000000"/>
            </w:tcBorders>
            <w:shd w:val="clear" w:color="auto" w:fill="auto"/>
          </w:tcPr>
          <w:p w:rsidR="002F3C3B" w:rsidRPr="00FE4E40" w:rsidRDefault="002F3C3B" w:rsidP="002F3C3B">
            <w:pPr>
              <w:pStyle w:val="Tabletext"/>
            </w:pPr>
            <w:r w:rsidRPr="00FE4E40">
              <w:t>15,985</w:t>
            </w:r>
          </w:p>
        </w:tc>
        <w:tc>
          <w:tcPr>
            <w:tcW w:w="0" w:type="auto"/>
            <w:tcBorders>
              <w:bottom w:val="single" w:sz="4" w:space="0" w:color="000000"/>
            </w:tcBorders>
            <w:shd w:val="clear" w:color="auto" w:fill="auto"/>
          </w:tcPr>
          <w:p w:rsidR="002F3C3B" w:rsidRDefault="002F3C3B" w:rsidP="002F3C3B">
            <w:pPr>
              <w:pStyle w:val="Tabletext"/>
            </w:pPr>
            <w:r w:rsidRPr="00FE4E40">
              <w:t>16,035</w:t>
            </w:r>
          </w:p>
        </w:tc>
      </w:tr>
      <w:tr w:rsidR="00C5321C" w:rsidRPr="0077649A" w:rsidTr="006E00C2">
        <w:trPr>
          <w:trHeight w:val="70"/>
        </w:trPr>
        <w:tc>
          <w:tcPr>
            <w:tcW w:w="0" w:type="auto"/>
            <w:tcBorders>
              <w:right w:val="nil"/>
            </w:tcBorders>
            <w:shd w:val="clear" w:color="auto" w:fill="auto"/>
          </w:tcPr>
          <w:p w:rsidR="00C5321C" w:rsidRDefault="00C5321C" w:rsidP="00F37F7A">
            <w:pPr>
              <w:pStyle w:val="Tabletext"/>
            </w:pPr>
          </w:p>
        </w:tc>
        <w:tc>
          <w:tcPr>
            <w:tcW w:w="0" w:type="auto"/>
            <w:tcBorders>
              <w:left w:val="nil"/>
              <w:right w:val="nil"/>
            </w:tcBorders>
            <w:shd w:val="clear" w:color="auto" w:fill="auto"/>
          </w:tcPr>
          <w:p w:rsidR="00C5321C" w:rsidRDefault="00C5321C" w:rsidP="00F37F7A">
            <w:pPr>
              <w:pStyle w:val="Tabletext"/>
              <w:rPr>
                <w:rFonts w:ascii="Arial" w:hAnsi="Arial"/>
              </w:rPr>
            </w:pPr>
          </w:p>
        </w:tc>
        <w:tc>
          <w:tcPr>
            <w:tcW w:w="0" w:type="auto"/>
            <w:tcBorders>
              <w:left w:val="nil"/>
              <w:right w:val="nil"/>
            </w:tcBorders>
            <w:shd w:val="clear" w:color="auto" w:fill="auto"/>
          </w:tcPr>
          <w:p w:rsidR="00C5321C" w:rsidRDefault="00C5321C" w:rsidP="00F37F7A">
            <w:pPr>
              <w:pStyle w:val="Tabletext"/>
              <w:rPr>
                <w:rFonts w:ascii="Arial" w:hAnsi="Arial"/>
              </w:rPr>
            </w:pPr>
          </w:p>
        </w:tc>
        <w:tc>
          <w:tcPr>
            <w:tcW w:w="0" w:type="auto"/>
            <w:tcBorders>
              <w:left w:val="nil"/>
              <w:right w:val="nil"/>
            </w:tcBorders>
            <w:shd w:val="clear" w:color="auto" w:fill="auto"/>
          </w:tcPr>
          <w:p w:rsidR="00C5321C" w:rsidRDefault="00C5321C" w:rsidP="00F37F7A">
            <w:pPr>
              <w:pStyle w:val="Tabletext"/>
              <w:rPr>
                <w:rFonts w:ascii="Arial" w:hAnsi="Arial"/>
              </w:rPr>
            </w:pPr>
          </w:p>
        </w:tc>
        <w:tc>
          <w:tcPr>
            <w:tcW w:w="0" w:type="auto"/>
            <w:tcBorders>
              <w:left w:val="nil"/>
              <w:right w:val="nil"/>
            </w:tcBorders>
            <w:shd w:val="clear" w:color="auto" w:fill="auto"/>
          </w:tcPr>
          <w:p w:rsidR="00C5321C" w:rsidRDefault="00C5321C" w:rsidP="00F37F7A">
            <w:pPr>
              <w:pStyle w:val="Tabletext"/>
              <w:rPr>
                <w:rFonts w:ascii="Arial" w:hAnsi="Arial"/>
              </w:rPr>
            </w:pPr>
          </w:p>
        </w:tc>
        <w:tc>
          <w:tcPr>
            <w:tcW w:w="0" w:type="auto"/>
            <w:tcBorders>
              <w:left w:val="nil"/>
            </w:tcBorders>
            <w:shd w:val="clear" w:color="auto" w:fill="auto"/>
          </w:tcPr>
          <w:p w:rsidR="00C5321C" w:rsidRDefault="00C5321C" w:rsidP="00F37F7A">
            <w:pPr>
              <w:pStyle w:val="Tabletext"/>
              <w:rPr>
                <w:rFonts w:ascii="Arial" w:hAnsi="Arial"/>
              </w:rPr>
            </w:pPr>
          </w:p>
        </w:tc>
      </w:tr>
      <w:tr w:rsidR="002F3C3B" w:rsidRPr="0077649A" w:rsidTr="006E00C2">
        <w:tc>
          <w:tcPr>
            <w:tcW w:w="0" w:type="auto"/>
            <w:shd w:val="clear" w:color="auto" w:fill="auto"/>
          </w:tcPr>
          <w:p w:rsidR="002F3C3B" w:rsidRPr="00294E67" w:rsidRDefault="002F3C3B" w:rsidP="00F37F7A">
            <w:pPr>
              <w:pStyle w:val="Tabletext"/>
            </w:pPr>
            <w:r>
              <w:t>Total—</w:t>
            </w:r>
            <w:r w:rsidRPr="005655A4">
              <w:t>initial screening tests and re-tests due to previous unsatisfactory smear</w:t>
            </w:r>
          </w:p>
        </w:tc>
        <w:tc>
          <w:tcPr>
            <w:tcW w:w="0" w:type="auto"/>
            <w:shd w:val="clear" w:color="auto" w:fill="auto"/>
          </w:tcPr>
          <w:p w:rsidR="002F3C3B" w:rsidRPr="00DE01AD" w:rsidRDefault="002F3C3B" w:rsidP="002F3C3B">
            <w:pPr>
              <w:pStyle w:val="Tabletext"/>
            </w:pPr>
            <w:r w:rsidRPr="00DE01AD">
              <w:t>1,412,827</w:t>
            </w:r>
          </w:p>
        </w:tc>
        <w:tc>
          <w:tcPr>
            <w:tcW w:w="0" w:type="auto"/>
            <w:shd w:val="clear" w:color="auto" w:fill="auto"/>
          </w:tcPr>
          <w:p w:rsidR="002F3C3B" w:rsidRPr="00DE01AD" w:rsidRDefault="002F3C3B" w:rsidP="002F3C3B">
            <w:pPr>
              <w:pStyle w:val="Tabletext"/>
            </w:pPr>
            <w:r w:rsidRPr="00DE01AD">
              <w:t>1,417,295</w:t>
            </w:r>
          </w:p>
        </w:tc>
        <w:tc>
          <w:tcPr>
            <w:tcW w:w="0" w:type="auto"/>
            <w:shd w:val="clear" w:color="auto" w:fill="auto"/>
          </w:tcPr>
          <w:p w:rsidR="002F3C3B" w:rsidRPr="00DE01AD" w:rsidRDefault="002F3C3B" w:rsidP="002F3C3B">
            <w:pPr>
              <w:pStyle w:val="Tabletext"/>
            </w:pPr>
            <w:r w:rsidRPr="00DE01AD">
              <w:t>1,421,763</w:t>
            </w:r>
          </w:p>
        </w:tc>
        <w:tc>
          <w:tcPr>
            <w:tcW w:w="0" w:type="auto"/>
            <w:shd w:val="clear" w:color="auto" w:fill="auto"/>
          </w:tcPr>
          <w:p w:rsidR="002F3C3B" w:rsidRPr="00DE01AD" w:rsidRDefault="002F3C3B" w:rsidP="002F3C3B">
            <w:pPr>
              <w:pStyle w:val="Tabletext"/>
            </w:pPr>
            <w:r w:rsidRPr="00DE01AD">
              <w:t>1,426,231</w:t>
            </w:r>
          </w:p>
        </w:tc>
        <w:tc>
          <w:tcPr>
            <w:tcW w:w="0" w:type="auto"/>
            <w:shd w:val="clear" w:color="auto" w:fill="auto"/>
          </w:tcPr>
          <w:p w:rsidR="002F3C3B" w:rsidRDefault="002F3C3B" w:rsidP="002F3C3B">
            <w:pPr>
              <w:pStyle w:val="Tabletext"/>
            </w:pPr>
            <w:r w:rsidRPr="00DE01AD">
              <w:t>1,430,699</w:t>
            </w:r>
          </w:p>
        </w:tc>
      </w:tr>
    </w:tbl>
    <w:p w:rsidR="00C5321C" w:rsidRDefault="00C5321C" w:rsidP="006E00C2">
      <w:pPr>
        <w:pStyle w:val="Tabletext"/>
      </w:pPr>
      <w:r>
        <w:t xml:space="preserve">Note: Estimates relate to a 12-month period. Pro rata adjustments may be required to interpret these results. </w:t>
      </w:r>
    </w:p>
    <w:p w:rsidR="006E00C2" w:rsidRDefault="006E00C2" w:rsidP="00C5321C"/>
    <w:p w:rsidR="00C5321C" w:rsidRDefault="00C5321C" w:rsidP="00C5321C">
      <w:r>
        <w:t>The avail</w:t>
      </w:r>
      <w:r w:rsidR="002F3C3B">
        <w:t>able evidence suggests that 1.13</w:t>
      </w:r>
      <w:r w:rsidRPr="00294E67">
        <w:t xml:space="preserve">% of </w:t>
      </w:r>
      <w:r w:rsidR="00FC15E5">
        <w:t>cell enrichment</w:t>
      </w:r>
      <w:r w:rsidR="00FC15E5" w:rsidRPr="00902506">
        <w:t xml:space="preserve"> LBC </w:t>
      </w:r>
      <w:r>
        <w:t>tests</w:t>
      </w:r>
      <w:r w:rsidRPr="00294E67">
        <w:t xml:space="preserve"> return an unsatisfactory result due to an inadequate smear collection.</w:t>
      </w:r>
      <w:r>
        <w:t xml:space="preserve"> As shown in </w:t>
      </w:r>
      <w:r w:rsidR="00086C77">
        <w:fldChar w:fldCharType="begin"/>
      </w:r>
      <w:r>
        <w:instrText xml:space="preserve"> REF _Ref334435967 \h </w:instrText>
      </w:r>
      <w:r w:rsidR="00086C77">
        <w:fldChar w:fldCharType="separate"/>
      </w:r>
      <w:r w:rsidR="003361A8">
        <w:t xml:space="preserve">Table </w:t>
      </w:r>
      <w:r w:rsidR="003361A8">
        <w:rPr>
          <w:noProof/>
        </w:rPr>
        <w:t>87</w:t>
      </w:r>
      <w:r w:rsidR="00086C77">
        <w:fldChar w:fldCharType="end"/>
      </w:r>
      <w:r>
        <w:t>, this compares favourably with conventional cytology (vs</w:t>
      </w:r>
      <w:r w:rsidR="001B4A68">
        <w:t>.</w:t>
      </w:r>
      <w:r w:rsidR="002F3C3B">
        <w:t xml:space="preserve"> 2.12</w:t>
      </w:r>
      <w:r>
        <w:t xml:space="preserve">%). It can be thus estimated that approximately </w:t>
      </w:r>
      <w:r w:rsidR="002F3C3B">
        <w:t>16,000</w:t>
      </w:r>
      <w:r>
        <w:t xml:space="preserve"> re-tests would be required with </w:t>
      </w:r>
      <w:r w:rsidR="00FC15E5">
        <w:t>cell enrichment</w:t>
      </w:r>
      <w:r w:rsidR="00FC15E5" w:rsidRPr="00902506">
        <w:t xml:space="preserve"> LBC </w:t>
      </w:r>
      <w:r>
        <w:t xml:space="preserve">each year due to previous unsatisfactory smears, as shown in </w:t>
      </w:r>
      <w:r w:rsidR="00086C77">
        <w:fldChar w:fldCharType="begin"/>
      </w:r>
      <w:r>
        <w:instrText xml:space="preserve"> REF _Ref334450944 \h </w:instrText>
      </w:r>
      <w:r w:rsidR="00086C77">
        <w:fldChar w:fldCharType="separate"/>
      </w:r>
      <w:r w:rsidR="003361A8" w:rsidRPr="009C1F99">
        <w:t xml:space="preserve">Table </w:t>
      </w:r>
      <w:r w:rsidR="003361A8">
        <w:rPr>
          <w:noProof/>
        </w:rPr>
        <w:t>91</w:t>
      </w:r>
      <w:r w:rsidR="00086C77">
        <w:fldChar w:fldCharType="end"/>
      </w:r>
      <w:r>
        <w:t xml:space="preserve">. </w:t>
      </w:r>
    </w:p>
    <w:p w:rsidR="00C5321C" w:rsidRDefault="00C5321C" w:rsidP="00C5321C">
      <w:r>
        <w:t>In total, it is e</w:t>
      </w:r>
      <w:r w:rsidR="002F3C3B">
        <w:t>stimated that approximately 1.41–1.43</w:t>
      </w:r>
      <w:r>
        <w:t xml:space="preserve"> million </w:t>
      </w:r>
      <w:r w:rsidR="00FC15E5">
        <w:t>cell enrichment</w:t>
      </w:r>
      <w:r w:rsidR="00FC15E5" w:rsidRPr="00902506">
        <w:t xml:space="preserve"> LBC </w:t>
      </w:r>
      <w:r>
        <w:t>tests will b</w:t>
      </w:r>
      <w:r w:rsidR="006E00C2">
        <w:t xml:space="preserve">e performed each year in Year 1 to </w:t>
      </w:r>
      <w:r>
        <w:t xml:space="preserve">Year 5 of the listing for these two indications. Again, these estimates reflect the conservative assumption of full-up take to be achieved by </w:t>
      </w:r>
      <w:r w:rsidR="00FC15E5" w:rsidRPr="00FC15E5">
        <w:t>cell enrichment LBC</w:t>
      </w:r>
      <w:r>
        <w:t xml:space="preserve">. </w:t>
      </w:r>
    </w:p>
    <w:p w:rsidR="00C5321C" w:rsidRDefault="00C5321C" w:rsidP="00C5321C">
      <w:r>
        <w:t xml:space="preserve">In addition to its use for </w:t>
      </w:r>
      <w:r w:rsidRPr="002F27D7">
        <w:t xml:space="preserve">initial screening tests and re-tests due to </w:t>
      </w:r>
      <w:r>
        <w:t xml:space="preserve">a </w:t>
      </w:r>
      <w:r w:rsidRPr="002F27D7">
        <w:t>previous unsatisfactory smear</w:t>
      </w:r>
      <w:r>
        <w:t xml:space="preserve"> (currently performed using conventional cytology under Item 73053; see </w:t>
      </w:r>
      <w:r w:rsidR="00086C77">
        <w:fldChar w:fldCharType="begin"/>
      </w:r>
      <w:r w:rsidR="00086C77">
        <w:instrText xml:space="preserve"> REF _Ref334446169 \h  \* MERGEFORMAT </w:instrText>
      </w:r>
      <w:r w:rsidR="00086C77">
        <w:fldChar w:fldCharType="separate"/>
      </w:r>
      <w:r w:rsidR="003361A8" w:rsidRPr="0077649A">
        <w:t xml:space="preserve">Table </w:t>
      </w:r>
      <w:r w:rsidR="003361A8">
        <w:t>89</w:t>
      </w:r>
      <w:r w:rsidR="00086C77">
        <w:fldChar w:fldCharType="end"/>
      </w:r>
      <w:r>
        <w:t xml:space="preserve">), </w:t>
      </w:r>
      <w:r w:rsidR="006702EA">
        <w:t xml:space="preserve">cell enrichment </w:t>
      </w:r>
      <w:r>
        <w:t>LBC will be used for follow-up tests due to a positive screening test result (</w:t>
      </w:r>
      <w:r w:rsidRPr="001F1CE7">
        <w:t>i.e</w:t>
      </w:r>
      <w:r w:rsidR="00195600">
        <w:t>.</w:t>
      </w:r>
      <w:r w:rsidRPr="001F1CE7">
        <w:t xml:space="preserve"> pLSIL)</w:t>
      </w:r>
      <w:r>
        <w:t xml:space="preserve"> as well as other follow-up investigations (currently performed using conventional cytology under Item 73055; see </w:t>
      </w:r>
      <w:r w:rsidR="00086C77">
        <w:fldChar w:fldCharType="begin"/>
      </w:r>
      <w:r>
        <w:instrText xml:space="preserve"> REF _Ref334449902 \h </w:instrText>
      </w:r>
      <w:r w:rsidR="00086C77">
        <w:fldChar w:fldCharType="separate"/>
      </w:r>
      <w:r w:rsidR="003361A8" w:rsidRPr="009C1F99">
        <w:t xml:space="preserve">Table </w:t>
      </w:r>
      <w:r w:rsidR="003361A8">
        <w:rPr>
          <w:noProof/>
        </w:rPr>
        <w:t>90</w:t>
      </w:r>
      <w:r w:rsidR="00086C77">
        <w:fldChar w:fldCharType="end"/>
      </w:r>
      <w:r w:rsidR="00F37F7A">
        <w:t>).</w:t>
      </w:r>
    </w:p>
    <w:p w:rsidR="00C5321C" w:rsidRDefault="00086C77" w:rsidP="00C5321C">
      <w:r>
        <w:fldChar w:fldCharType="begin"/>
      </w:r>
      <w:r w:rsidR="00C5321C">
        <w:instrText xml:space="preserve"> REF _Ref334449902 \h </w:instrText>
      </w:r>
      <w:r>
        <w:fldChar w:fldCharType="separate"/>
      </w:r>
      <w:r w:rsidR="003361A8" w:rsidRPr="009C1F99">
        <w:t xml:space="preserve">Table </w:t>
      </w:r>
      <w:r w:rsidR="003361A8">
        <w:rPr>
          <w:noProof/>
        </w:rPr>
        <w:t>90</w:t>
      </w:r>
      <w:r>
        <w:fldChar w:fldCharType="end"/>
      </w:r>
      <w:r w:rsidR="00C5321C">
        <w:t xml:space="preserve"> estimated that a total of approximately </w:t>
      </w:r>
      <w:r w:rsidR="00C8491F">
        <w:t>23,000</w:t>
      </w:r>
      <w:r w:rsidR="00C5321C">
        <w:t xml:space="preserve"> conventional cytology tests are administered each year as a follow-up investigation for potential cervical cancer cases that are </w:t>
      </w:r>
      <w:r w:rsidR="00C5321C" w:rsidRPr="001B4A68">
        <w:rPr>
          <w:b/>
        </w:rPr>
        <w:t>identified outside of the screening program</w:t>
      </w:r>
      <w:r w:rsidR="00C5321C">
        <w:t xml:space="preserve">. The current analysis assumes that the listing of </w:t>
      </w:r>
      <w:r w:rsidR="00FC15E5">
        <w:t>cell enrichment</w:t>
      </w:r>
      <w:r w:rsidR="00FC15E5" w:rsidRPr="00902506">
        <w:t xml:space="preserve"> LBC </w:t>
      </w:r>
      <w:r w:rsidR="00C5321C">
        <w:t xml:space="preserve">would not affect the extent of cervical cytology test usage under this </w:t>
      </w:r>
      <w:r w:rsidR="00C5321C">
        <w:lastRenderedPageBreak/>
        <w:t xml:space="preserve">indication and, again based on the full </w:t>
      </w:r>
      <w:r w:rsidR="006F00EE">
        <w:t>uptake</w:t>
      </w:r>
      <w:r w:rsidR="00C5321C">
        <w:t xml:space="preserve"> assumption, all conventional cytology services will be replaced by </w:t>
      </w:r>
      <w:r w:rsidR="00FC15E5">
        <w:t>cell enrichment</w:t>
      </w:r>
      <w:r w:rsidR="00FC15E5" w:rsidRPr="00902506">
        <w:t xml:space="preserve"> LBC </w:t>
      </w:r>
      <w:r w:rsidR="00C5321C">
        <w:t xml:space="preserve">should it be added to the listing. This is shown in </w:t>
      </w:r>
      <w:r>
        <w:fldChar w:fldCharType="begin"/>
      </w:r>
      <w:r w:rsidR="00C5321C">
        <w:instrText xml:space="preserve"> REF _Ref334518936 \h </w:instrText>
      </w:r>
      <w:r>
        <w:fldChar w:fldCharType="separate"/>
      </w:r>
      <w:r w:rsidR="003361A8" w:rsidRPr="009C1F99">
        <w:t xml:space="preserve">Table </w:t>
      </w:r>
      <w:r w:rsidR="003361A8">
        <w:rPr>
          <w:noProof/>
        </w:rPr>
        <w:t>92</w:t>
      </w:r>
      <w:r>
        <w:fldChar w:fldCharType="end"/>
      </w:r>
      <w:r w:rsidR="00C5321C">
        <w:t xml:space="preserve">. </w:t>
      </w:r>
    </w:p>
    <w:p w:rsidR="00C5321C" w:rsidRDefault="00C5321C" w:rsidP="00C5321C">
      <w:r>
        <w:t xml:space="preserve">On the other hand, the number of follow-ups following </w:t>
      </w:r>
      <w:r w:rsidRPr="0076167A">
        <w:t>a positive screening test result</w:t>
      </w:r>
      <w:r>
        <w:t xml:space="preserve"> would slightly increase with </w:t>
      </w:r>
      <w:r w:rsidR="00FC15E5">
        <w:t>cell enrichment</w:t>
      </w:r>
      <w:r w:rsidR="00FC15E5" w:rsidRPr="00902506">
        <w:t xml:space="preserve"> LBC </w:t>
      </w:r>
      <w:r>
        <w:t xml:space="preserve">because of its higher sensitivity for pLSIL. This has been discussed in Section E.1.2. At a positive result rate of </w:t>
      </w:r>
      <w:r w:rsidR="00C8491F">
        <w:t>3.55</w:t>
      </w:r>
      <w:r>
        <w:t xml:space="preserve">% (see </w:t>
      </w:r>
      <w:r w:rsidR="00086C77">
        <w:fldChar w:fldCharType="begin"/>
      </w:r>
      <w:r>
        <w:instrText xml:space="preserve"> REF _Ref334435967 \h </w:instrText>
      </w:r>
      <w:r w:rsidR="00086C77">
        <w:fldChar w:fldCharType="separate"/>
      </w:r>
      <w:r w:rsidR="003361A8">
        <w:t xml:space="preserve">Table </w:t>
      </w:r>
      <w:r w:rsidR="003361A8">
        <w:rPr>
          <w:noProof/>
        </w:rPr>
        <w:t>87</w:t>
      </w:r>
      <w:r w:rsidR="00086C77">
        <w:fldChar w:fldCharType="end"/>
      </w:r>
      <w:r>
        <w:t xml:space="preserve">), around </w:t>
      </w:r>
      <w:r w:rsidR="00C8491F">
        <w:t>50,000</w:t>
      </w:r>
      <w:r>
        <w:t xml:space="preserve"> </w:t>
      </w:r>
      <w:r w:rsidR="00FC15E5">
        <w:t>cell enrichment</w:t>
      </w:r>
      <w:r w:rsidR="00FC15E5" w:rsidRPr="00902506">
        <w:t xml:space="preserve"> LBC </w:t>
      </w:r>
      <w:r>
        <w:t>tests are estimated to be administered each year following a positive test result with the initial scree</w:t>
      </w:r>
      <w:r w:rsidR="00DA3E4D">
        <w:t xml:space="preserve">ning test using </w:t>
      </w:r>
      <w:r w:rsidR="00FC15E5">
        <w:t>cell enrichment</w:t>
      </w:r>
      <w:r w:rsidR="00FC15E5" w:rsidRPr="00902506">
        <w:t xml:space="preserve"> LBC</w:t>
      </w:r>
      <w:r w:rsidR="00DA3E4D">
        <w:t>.</w:t>
      </w:r>
    </w:p>
    <w:p w:rsidR="00C5321C" w:rsidRPr="009C1F99" w:rsidRDefault="00C5321C" w:rsidP="00C5321C">
      <w:pPr>
        <w:pStyle w:val="Tablecaption"/>
      </w:pPr>
      <w:bookmarkStart w:id="607" w:name="_Ref334518936"/>
      <w:bookmarkStart w:id="608" w:name="_Toc335666065"/>
      <w:bookmarkStart w:id="609" w:name="_Toc337547032"/>
      <w:r w:rsidRPr="009C1F99">
        <w:t xml:space="preserve">Table </w:t>
      </w:r>
      <w:fldSimple w:instr=" SEQ Table \* ARABIC ">
        <w:r w:rsidR="003361A8">
          <w:rPr>
            <w:noProof/>
          </w:rPr>
          <w:t>92</w:t>
        </w:r>
      </w:fldSimple>
      <w:bookmarkEnd w:id="607"/>
      <w:r w:rsidRPr="009C1F99">
        <w:tab/>
      </w:r>
      <w:r>
        <w:t>Estimated</w:t>
      </w:r>
      <w:r w:rsidRPr="009C1F99">
        <w:t xml:space="preserve"> use of </w:t>
      </w:r>
      <w:r w:rsidR="00FC15E5" w:rsidRPr="00FC15E5">
        <w:t>cell enrichment LBC</w:t>
      </w:r>
      <w:r>
        <w:t xml:space="preserve"> as follow-up tests</w:t>
      </w:r>
      <w:r w:rsidR="005E0D57">
        <w:t>–</w:t>
      </w:r>
      <w:r>
        <w:t>follow-up due to a positive screening test and other follow-up investigations</w:t>
      </w:r>
      <w:bookmarkEnd w:id="608"/>
      <w:bookmarkEnd w:id="609"/>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2"/>
        <w:gridCol w:w="1105"/>
        <w:gridCol w:w="946"/>
        <w:gridCol w:w="946"/>
        <w:gridCol w:w="946"/>
        <w:gridCol w:w="946"/>
      </w:tblGrid>
      <w:tr w:rsidR="00C5321C" w:rsidRPr="00DA3E4D" w:rsidTr="00DA3E4D">
        <w:tc>
          <w:tcPr>
            <w:tcW w:w="0" w:type="auto"/>
            <w:shd w:val="clear" w:color="auto" w:fill="auto"/>
          </w:tcPr>
          <w:p w:rsidR="00C5321C" w:rsidRPr="00DA3E4D" w:rsidRDefault="00C5321C" w:rsidP="00340838">
            <w:pPr>
              <w:pStyle w:val="Tabletext"/>
              <w:rPr>
                <w:b/>
              </w:rPr>
            </w:pPr>
            <w:r w:rsidRPr="00DA3E4D">
              <w:rPr>
                <w:b/>
              </w:rPr>
              <w:t>Year</w:t>
            </w:r>
          </w:p>
        </w:tc>
        <w:tc>
          <w:tcPr>
            <w:tcW w:w="0" w:type="auto"/>
            <w:shd w:val="clear" w:color="auto" w:fill="auto"/>
          </w:tcPr>
          <w:p w:rsidR="00C5321C" w:rsidRPr="00DA3E4D" w:rsidRDefault="00C5321C" w:rsidP="00340838">
            <w:pPr>
              <w:pStyle w:val="Tabletext"/>
              <w:rPr>
                <w:b/>
              </w:rPr>
            </w:pPr>
            <w:r w:rsidRPr="00DA3E4D">
              <w:rPr>
                <w:b/>
              </w:rPr>
              <w:t>Year 1 (2013)</w:t>
            </w:r>
          </w:p>
        </w:tc>
        <w:tc>
          <w:tcPr>
            <w:tcW w:w="0" w:type="auto"/>
            <w:shd w:val="clear" w:color="auto" w:fill="auto"/>
          </w:tcPr>
          <w:p w:rsidR="00C5321C" w:rsidRPr="00DA3E4D" w:rsidRDefault="00C5321C" w:rsidP="00340838">
            <w:pPr>
              <w:pStyle w:val="Tabletext"/>
              <w:rPr>
                <w:b/>
              </w:rPr>
            </w:pPr>
            <w:r w:rsidRPr="00DA3E4D">
              <w:rPr>
                <w:b/>
              </w:rPr>
              <w:t>Year 2</w:t>
            </w:r>
          </w:p>
        </w:tc>
        <w:tc>
          <w:tcPr>
            <w:tcW w:w="0" w:type="auto"/>
            <w:shd w:val="clear" w:color="auto" w:fill="auto"/>
          </w:tcPr>
          <w:p w:rsidR="00C5321C" w:rsidRPr="00DA3E4D" w:rsidRDefault="00C5321C" w:rsidP="00340838">
            <w:pPr>
              <w:pStyle w:val="Tabletext"/>
              <w:rPr>
                <w:b/>
              </w:rPr>
            </w:pPr>
            <w:r w:rsidRPr="00DA3E4D">
              <w:rPr>
                <w:b/>
              </w:rPr>
              <w:t>Year 3</w:t>
            </w:r>
          </w:p>
        </w:tc>
        <w:tc>
          <w:tcPr>
            <w:tcW w:w="0" w:type="auto"/>
            <w:shd w:val="clear" w:color="auto" w:fill="auto"/>
          </w:tcPr>
          <w:p w:rsidR="00C5321C" w:rsidRPr="00DA3E4D" w:rsidRDefault="00C5321C" w:rsidP="00340838">
            <w:pPr>
              <w:pStyle w:val="Tabletext"/>
              <w:rPr>
                <w:b/>
              </w:rPr>
            </w:pPr>
            <w:r w:rsidRPr="00DA3E4D">
              <w:rPr>
                <w:b/>
              </w:rPr>
              <w:t>Year 4</w:t>
            </w:r>
          </w:p>
        </w:tc>
        <w:tc>
          <w:tcPr>
            <w:tcW w:w="0" w:type="auto"/>
            <w:shd w:val="clear" w:color="auto" w:fill="auto"/>
          </w:tcPr>
          <w:p w:rsidR="00C5321C" w:rsidRPr="00DA3E4D" w:rsidRDefault="00C5321C" w:rsidP="00340838">
            <w:pPr>
              <w:pStyle w:val="Tabletext"/>
              <w:rPr>
                <w:b/>
              </w:rPr>
            </w:pPr>
            <w:r w:rsidRPr="00DA3E4D">
              <w:rPr>
                <w:b/>
              </w:rPr>
              <w:t>Year 5</w:t>
            </w:r>
          </w:p>
        </w:tc>
      </w:tr>
      <w:tr w:rsidR="00C5321C" w:rsidRPr="00DA3E4D" w:rsidTr="00DA3E4D">
        <w:tc>
          <w:tcPr>
            <w:tcW w:w="0" w:type="auto"/>
            <w:gridSpan w:val="6"/>
            <w:shd w:val="clear" w:color="auto" w:fill="auto"/>
          </w:tcPr>
          <w:p w:rsidR="00C5321C" w:rsidRPr="00DA3E4D" w:rsidRDefault="00FC15E5" w:rsidP="00340838">
            <w:pPr>
              <w:pStyle w:val="Tabletext"/>
              <w:rPr>
                <w:b/>
              </w:rPr>
            </w:pPr>
            <w:r>
              <w:rPr>
                <w:b/>
              </w:rPr>
              <w:t>C</w:t>
            </w:r>
            <w:r w:rsidRPr="00FC15E5">
              <w:rPr>
                <w:b/>
              </w:rPr>
              <w:t xml:space="preserve">ell enrichment LBC </w:t>
            </w:r>
            <w:r w:rsidR="00C5321C" w:rsidRPr="00DA3E4D">
              <w:rPr>
                <w:b/>
              </w:rPr>
              <w:t>for other follow-up investigations</w:t>
            </w:r>
          </w:p>
        </w:tc>
      </w:tr>
      <w:tr w:rsidR="00C8491F" w:rsidRPr="0077649A" w:rsidTr="00D469F2">
        <w:tc>
          <w:tcPr>
            <w:tcW w:w="0" w:type="auto"/>
            <w:shd w:val="clear" w:color="auto" w:fill="auto"/>
          </w:tcPr>
          <w:p w:rsidR="00C8491F" w:rsidRPr="00294E67" w:rsidRDefault="00C8491F" w:rsidP="00340838">
            <w:pPr>
              <w:pStyle w:val="Tabletext"/>
            </w:pPr>
            <w:r>
              <w:t>73055</w:t>
            </w:r>
            <w:r w:rsidRPr="00294E67">
              <w:t xml:space="preserve"> services due to </w:t>
            </w:r>
            <w:r>
              <w:t xml:space="preserve">other follow-up investigations </w:t>
            </w:r>
            <w:r w:rsidRPr="00294E67">
              <w:t>(see</w:t>
            </w:r>
            <w:r>
              <w:t xml:space="preserve"> </w:t>
            </w:r>
            <w:r w:rsidR="00086C77">
              <w:fldChar w:fldCharType="begin"/>
            </w:r>
            <w:r w:rsidR="00086C77">
              <w:instrText xml:space="preserve"> REF _Ref334449902 \h  \* MERGEFORMAT </w:instrText>
            </w:r>
            <w:r w:rsidR="00086C77">
              <w:fldChar w:fldCharType="separate"/>
            </w:r>
            <w:r w:rsidR="003361A8" w:rsidRPr="009C1F99">
              <w:t xml:space="preserve">Table </w:t>
            </w:r>
            <w:r w:rsidR="003361A8">
              <w:rPr>
                <w:noProof/>
              </w:rPr>
              <w:t>90</w:t>
            </w:r>
            <w:r w:rsidR="00086C77">
              <w:fldChar w:fldCharType="end"/>
            </w:r>
            <w:r w:rsidRPr="00294E67">
              <w:t xml:space="preserve">) </w:t>
            </w:r>
          </w:p>
        </w:tc>
        <w:tc>
          <w:tcPr>
            <w:tcW w:w="0" w:type="auto"/>
            <w:shd w:val="clear" w:color="auto" w:fill="auto"/>
          </w:tcPr>
          <w:p w:rsidR="00C8491F" w:rsidRPr="006270A0" w:rsidRDefault="00C8491F" w:rsidP="00C8491F">
            <w:pPr>
              <w:pStyle w:val="Tabletext"/>
            </w:pPr>
            <w:r w:rsidRPr="006270A0">
              <w:t>230,441</w:t>
            </w:r>
          </w:p>
        </w:tc>
        <w:tc>
          <w:tcPr>
            <w:tcW w:w="0" w:type="auto"/>
            <w:shd w:val="clear" w:color="auto" w:fill="auto"/>
          </w:tcPr>
          <w:p w:rsidR="00C8491F" w:rsidRPr="006270A0" w:rsidRDefault="00C8491F" w:rsidP="00C8491F">
            <w:pPr>
              <w:pStyle w:val="Tabletext"/>
            </w:pPr>
            <w:r w:rsidRPr="006270A0">
              <w:t>230,213</w:t>
            </w:r>
          </w:p>
        </w:tc>
        <w:tc>
          <w:tcPr>
            <w:tcW w:w="0" w:type="auto"/>
            <w:shd w:val="clear" w:color="auto" w:fill="auto"/>
          </w:tcPr>
          <w:p w:rsidR="00C8491F" w:rsidRPr="006270A0" w:rsidRDefault="00C8491F" w:rsidP="00C8491F">
            <w:pPr>
              <w:pStyle w:val="Tabletext"/>
            </w:pPr>
            <w:r w:rsidRPr="006270A0">
              <w:t>229,986</w:t>
            </w:r>
          </w:p>
        </w:tc>
        <w:tc>
          <w:tcPr>
            <w:tcW w:w="0" w:type="auto"/>
            <w:shd w:val="clear" w:color="auto" w:fill="auto"/>
          </w:tcPr>
          <w:p w:rsidR="00C8491F" w:rsidRPr="006270A0" w:rsidRDefault="00C8491F" w:rsidP="00C8491F">
            <w:pPr>
              <w:pStyle w:val="Tabletext"/>
            </w:pPr>
            <w:r w:rsidRPr="006270A0">
              <w:t>229,758</w:t>
            </w:r>
          </w:p>
        </w:tc>
        <w:tc>
          <w:tcPr>
            <w:tcW w:w="0" w:type="auto"/>
            <w:shd w:val="clear" w:color="auto" w:fill="auto"/>
          </w:tcPr>
          <w:p w:rsidR="00C8491F" w:rsidRPr="006270A0" w:rsidRDefault="00C8491F" w:rsidP="00C8491F">
            <w:pPr>
              <w:pStyle w:val="Tabletext"/>
            </w:pPr>
            <w:r w:rsidRPr="006270A0">
              <w:t>229,530</w:t>
            </w:r>
          </w:p>
        </w:tc>
      </w:tr>
      <w:tr w:rsidR="00C8491F" w:rsidRPr="0077649A" w:rsidTr="00D469F2">
        <w:tc>
          <w:tcPr>
            <w:tcW w:w="0" w:type="auto"/>
            <w:shd w:val="clear" w:color="auto" w:fill="auto"/>
          </w:tcPr>
          <w:p w:rsidR="00C8491F" w:rsidRPr="00294E67" w:rsidRDefault="00C8491F" w:rsidP="00340838">
            <w:pPr>
              <w:pStyle w:val="Tabletext"/>
            </w:pPr>
            <w:r>
              <w:t xml:space="preserve">Uptake of </w:t>
            </w:r>
            <w:r w:rsidR="00FC15E5" w:rsidRPr="00FC15E5">
              <w:t>cell enrichment LBC</w:t>
            </w:r>
          </w:p>
        </w:tc>
        <w:tc>
          <w:tcPr>
            <w:tcW w:w="0" w:type="auto"/>
            <w:shd w:val="clear" w:color="auto" w:fill="auto"/>
          </w:tcPr>
          <w:p w:rsidR="00C8491F" w:rsidRPr="006270A0" w:rsidRDefault="00C8491F" w:rsidP="00C8491F">
            <w:pPr>
              <w:pStyle w:val="Tabletext"/>
            </w:pPr>
            <w:r w:rsidRPr="006270A0">
              <w:t>100%</w:t>
            </w:r>
          </w:p>
        </w:tc>
        <w:tc>
          <w:tcPr>
            <w:tcW w:w="0" w:type="auto"/>
            <w:shd w:val="clear" w:color="auto" w:fill="auto"/>
          </w:tcPr>
          <w:p w:rsidR="00C8491F" w:rsidRPr="006270A0" w:rsidRDefault="00C8491F" w:rsidP="00C8491F">
            <w:pPr>
              <w:pStyle w:val="Tabletext"/>
            </w:pPr>
            <w:r w:rsidRPr="006270A0">
              <w:t>100%</w:t>
            </w:r>
          </w:p>
        </w:tc>
        <w:tc>
          <w:tcPr>
            <w:tcW w:w="0" w:type="auto"/>
            <w:shd w:val="clear" w:color="auto" w:fill="auto"/>
          </w:tcPr>
          <w:p w:rsidR="00C8491F" w:rsidRPr="006270A0" w:rsidRDefault="00C8491F" w:rsidP="00C8491F">
            <w:pPr>
              <w:pStyle w:val="Tabletext"/>
            </w:pPr>
            <w:r w:rsidRPr="006270A0">
              <w:t>100%</w:t>
            </w:r>
          </w:p>
        </w:tc>
        <w:tc>
          <w:tcPr>
            <w:tcW w:w="0" w:type="auto"/>
            <w:shd w:val="clear" w:color="auto" w:fill="auto"/>
          </w:tcPr>
          <w:p w:rsidR="00C8491F" w:rsidRPr="006270A0" w:rsidRDefault="00C8491F" w:rsidP="00C8491F">
            <w:pPr>
              <w:pStyle w:val="Tabletext"/>
            </w:pPr>
            <w:r w:rsidRPr="006270A0">
              <w:t>100%</w:t>
            </w:r>
          </w:p>
        </w:tc>
        <w:tc>
          <w:tcPr>
            <w:tcW w:w="0" w:type="auto"/>
            <w:shd w:val="clear" w:color="auto" w:fill="auto"/>
          </w:tcPr>
          <w:p w:rsidR="00C8491F" w:rsidRPr="006270A0" w:rsidRDefault="00C8491F" w:rsidP="00C8491F">
            <w:pPr>
              <w:pStyle w:val="Tabletext"/>
            </w:pPr>
            <w:r w:rsidRPr="006270A0">
              <w:t>100%</w:t>
            </w:r>
          </w:p>
        </w:tc>
      </w:tr>
      <w:tr w:rsidR="00C8491F" w:rsidRPr="0077649A" w:rsidTr="00D469F2">
        <w:tc>
          <w:tcPr>
            <w:tcW w:w="0" w:type="auto"/>
            <w:shd w:val="clear" w:color="auto" w:fill="auto"/>
          </w:tcPr>
          <w:p w:rsidR="00C8491F" w:rsidRPr="00294E67" w:rsidRDefault="002E19A8" w:rsidP="00340838">
            <w:pPr>
              <w:pStyle w:val="Tabletext"/>
            </w:pPr>
            <w:r>
              <w:t>C</w:t>
            </w:r>
            <w:r w:rsidR="00FC15E5" w:rsidRPr="00FC15E5">
              <w:t xml:space="preserve">ell enrichment LBC </w:t>
            </w:r>
            <w:r w:rsidR="00C8491F">
              <w:t>for other follow-up investigations</w:t>
            </w:r>
          </w:p>
        </w:tc>
        <w:tc>
          <w:tcPr>
            <w:tcW w:w="0" w:type="auto"/>
            <w:shd w:val="clear" w:color="auto" w:fill="auto"/>
          </w:tcPr>
          <w:p w:rsidR="00C8491F" w:rsidRPr="006270A0" w:rsidRDefault="00C8491F" w:rsidP="00C8491F">
            <w:pPr>
              <w:pStyle w:val="Tabletext"/>
            </w:pPr>
            <w:r w:rsidRPr="006270A0">
              <w:t>230,441</w:t>
            </w:r>
          </w:p>
        </w:tc>
        <w:tc>
          <w:tcPr>
            <w:tcW w:w="0" w:type="auto"/>
            <w:shd w:val="clear" w:color="auto" w:fill="auto"/>
          </w:tcPr>
          <w:p w:rsidR="00C8491F" w:rsidRPr="006270A0" w:rsidRDefault="00C8491F" w:rsidP="00C8491F">
            <w:pPr>
              <w:pStyle w:val="Tabletext"/>
            </w:pPr>
            <w:r w:rsidRPr="006270A0">
              <w:t>230,213</w:t>
            </w:r>
          </w:p>
        </w:tc>
        <w:tc>
          <w:tcPr>
            <w:tcW w:w="0" w:type="auto"/>
            <w:shd w:val="clear" w:color="auto" w:fill="auto"/>
          </w:tcPr>
          <w:p w:rsidR="00C8491F" w:rsidRPr="006270A0" w:rsidRDefault="00C8491F" w:rsidP="00C8491F">
            <w:pPr>
              <w:pStyle w:val="Tabletext"/>
            </w:pPr>
            <w:r w:rsidRPr="006270A0">
              <w:t>229,986</w:t>
            </w:r>
          </w:p>
        </w:tc>
        <w:tc>
          <w:tcPr>
            <w:tcW w:w="0" w:type="auto"/>
            <w:shd w:val="clear" w:color="auto" w:fill="auto"/>
          </w:tcPr>
          <w:p w:rsidR="00C8491F" w:rsidRPr="006270A0" w:rsidRDefault="00C8491F" w:rsidP="00C8491F">
            <w:pPr>
              <w:pStyle w:val="Tabletext"/>
            </w:pPr>
            <w:r w:rsidRPr="006270A0">
              <w:t>229,758</w:t>
            </w:r>
          </w:p>
        </w:tc>
        <w:tc>
          <w:tcPr>
            <w:tcW w:w="0" w:type="auto"/>
            <w:shd w:val="clear" w:color="auto" w:fill="auto"/>
          </w:tcPr>
          <w:p w:rsidR="00C8491F" w:rsidRDefault="00C8491F" w:rsidP="00C8491F">
            <w:pPr>
              <w:pStyle w:val="Tabletext"/>
            </w:pPr>
            <w:r w:rsidRPr="006270A0">
              <w:t>229,530</w:t>
            </w:r>
          </w:p>
        </w:tc>
      </w:tr>
      <w:tr w:rsidR="00C5321C" w:rsidRPr="00DA3E4D" w:rsidTr="00D469F2">
        <w:tc>
          <w:tcPr>
            <w:tcW w:w="0" w:type="auto"/>
            <w:gridSpan w:val="6"/>
            <w:shd w:val="clear" w:color="auto" w:fill="auto"/>
          </w:tcPr>
          <w:p w:rsidR="00C5321C" w:rsidRPr="00DA3E4D" w:rsidRDefault="00FC15E5" w:rsidP="00340838">
            <w:pPr>
              <w:pStyle w:val="Tabletext"/>
              <w:rPr>
                <w:b/>
              </w:rPr>
            </w:pPr>
            <w:r>
              <w:rPr>
                <w:b/>
              </w:rPr>
              <w:t>C</w:t>
            </w:r>
            <w:r w:rsidRPr="00FC15E5">
              <w:rPr>
                <w:b/>
              </w:rPr>
              <w:t xml:space="preserve">ell enrichment LBC </w:t>
            </w:r>
            <w:r w:rsidR="00C5321C" w:rsidRPr="00DA3E4D">
              <w:rPr>
                <w:b/>
              </w:rPr>
              <w:t>for follow-up due to a positive screening test</w:t>
            </w:r>
          </w:p>
        </w:tc>
      </w:tr>
      <w:tr w:rsidR="00C8491F" w:rsidRPr="0077649A" w:rsidTr="00D469F2">
        <w:tc>
          <w:tcPr>
            <w:tcW w:w="0" w:type="auto"/>
            <w:shd w:val="clear" w:color="auto" w:fill="auto"/>
          </w:tcPr>
          <w:p w:rsidR="00C8491F" w:rsidRDefault="00C8491F" w:rsidP="00340838">
            <w:pPr>
              <w:pStyle w:val="Tabletext"/>
            </w:pPr>
            <w:r w:rsidRPr="00C2015E">
              <w:t xml:space="preserve">Initial screening tests using </w:t>
            </w:r>
            <w:r w:rsidR="00FC15E5" w:rsidRPr="00FC15E5">
              <w:t xml:space="preserve">cell enrichment LBC </w:t>
            </w:r>
            <w:r>
              <w:t xml:space="preserve">(see </w:t>
            </w:r>
            <w:r w:rsidR="00086C77">
              <w:fldChar w:fldCharType="begin"/>
            </w:r>
            <w:r w:rsidR="00086C77">
              <w:instrText xml:space="preserve"> REF _Ref334450944 \h  \* MERGEFORMAT </w:instrText>
            </w:r>
            <w:r w:rsidR="00086C77">
              <w:fldChar w:fldCharType="separate"/>
            </w:r>
            <w:r w:rsidR="003361A8" w:rsidRPr="009C1F99">
              <w:t xml:space="preserve">Table </w:t>
            </w:r>
            <w:r w:rsidR="003361A8">
              <w:rPr>
                <w:noProof/>
              </w:rPr>
              <w:t>91</w:t>
            </w:r>
            <w:r w:rsidR="00086C77">
              <w:fldChar w:fldCharType="end"/>
            </w:r>
            <w:r>
              <w:t>)</w:t>
            </w:r>
          </w:p>
        </w:tc>
        <w:tc>
          <w:tcPr>
            <w:tcW w:w="0" w:type="auto"/>
            <w:shd w:val="clear" w:color="auto" w:fill="auto"/>
          </w:tcPr>
          <w:p w:rsidR="00C8491F" w:rsidRPr="009F2A24" w:rsidRDefault="00C8491F" w:rsidP="00C8491F">
            <w:pPr>
              <w:pStyle w:val="Tabletext"/>
            </w:pPr>
            <w:r w:rsidRPr="009F2A24">
              <w:t>1,396,992</w:t>
            </w:r>
          </w:p>
        </w:tc>
        <w:tc>
          <w:tcPr>
            <w:tcW w:w="0" w:type="auto"/>
            <w:shd w:val="clear" w:color="auto" w:fill="auto"/>
          </w:tcPr>
          <w:p w:rsidR="00C8491F" w:rsidRPr="009F2A24" w:rsidRDefault="00C8491F" w:rsidP="00C8491F">
            <w:pPr>
              <w:pStyle w:val="Tabletext"/>
            </w:pPr>
            <w:r w:rsidRPr="009F2A24">
              <w:t>1,401,410</w:t>
            </w:r>
          </w:p>
        </w:tc>
        <w:tc>
          <w:tcPr>
            <w:tcW w:w="0" w:type="auto"/>
            <w:shd w:val="clear" w:color="auto" w:fill="auto"/>
          </w:tcPr>
          <w:p w:rsidR="00C8491F" w:rsidRPr="009F2A24" w:rsidRDefault="00C8491F" w:rsidP="00C8491F">
            <w:pPr>
              <w:pStyle w:val="Tabletext"/>
            </w:pPr>
            <w:r w:rsidRPr="009F2A24">
              <w:t>1,405,828</w:t>
            </w:r>
          </w:p>
        </w:tc>
        <w:tc>
          <w:tcPr>
            <w:tcW w:w="0" w:type="auto"/>
            <w:shd w:val="clear" w:color="auto" w:fill="auto"/>
          </w:tcPr>
          <w:p w:rsidR="00C8491F" w:rsidRPr="009F2A24" w:rsidRDefault="00C8491F" w:rsidP="00C8491F">
            <w:pPr>
              <w:pStyle w:val="Tabletext"/>
            </w:pPr>
            <w:r w:rsidRPr="009F2A24">
              <w:t>1,410,246</w:t>
            </w:r>
          </w:p>
        </w:tc>
        <w:tc>
          <w:tcPr>
            <w:tcW w:w="0" w:type="auto"/>
            <w:shd w:val="clear" w:color="auto" w:fill="auto"/>
          </w:tcPr>
          <w:p w:rsidR="00C8491F" w:rsidRPr="009F2A24" w:rsidRDefault="00C8491F" w:rsidP="00C8491F">
            <w:pPr>
              <w:pStyle w:val="Tabletext"/>
            </w:pPr>
            <w:r w:rsidRPr="009F2A24">
              <w:t>1,414,664</w:t>
            </w:r>
          </w:p>
        </w:tc>
      </w:tr>
      <w:tr w:rsidR="00C8491F" w:rsidRPr="0077649A" w:rsidTr="00D469F2">
        <w:tc>
          <w:tcPr>
            <w:tcW w:w="0" w:type="auto"/>
            <w:shd w:val="clear" w:color="auto" w:fill="auto"/>
          </w:tcPr>
          <w:p w:rsidR="00C8491F" w:rsidRPr="00294E67" w:rsidRDefault="00C8491F" w:rsidP="00340838">
            <w:pPr>
              <w:pStyle w:val="Tabletext"/>
            </w:pPr>
            <w:r>
              <w:t xml:space="preserve">% of positive tests (pLSIL) with </w:t>
            </w:r>
            <w:r w:rsidR="00FC15E5" w:rsidRPr="00FC15E5">
              <w:t>cell enrichment LBC</w:t>
            </w:r>
          </w:p>
        </w:tc>
        <w:tc>
          <w:tcPr>
            <w:tcW w:w="0" w:type="auto"/>
            <w:shd w:val="clear" w:color="auto" w:fill="auto"/>
          </w:tcPr>
          <w:p w:rsidR="00C8491F" w:rsidRPr="009F2A24" w:rsidRDefault="00C8491F" w:rsidP="00C8491F">
            <w:pPr>
              <w:pStyle w:val="Tabletext"/>
            </w:pPr>
            <w:r w:rsidRPr="009F2A24">
              <w:t>3.55%</w:t>
            </w:r>
          </w:p>
        </w:tc>
        <w:tc>
          <w:tcPr>
            <w:tcW w:w="0" w:type="auto"/>
            <w:shd w:val="clear" w:color="auto" w:fill="auto"/>
          </w:tcPr>
          <w:p w:rsidR="00C8491F" w:rsidRPr="009F2A24" w:rsidRDefault="00C8491F" w:rsidP="00C8491F">
            <w:pPr>
              <w:pStyle w:val="Tabletext"/>
            </w:pPr>
            <w:r w:rsidRPr="009F2A24">
              <w:t>3.55%</w:t>
            </w:r>
          </w:p>
        </w:tc>
        <w:tc>
          <w:tcPr>
            <w:tcW w:w="0" w:type="auto"/>
            <w:shd w:val="clear" w:color="auto" w:fill="auto"/>
          </w:tcPr>
          <w:p w:rsidR="00C8491F" w:rsidRPr="009F2A24" w:rsidRDefault="00C8491F" w:rsidP="00C8491F">
            <w:pPr>
              <w:pStyle w:val="Tabletext"/>
            </w:pPr>
            <w:r w:rsidRPr="009F2A24">
              <w:t>3.55%</w:t>
            </w:r>
          </w:p>
        </w:tc>
        <w:tc>
          <w:tcPr>
            <w:tcW w:w="0" w:type="auto"/>
            <w:shd w:val="clear" w:color="auto" w:fill="auto"/>
          </w:tcPr>
          <w:p w:rsidR="00C8491F" w:rsidRPr="009F2A24" w:rsidRDefault="00C8491F" w:rsidP="00C8491F">
            <w:pPr>
              <w:pStyle w:val="Tabletext"/>
            </w:pPr>
            <w:r w:rsidRPr="009F2A24">
              <w:t>3.55%</w:t>
            </w:r>
          </w:p>
        </w:tc>
        <w:tc>
          <w:tcPr>
            <w:tcW w:w="0" w:type="auto"/>
            <w:shd w:val="clear" w:color="auto" w:fill="auto"/>
          </w:tcPr>
          <w:p w:rsidR="00C8491F" w:rsidRPr="009F2A24" w:rsidRDefault="00C8491F" w:rsidP="00C8491F">
            <w:pPr>
              <w:pStyle w:val="Tabletext"/>
            </w:pPr>
            <w:r w:rsidRPr="009F2A24">
              <w:t>3.55%</w:t>
            </w:r>
          </w:p>
        </w:tc>
      </w:tr>
      <w:tr w:rsidR="00C8491F" w:rsidRPr="0077649A" w:rsidTr="00D469F2">
        <w:tc>
          <w:tcPr>
            <w:tcW w:w="0" w:type="auto"/>
            <w:shd w:val="clear" w:color="auto" w:fill="auto"/>
          </w:tcPr>
          <w:p w:rsidR="00C8491F" w:rsidRPr="00294E67" w:rsidRDefault="002E19A8" w:rsidP="00340838">
            <w:pPr>
              <w:pStyle w:val="Tabletext"/>
            </w:pPr>
            <w:r>
              <w:t>C</w:t>
            </w:r>
            <w:r w:rsidRPr="002E19A8">
              <w:t xml:space="preserve">ell enrichment LBC </w:t>
            </w:r>
            <w:r w:rsidR="00C8491F">
              <w:t xml:space="preserve">for follow-up due to a positive screening test </w:t>
            </w:r>
          </w:p>
        </w:tc>
        <w:tc>
          <w:tcPr>
            <w:tcW w:w="0" w:type="auto"/>
            <w:tcBorders>
              <w:bottom w:val="single" w:sz="4" w:space="0" w:color="000000"/>
            </w:tcBorders>
            <w:shd w:val="clear" w:color="auto" w:fill="auto"/>
          </w:tcPr>
          <w:p w:rsidR="00C8491F" w:rsidRPr="009F2A24" w:rsidRDefault="00C8491F" w:rsidP="00C8491F">
            <w:pPr>
              <w:pStyle w:val="Tabletext"/>
            </w:pPr>
            <w:r w:rsidRPr="009F2A24">
              <w:t>49,657</w:t>
            </w:r>
          </w:p>
        </w:tc>
        <w:tc>
          <w:tcPr>
            <w:tcW w:w="0" w:type="auto"/>
            <w:tcBorders>
              <w:bottom w:val="single" w:sz="4" w:space="0" w:color="000000"/>
            </w:tcBorders>
            <w:shd w:val="clear" w:color="auto" w:fill="auto"/>
          </w:tcPr>
          <w:p w:rsidR="00C8491F" w:rsidRPr="009F2A24" w:rsidRDefault="00C8491F" w:rsidP="00C8491F">
            <w:pPr>
              <w:pStyle w:val="Tabletext"/>
            </w:pPr>
            <w:r w:rsidRPr="009F2A24">
              <w:t>49,814</w:t>
            </w:r>
          </w:p>
        </w:tc>
        <w:tc>
          <w:tcPr>
            <w:tcW w:w="0" w:type="auto"/>
            <w:tcBorders>
              <w:bottom w:val="single" w:sz="4" w:space="0" w:color="000000"/>
            </w:tcBorders>
            <w:shd w:val="clear" w:color="auto" w:fill="auto"/>
          </w:tcPr>
          <w:p w:rsidR="00C8491F" w:rsidRPr="009F2A24" w:rsidRDefault="00C8491F" w:rsidP="00C8491F">
            <w:pPr>
              <w:pStyle w:val="Tabletext"/>
            </w:pPr>
            <w:r w:rsidRPr="009F2A24">
              <w:t>49,971</w:t>
            </w:r>
          </w:p>
        </w:tc>
        <w:tc>
          <w:tcPr>
            <w:tcW w:w="0" w:type="auto"/>
            <w:tcBorders>
              <w:bottom w:val="single" w:sz="4" w:space="0" w:color="000000"/>
            </w:tcBorders>
            <w:shd w:val="clear" w:color="auto" w:fill="auto"/>
          </w:tcPr>
          <w:p w:rsidR="00C8491F" w:rsidRPr="009F2A24" w:rsidRDefault="00C8491F" w:rsidP="00C8491F">
            <w:pPr>
              <w:pStyle w:val="Tabletext"/>
            </w:pPr>
            <w:r w:rsidRPr="009F2A24">
              <w:t>50,128</w:t>
            </w:r>
          </w:p>
        </w:tc>
        <w:tc>
          <w:tcPr>
            <w:tcW w:w="0" w:type="auto"/>
            <w:tcBorders>
              <w:bottom w:val="single" w:sz="4" w:space="0" w:color="000000"/>
            </w:tcBorders>
            <w:shd w:val="clear" w:color="auto" w:fill="auto"/>
          </w:tcPr>
          <w:p w:rsidR="00C8491F" w:rsidRDefault="00C8491F" w:rsidP="00C8491F">
            <w:pPr>
              <w:pStyle w:val="Tabletext"/>
            </w:pPr>
            <w:r w:rsidRPr="009F2A24">
              <w:t>50,285</w:t>
            </w:r>
          </w:p>
        </w:tc>
      </w:tr>
      <w:tr w:rsidR="00C5321C" w:rsidRPr="0077649A" w:rsidTr="00D469F2">
        <w:tc>
          <w:tcPr>
            <w:tcW w:w="0" w:type="auto"/>
            <w:tcBorders>
              <w:right w:val="nil"/>
            </w:tcBorders>
            <w:shd w:val="clear" w:color="auto" w:fill="auto"/>
          </w:tcPr>
          <w:p w:rsidR="00C5321C" w:rsidRDefault="00C5321C" w:rsidP="00340838">
            <w:pPr>
              <w:pStyle w:val="Tabletext"/>
            </w:pPr>
          </w:p>
        </w:tc>
        <w:tc>
          <w:tcPr>
            <w:tcW w:w="0" w:type="auto"/>
            <w:tcBorders>
              <w:left w:val="nil"/>
              <w:right w:val="nil"/>
            </w:tcBorders>
            <w:shd w:val="clear" w:color="auto" w:fill="auto"/>
          </w:tcPr>
          <w:p w:rsidR="00C5321C" w:rsidRDefault="00C5321C" w:rsidP="00340838">
            <w:pPr>
              <w:pStyle w:val="Tabletext"/>
            </w:pPr>
          </w:p>
        </w:tc>
        <w:tc>
          <w:tcPr>
            <w:tcW w:w="0" w:type="auto"/>
            <w:tcBorders>
              <w:left w:val="nil"/>
              <w:right w:val="nil"/>
            </w:tcBorders>
            <w:shd w:val="clear" w:color="auto" w:fill="auto"/>
          </w:tcPr>
          <w:p w:rsidR="00C5321C" w:rsidRDefault="00C5321C" w:rsidP="00340838">
            <w:pPr>
              <w:pStyle w:val="Tabletext"/>
            </w:pPr>
          </w:p>
        </w:tc>
        <w:tc>
          <w:tcPr>
            <w:tcW w:w="0" w:type="auto"/>
            <w:tcBorders>
              <w:left w:val="nil"/>
              <w:right w:val="nil"/>
            </w:tcBorders>
            <w:shd w:val="clear" w:color="auto" w:fill="auto"/>
          </w:tcPr>
          <w:p w:rsidR="00C5321C" w:rsidRDefault="00C5321C" w:rsidP="00340838">
            <w:pPr>
              <w:pStyle w:val="Tabletext"/>
            </w:pPr>
          </w:p>
        </w:tc>
        <w:tc>
          <w:tcPr>
            <w:tcW w:w="0" w:type="auto"/>
            <w:tcBorders>
              <w:left w:val="nil"/>
              <w:right w:val="nil"/>
            </w:tcBorders>
            <w:shd w:val="clear" w:color="auto" w:fill="auto"/>
          </w:tcPr>
          <w:p w:rsidR="00C5321C" w:rsidRDefault="00C5321C" w:rsidP="00340838">
            <w:pPr>
              <w:pStyle w:val="Tabletext"/>
            </w:pPr>
          </w:p>
        </w:tc>
        <w:tc>
          <w:tcPr>
            <w:tcW w:w="0" w:type="auto"/>
            <w:tcBorders>
              <w:left w:val="nil"/>
            </w:tcBorders>
            <w:shd w:val="clear" w:color="auto" w:fill="auto"/>
          </w:tcPr>
          <w:p w:rsidR="00C5321C" w:rsidRDefault="00C5321C" w:rsidP="00340838">
            <w:pPr>
              <w:pStyle w:val="Tabletext"/>
            </w:pPr>
          </w:p>
        </w:tc>
      </w:tr>
      <w:tr w:rsidR="00C8491F" w:rsidRPr="0077649A" w:rsidTr="00D469F2">
        <w:tc>
          <w:tcPr>
            <w:tcW w:w="0" w:type="auto"/>
            <w:shd w:val="clear" w:color="auto" w:fill="auto"/>
          </w:tcPr>
          <w:p w:rsidR="00C8491F" w:rsidRPr="00294E67" w:rsidRDefault="00C8491F" w:rsidP="00340838">
            <w:pPr>
              <w:pStyle w:val="Tabletext"/>
            </w:pPr>
            <w:r>
              <w:t>Total—</w:t>
            </w:r>
            <w:r w:rsidRPr="00450D02">
              <w:t>follow-up due to a positive screening test and other follow-up investigations</w:t>
            </w:r>
          </w:p>
        </w:tc>
        <w:tc>
          <w:tcPr>
            <w:tcW w:w="0" w:type="auto"/>
            <w:shd w:val="clear" w:color="auto" w:fill="auto"/>
          </w:tcPr>
          <w:p w:rsidR="00C8491F" w:rsidRPr="00102064" w:rsidRDefault="00C8491F" w:rsidP="00C8491F">
            <w:pPr>
              <w:pStyle w:val="Tabletext"/>
            </w:pPr>
            <w:r w:rsidRPr="00102064">
              <w:t>280,098</w:t>
            </w:r>
          </w:p>
        </w:tc>
        <w:tc>
          <w:tcPr>
            <w:tcW w:w="0" w:type="auto"/>
            <w:shd w:val="clear" w:color="auto" w:fill="auto"/>
          </w:tcPr>
          <w:p w:rsidR="00C8491F" w:rsidRPr="00102064" w:rsidRDefault="00C8491F" w:rsidP="00C8491F">
            <w:pPr>
              <w:pStyle w:val="Tabletext"/>
            </w:pPr>
            <w:r w:rsidRPr="00102064">
              <w:t>280,027</w:t>
            </w:r>
          </w:p>
        </w:tc>
        <w:tc>
          <w:tcPr>
            <w:tcW w:w="0" w:type="auto"/>
            <w:shd w:val="clear" w:color="auto" w:fill="auto"/>
          </w:tcPr>
          <w:p w:rsidR="00C8491F" w:rsidRPr="00102064" w:rsidRDefault="00C8491F" w:rsidP="00C8491F">
            <w:pPr>
              <w:pStyle w:val="Tabletext"/>
            </w:pPr>
            <w:r w:rsidRPr="00102064">
              <w:t>279,956</w:t>
            </w:r>
          </w:p>
        </w:tc>
        <w:tc>
          <w:tcPr>
            <w:tcW w:w="0" w:type="auto"/>
            <w:shd w:val="clear" w:color="auto" w:fill="auto"/>
          </w:tcPr>
          <w:p w:rsidR="00C8491F" w:rsidRPr="00102064" w:rsidRDefault="00C8491F" w:rsidP="00C8491F">
            <w:pPr>
              <w:pStyle w:val="Tabletext"/>
            </w:pPr>
            <w:r w:rsidRPr="00102064">
              <w:t>279,885</w:t>
            </w:r>
          </w:p>
        </w:tc>
        <w:tc>
          <w:tcPr>
            <w:tcW w:w="0" w:type="auto"/>
            <w:shd w:val="clear" w:color="auto" w:fill="auto"/>
          </w:tcPr>
          <w:p w:rsidR="00C8491F" w:rsidRDefault="00C8491F" w:rsidP="00C8491F">
            <w:pPr>
              <w:pStyle w:val="Tabletext"/>
            </w:pPr>
            <w:r w:rsidRPr="00102064">
              <w:t>279,815</w:t>
            </w:r>
          </w:p>
        </w:tc>
      </w:tr>
    </w:tbl>
    <w:p w:rsidR="00C5321C" w:rsidRDefault="00C5321C" w:rsidP="00DA3E4D">
      <w:pPr>
        <w:pStyle w:val="Tabletext"/>
      </w:pPr>
      <w:r>
        <w:t xml:space="preserve">Note: Estimates relate to a 12-month period. Pro rata adjustments may be required to interpret these results. </w:t>
      </w:r>
    </w:p>
    <w:p w:rsidR="00DA3E4D" w:rsidRDefault="00DA3E4D" w:rsidP="00C5321C"/>
    <w:p w:rsidR="00C5321C" w:rsidRDefault="00DA3E4D" w:rsidP="00C5321C">
      <w:r>
        <w:t>A</w:t>
      </w:r>
      <w:r w:rsidR="00C5321C">
        <w:t xml:space="preserve">pproximately 1.69–1.71 million </w:t>
      </w:r>
      <w:r w:rsidR="00D469F2">
        <w:t xml:space="preserve">of </w:t>
      </w:r>
      <w:r w:rsidR="002E19A8" w:rsidRPr="002E19A8">
        <w:t xml:space="preserve">cell enrichment LBC </w:t>
      </w:r>
      <w:r w:rsidR="00C5321C">
        <w:t xml:space="preserve">tests are estimated to be administered each year should it be added to the MBS. Financial implications associated with these usage estimates are derived in the following section. </w:t>
      </w:r>
    </w:p>
    <w:p w:rsidR="00C5321C" w:rsidRPr="009C1F99" w:rsidRDefault="00C5321C" w:rsidP="00C5321C">
      <w:pPr>
        <w:pStyle w:val="Tablecaption"/>
      </w:pPr>
      <w:bookmarkStart w:id="610" w:name="_Toc335666066"/>
      <w:bookmarkStart w:id="611" w:name="_Toc337547033"/>
      <w:r w:rsidRPr="009C1F99">
        <w:lastRenderedPageBreak/>
        <w:t xml:space="preserve">Table </w:t>
      </w:r>
      <w:fldSimple w:instr=" SEQ Table \* ARABIC ">
        <w:r w:rsidR="003361A8">
          <w:rPr>
            <w:noProof/>
          </w:rPr>
          <w:t>93</w:t>
        </w:r>
      </w:fldSimple>
      <w:r w:rsidRPr="009C1F99">
        <w:tab/>
      </w:r>
      <w:r>
        <w:t>Estimated</w:t>
      </w:r>
      <w:r w:rsidRPr="009C1F99">
        <w:t xml:space="preserve"> use of </w:t>
      </w:r>
      <w:r w:rsidR="002E19A8" w:rsidRPr="002E19A8">
        <w:t>cell enrichment LBC</w:t>
      </w:r>
      <w:r w:rsidR="00D71B86">
        <w:t>:</w:t>
      </w:r>
      <w:r w:rsidR="00D469F2">
        <w:t xml:space="preserve"> T</w:t>
      </w:r>
      <w:r>
        <w:t>otal</w:t>
      </w:r>
      <w:bookmarkEnd w:id="610"/>
      <w:bookmarkEnd w:id="61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89"/>
        <w:gridCol w:w="1218"/>
        <w:gridCol w:w="946"/>
        <w:gridCol w:w="946"/>
        <w:gridCol w:w="946"/>
        <w:gridCol w:w="946"/>
      </w:tblGrid>
      <w:tr w:rsidR="00C5321C" w:rsidRPr="00F37F7A" w:rsidTr="00D469F2">
        <w:tc>
          <w:tcPr>
            <w:tcW w:w="0" w:type="auto"/>
            <w:shd w:val="clear" w:color="auto" w:fill="auto"/>
          </w:tcPr>
          <w:p w:rsidR="00C5321C" w:rsidRPr="00F37F7A" w:rsidRDefault="00C5321C" w:rsidP="00F37F7A">
            <w:pPr>
              <w:pStyle w:val="Tabletext"/>
              <w:rPr>
                <w:b/>
              </w:rPr>
            </w:pPr>
            <w:r w:rsidRPr="00F37F7A">
              <w:rPr>
                <w:b/>
              </w:rPr>
              <w:t>Year</w:t>
            </w:r>
          </w:p>
        </w:tc>
        <w:tc>
          <w:tcPr>
            <w:tcW w:w="0" w:type="auto"/>
            <w:shd w:val="clear" w:color="auto" w:fill="auto"/>
          </w:tcPr>
          <w:p w:rsidR="00C5321C" w:rsidRPr="00F37F7A" w:rsidRDefault="00C5321C" w:rsidP="00F37F7A">
            <w:pPr>
              <w:pStyle w:val="Tabletext"/>
              <w:rPr>
                <w:b/>
              </w:rPr>
            </w:pPr>
            <w:r w:rsidRPr="00F37F7A">
              <w:rPr>
                <w:b/>
              </w:rPr>
              <w:t>Year 1 (2013)</w:t>
            </w:r>
          </w:p>
        </w:tc>
        <w:tc>
          <w:tcPr>
            <w:tcW w:w="0" w:type="auto"/>
            <w:shd w:val="clear" w:color="auto" w:fill="auto"/>
          </w:tcPr>
          <w:p w:rsidR="00C5321C" w:rsidRPr="00F37F7A" w:rsidRDefault="00C5321C" w:rsidP="00F37F7A">
            <w:pPr>
              <w:pStyle w:val="Tabletext"/>
              <w:rPr>
                <w:b/>
              </w:rPr>
            </w:pPr>
            <w:r w:rsidRPr="00F37F7A">
              <w:rPr>
                <w:b/>
              </w:rPr>
              <w:t>Year 2</w:t>
            </w:r>
          </w:p>
        </w:tc>
        <w:tc>
          <w:tcPr>
            <w:tcW w:w="0" w:type="auto"/>
            <w:shd w:val="clear" w:color="auto" w:fill="auto"/>
          </w:tcPr>
          <w:p w:rsidR="00C5321C" w:rsidRPr="00F37F7A" w:rsidRDefault="00C5321C" w:rsidP="00F37F7A">
            <w:pPr>
              <w:pStyle w:val="Tabletext"/>
              <w:rPr>
                <w:b/>
              </w:rPr>
            </w:pPr>
            <w:r w:rsidRPr="00F37F7A">
              <w:rPr>
                <w:b/>
              </w:rPr>
              <w:t>Year 3</w:t>
            </w:r>
          </w:p>
        </w:tc>
        <w:tc>
          <w:tcPr>
            <w:tcW w:w="0" w:type="auto"/>
            <w:shd w:val="clear" w:color="auto" w:fill="auto"/>
          </w:tcPr>
          <w:p w:rsidR="00C5321C" w:rsidRPr="00F37F7A" w:rsidRDefault="00C5321C" w:rsidP="00F37F7A">
            <w:pPr>
              <w:pStyle w:val="Tabletext"/>
              <w:rPr>
                <w:b/>
              </w:rPr>
            </w:pPr>
            <w:r w:rsidRPr="00F37F7A">
              <w:rPr>
                <w:b/>
              </w:rPr>
              <w:t>Year 4</w:t>
            </w:r>
          </w:p>
        </w:tc>
        <w:tc>
          <w:tcPr>
            <w:tcW w:w="0" w:type="auto"/>
            <w:shd w:val="clear" w:color="auto" w:fill="auto"/>
          </w:tcPr>
          <w:p w:rsidR="00C5321C" w:rsidRPr="00F37F7A" w:rsidRDefault="00C5321C" w:rsidP="00F37F7A">
            <w:pPr>
              <w:pStyle w:val="Tabletext"/>
              <w:rPr>
                <w:b/>
              </w:rPr>
            </w:pPr>
            <w:r w:rsidRPr="00F37F7A">
              <w:rPr>
                <w:b/>
              </w:rPr>
              <w:t>Year 5</w:t>
            </w:r>
          </w:p>
        </w:tc>
      </w:tr>
      <w:tr w:rsidR="00C8491F" w:rsidRPr="00536CA0" w:rsidTr="00C8491F">
        <w:tc>
          <w:tcPr>
            <w:tcW w:w="0" w:type="auto"/>
            <w:shd w:val="clear" w:color="auto" w:fill="auto"/>
            <w:vAlign w:val="center"/>
          </w:tcPr>
          <w:p w:rsidR="00C8491F" w:rsidRPr="00536CA0" w:rsidRDefault="00C8491F" w:rsidP="00F37F7A">
            <w:pPr>
              <w:pStyle w:val="Tabletext"/>
            </w:pPr>
            <w:r w:rsidRPr="00536CA0">
              <w:t>Services due to initial screening test</w:t>
            </w:r>
          </w:p>
        </w:tc>
        <w:tc>
          <w:tcPr>
            <w:tcW w:w="0" w:type="auto"/>
            <w:shd w:val="clear" w:color="auto" w:fill="auto"/>
            <w:vAlign w:val="bottom"/>
          </w:tcPr>
          <w:p w:rsidR="00C8491F" w:rsidRDefault="00C8491F" w:rsidP="00C8491F">
            <w:pPr>
              <w:pStyle w:val="Tabletext"/>
            </w:pPr>
            <w:r>
              <w:t>1,396,992</w:t>
            </w:r>
          </w:p>
        </w:tc>
        <w:tc>
          <w:tcPr>
            <w:tcW w:w="0" w:type="auto"/>
            <w:shd w:val="clear" w:color="auto" w:fill="auto"/>
            <w:vAlign w:val="bottom"/>
          </w:tcPr>
          <w:p w:rsidR="00C8491F" w:rsidRDefault="00C8491F" w:rsidP="00C8491F">
            <w:pPr>
              <w:pStyle w:val="Tabletext"/>
            </w:pPr>
            <w:r>
              <w:t>1,401,410</w:t>
            </w:r>
          </w:p>
        </w:tc>
        <w:tc>
          <w:tcPr>
            <w:tcW w:w="0" w:type="auto"/>
            <w:shd w:val="clear" w:color="auto" w:fill="auto"/>
            <w:vAlign w:val="bottom"/>
          </w:tcPr>
          <w:p w:rsidR="00C8491F" w:rsidRDefault="00C8491F" w:rsidP="00C8491F">
            <w:pPr>
              <w:pStyle w:val="Tabletext"/>
            </w:pPr>
            <w:r>
              <w:t>1,405,828</w:t>
            </w:r>
          </w:p>
        </w:tc>
        <w:tc>
          <w:tcPr>
            <w:tcW w:w="0" w:type="auto"/>
            <w:shd w:val="clear" w:color="auto" w:fill="auto"/>
            <w:vAlign w:val="bottom"/>
          </w:tcPr>
          <w:p w:rsidR="00C8491F" w:rsidRDefault="00C8491F" w:rsidP="00C8491F">
            <w:pPr>
              <w:pStyle w:val="Tabletext"/>
            </w:pPr>
            <w:r>
              <w:t>1,410,246</w:t>
            </w:r>
          </w:p>
        </w:tc>
        <w:tc>
          <w:tcPr>
            <w:tcW w:w="0" w:type="auto"/>
            <w:shd w:val="clear" w:color="auto" w:fill="auto"/>
            <w:vAlign w:val="bottom"/>
          </w:tcPr>
          <w:p w:rsidR="00C8491F" w:rsidRDefault="00C8491F" w:rsidP="00C8491F">
            <w:pPr>
              <w:pStyle w:val="Tabletext"/>
            </w:pPr>
            <w:r>
              <w:t>1,414,664</w:t>
            </w:r>
          </w:p>
        </w:tc>
      </w:tr>
      <w:tr w:rsidR="00C8491F" w:rsidRPr="00536CA0" w:rsidTr="00C8491F">
        <w:tc>
          <w:tcPr>
            <w:tcW w:w="0" w:type="auto"/>
            <w:shd w:val="clear" w:color="auto" w:fill="auto"/>
            <w:vAlign w:val="center"/>
          </w:tcPr>
          <w:p w:rsidR="00C8491F" w:rsidRPr="00536CA0" w:rsidRDefault="00C8491F" w:rsidP="00F37F7A">
            <w:pPr>
              <w:pStyle w:val="Tabletext"/>
            </w:pPr>
            <w:r w:rsidRPr="00536CA0">
              <w:t>Services due to unsatisfactory smear</w:t>
            </w:r>
          </w:p>
        </w:tc>
        <w:tc>
          <w:tcPr>
            <w:tcW w:w="0" w:type="auto"/>
            <w:shd w:val="clear" w:color="auto" w:fill="auto"/>
            <w:vAlign w:val="bottom"/>
          </w:tcPr>
          <w:p w:rsidR="00C8491F" w:rsidRDefault="00C8491F" w:rsidP="00C8491F">
            <w:pPr>
              <w:pStyle w:val="Tabletext"/>
            </w:pPr>
            <w:r>
              <w:t>15,835</w:t>
            </w:r>
          </w:p>
        </w:tc>
        <w:tc>
          <w:tcPr>
            <w:tcW w:w="0" w:type="auto"/>
            <w:shd w:val="clear" w:color="auto" w:fill="auto"/>
            <w:vAlign w:val="bottom"/>
          </w:tcPr>
          <w:p w:rsidR="00C8491F" w:rsidRDefault="00C8491F" w:rsidP="00C8491F">
            <w:pPr>
              <w:pStyle w:val="Tabletext"/>
            </w:pPr>
            <w:r>
              <w:t>15,885</w:t>
            </w:r>
          </w:p>
        </w:tc>
        <w:tc>
          <w:tcPr>
            <w:tcW w:w="0" w:type="auto"/>
            <w:shd w:val="clear" w:color="auto" w:fill="auto"/>
            <w:vAlign w:val="bottom"/>
          </w:tcPr>
          <w:p w:rsidR="00C8491F" w:rsidRDefault="00C8491F" w:rsidP="00C8491F">
            <w:pPr>
              <w:pStyle w:val="Tabletext"/>
            </w:pPr>
            <w:r>
              <w:t>15,935</w:t>
            </w:r>
          </w:p>
        </w:tc>
        <w:tc>
          <w:tcPr>
            <w:tcW w:w="0" w:type="auto"/>
            <w:shd w:val="clear" w:color="auto" w:fill="auto"/>
            <w:vAlign w:val="bottom"/>
          </w:tcPr>
          <w:p w:rsidR="00C8491F" w:rsidRDefault="00C8491F" w:rsidP="00C8491F">
            <w:pPr>
              <w:pStyle w:val="Tabletext"/>
            </w:pPr>
            <w:r>
              <w:t>15,985</w:t>
            </w:r>
          </w:p>
        </w:tc>
        <w:tc>
          <w:tcPr>
            <w:tcW w:w="0" w:type="auto"/>
            <w:shd w:val="clear" w:color="auto" w:fill="auto"/>
            <w:vAlign w:val="bottom"/>
          </w:tcPr>
          <w:p w:rsidR="00C8491F" w:rsidRDefault="00C8491F" w:rsidP="00C8491F">
            <w:pPr>
              <w:pStyle w:val="Tabletext"/>
            </w:pPr>
            <w:r>
              <w:t>16,035</w:t>
            </w:r>
          </w:p>
        </w:tc>
      </w:tr>
      <w:tr w:rsidR="00C8491F" w:rsidRPr="00536CA0" w:rsidTr="00C8491F">
        <w:tc>
          <w:tcPr>
            <w:tcW w:w="0" w:type="auto"/>
            <w:shd w:val="clear" w:color="auto" w:fill="auto"/>
            <w:vAlign w:val="center"/>
          </w:tcPr>
          <w:p w:rsidR="00C8491F" w:rsidRPr="00536CA0" w:rsidRDefault="00C8491F" w:rsidP="00F37F7A">
            <w:pPr>
              <w:pStyle w:val="Tabletext"/>
            </w:pPr>
            <w:r w:rsidRPr="00536CA0">
              <w:t>Services due to follow-up tests after a positive result</w:t>
            </w:r>
          </w:p>
        </w:tc>
        <w:tc>
          <w:tcPr>
            <w:tcW w:w="0" w:type="auto"/>
            <w:shd w:val="clear" w:color="auto" w:fill="auto"/>
            <w:vAlign w:val="bottom"/>
          </w:tcPr>
          <w:p w:rsidR="00C8491F" w:rsidRDefault="00C8491F" w:rsidP="00C8491F">
            <w:pPr>
              <w:pStyle w:val="Tabletext"/>
            </w:pPr>
            <w:r>
              <w:t>49,657</w:t>
            </w:r>
          </w:p>
        </w:tc>
        <w:tc>
          <w:tcPr>
            <w:tcW w:w="0" w:type="auto"/>
            <w:shd w:val="clear" w:color="auto" w:fill="auto"/>
            <w:vAlign w:val="bottom"/>
          </w:tcPr>
          <w:p w:rsidR="00C8491F" w:rsidRDefault="00C8491F" w:rsidP="00C8491F">
            <w:pPr>
              <w:pStyle w:val="Tabletext"/>
            </w:pPr>
            <w:r>
              <w:t>49,814</w:t>
            </w:r>
          </w:p>
        </w:tc>
        <w:tc>
          <w:tcPr>
            <w:tcW w:w="0" w:type="auto"/>
            <w:shd w:val="clear" w:color="auto" w:fill="auto"/>
            <w:vAlign w:val="bottom"/>
          </w:tcPr>
          <w:p w:rsidR="00C8491F" w:rsidRDefault="00C8491F" w:rsidP="00C8491F">
            <w:pPr>
              <w:pStyle w:val="Tabletext"/>
            </w:pPr>
            <w:r>
              <w:t>49,971</w:t>
            </w:r>
          </w:p>
        </w:tc>
        <w:tc>
          <w:tcPr>
            <w:tcW w:w="0" w:type="auto"/>
            <w:shd w:val="clear" w:color="auto" w:fill="auto"/>
            <w:vAlign w:val="bottom"/>
          </w:tcPr>
          <w:p w:rsidR="00C8491F" w:rsidRDefault="00C8491F" w:rsidP="00C8491F">
            <w:pPr>
              <w:pStyle w:val="Tabletext"/>
            </w:pPr>
            <w:r>
              <w:t>50,128</w:t>
            </w:r>
          </w:p>
        </w:tc>
        <w:tc>
          <w:tcPr>
            <w:tcW w:w="0" w:type="auto"/>
            <w:shd w:val="clear" w:color="auto" w:fill="auto"/>
            <w:vAlign w:val="bottom"/>
          </w:tcPr>
          <w:p w:rsidR="00C8491F" w:rsidRDefault="00C8491F" w:rsidP="00C8491F">
            <w:pPr>
              <w:pStyle w:val="Tabletext"/>
            </w:pPr>
            <w:r>
              <w:t>50,285</w:t>
            </w:r>
          </w:p>
        </w:tc>
      </w:tr>
      <w:tr w:rsidR="00C8491F" w:rsidRPr="00536CA0" w:rsidTr="00C8491F">
        <w:tc>
          <w:tcPr>
            <w:tcW w:w="0" w:type="auto"/>
            <w:shd w:val="clear" w:color="auto" w:fill="auto"/>
            <w:vAlign w:val="bottom"/>
          </w:tcPr>
          <w:p w:rsidR="00C8491F" w:rsidRPr="00536CA0" w:rsidRDefault="00C8491F" w:rsidP="00F37F7A">
            <w:pPr>
              <w:pStyle w:val="Tabletext"/>
            </w:pPr>
            <w:r w:rsidRPr="00536CA0">
              <w:t>Services due to other follow-up investigations</w:t>
            </w:r>
          </w:p>
        </w:tc>
        <w:tc>
          <w:tcPr>
            <w:tcW w:w="0" w:type="auto"/>
            <w:shd w:val="clear" w:color="auto" w:fill="auto"/>
            <w:vAlign w:val="bottom"/>
          </w:tcPr>
          <w:p w:rsidR="00C8491F" w:rsidRDefault="00C8491F" w:rsidP="00C8491F">
            <w:pPr>
              <w:pStyle w:val="Tabletext"/>
            </w:pPr>
            <w:r>
              <w:t>230,441</w:t>
            </w:r>
          </w:p>
        </w:tc>
        <w:tc>
          <w:tcPr>
            <w:tcW w:w="0" w:type="auto"/>
            <w:shd w:val="clear" w:color="auto" w:fill="auto"/>
            <w:vAlign w:val="bottom"/>
          </w:tcPr>
          <w:p w:rsidR="00C8491F" w:rsidRDefault="00C8491F" w:rsidP="00C8491F">
            <w:pPr>
              <w:pStyle w:val="Tabletext"/>
            </w:pPr>
            <w:r>
              <w:t>230,213</w:t>
            </w:r>
          </w:p>
        </w:tc>
        <w:tc>
          <w:tcPr>
            <w:tcW w:w="0" w:type="auto"/>
            <w:shd w:val="clear" w:color="auto" w:fill="auto"/>
            <w:vAlign w:val="bottom"/>
          </w:tcPr>
          <w:p w:rsidR="00C8491F" w:rsidRDefault="00C8491F" w:rsidP="00C8491F">
            <w:pPr>
              <w:pStyle w:val="Tabletext"/>
            </w:pPr>
            <w:r>
              <w:t>229,986</w:t>
            </w:r>
          </w:p>
        </w:tc>
        <w:tc>
          <w:tcPr>
            <w:tcW w:w="0" w:type="auto"/>
            <w:shd w:val="clear" w:color="auto" w:fill="auto"/>
            <w:vAlign w:val="bottom"/>
          </w:tcPr>
          <w:p w:rsidR="00C8491F" w:rsidRDefault="00C8491F" w:rsidP="00C8491F">
            <w:pPr>
              <w:pStyle w:val="Tabletext"/>
            </w:pPr>
            <w:r>
              <w:t>229,758</w:t>
            </w:r>
          </w:p>
        </w:tc>
        <w:tc>
          <w:tcPr>
            <w:tcW w:w="0" w:type="auto"/>
            <w:shd w:val="clear" w:color="auto" w:fill="auto"/>
            <w:vAlign w:val="bottom"/>
          </w:tcPr>
          <w:p w:rsidR="00C8491F" w:rsidRDefault="00C8491F" w:rsidP="00C8491F">
            <w:pPr>
              <w:pStyle w:val="Tabletext"/>
            </w:pPr>
            <w:r>
              <w:t>229,530</w:t>
            </w:r>
          </w:p>
        </w:tc>
      </w:tr>
      <w:tr w:rsidR="00C8491F" w:rsidRPr="00536CA0" w:rsidTr="00C8491F">
        <w:trPr>
          <w:trHeight w:val="311"/>
        </w:trPr>
        <w:tc>
          <w:tcPr>
            <w:tcW w:w="0" w:type="auto"/>
            <w:shd w:val="clear" w:color="auto" w:fill="auto"/>
            <w:vAlign w:val="bottom"/>
          </w:tcPr>
          <w:p w:rsidR="00C8491F" w:rsidRPr="00536CA0" w:rsidRDefault="00C8491F" w:rsidP="00F37F7A">
            <w:pPr>
              <w:pStyle w:val="Tabletext"/>
            </w:pPr>
            <w:r w:rsidRPr="00536CA0">
              <w:t>Total</w:t>
            </w:r>
          </w:p>
        </w:tc>
        <w:tc>
          <w:tcPr>
            <w:tcW w:w="0" w:type="auto"/>
            <w:shd w:val="clear" w:color="auto" w:fill="auto"/>
            <w:vAlign w:val="bottom"/>
          </w:tcPr>
          <w:p w:rsidR="00C8491F" w:rsidRDefault="00C8491F" w:rsidP="00C8491F">
            <w:pPr>
              <w:pStyle w:val="Tabletext"/>
            </w:pPr>
            <w:r>
              <w:t>1,692,924</w:t>
            </w:r>
          </w:p>
        </w:tc>
        <w:tc>
          <w:tcPr>
            <w:tcW w:w="0" w:type="auto"/>
            <w:shd w:val="clear" w:color="auto" w:fill="auto"/>
            <w:vAlign w:val="bottom"/>
          </w:tcPr>
          <w:p w:rsidR="00C8491F" w:rsidRDefault="00C8491F" w:rsidP="00C8491F">
            <w:pPr>
              <w:pStyle w:val="Tabletext"/>
            </w:pPr>
            <w:r>
              <w:t>1,697,322</w:t>
            </w:r>
          </w:p>
        </w:tc>
        <w:tc>
          <w:tcPr>
            <w:tcW w:w="0" w:type="auto"/>
            <w:shd w:val="clear" w:color="auto" w:fill="auto"/>
            <w:vAlign w:val="bottom"/>
          </w:tcPr>
          <w:p w:rsidR="00C8491F" w:rsidRDefault="00C8491F" w:rsidP="00C8491F">
            <w:pPr>
              <w:pStyle w:val="Tabletext"/>
            </w:pPr>
            <w:r>
              <w:t>1,701,719</w:t>
            </w:r>
          </w:p>
        </w:tc>
        <w:tc>
          <w:tcPr>
            <w:tcW w:w="0" w:type="auto"/>
            <w:shd w:val="clear" w:color="auto" w:fill="auto"/>
            <w:vAlign w:val="bottom"/>
          </w:tcPr>
          <w:p w:rsidR="00C8491F" w:rsidRDefault="00C8491F" w:rsidP="00C8491F">
            <w:pPr>
              <w:pStyle w:val="Tabletext"/>
            </w:pPr>
            <w:r>
              <w:t>1,706,117</w:t>
            </w:r>
          </w:p>
        </w:tc>
        <w:tc>
          <w:tcPr>
            <w:tcW w:w="0" w:type="auto"/>
            <w:shd w:val="clear" w:color="auto" w:fill="auto"/>
            <w:vAlign w:val="bottom"/>
          </w:tcPr>
          <w:p w:rsidR="00C8491F" w:rsidRDefault="00C8491F" w:rsidP="00C8491F">
            <w:pPr>
              <w:pStyle w:val="Tabletext"/>
            </w:pPr>
            <w:r>
              <w:t>1,710,514</w:t>
            </w:r>
          </w:p>
        </w:tc>
      </w:tr>
    </w:tbl>
    <w:p w:rsidR="00C5321C" w:rsidRDefault="00C5321C" w:rsidP="00C5321C"/>
    <w:p w:rsidR="00C5321C" w:rsidRDefault="00D469F2" w:rsidP="00C5321C">
      <w:r>
        <w:t>T</w:t>
      </w:r>
      <w:r w:rsidR="00C5321C">
        <w:t>hese estimates are conservative from the perspective of the MBS (i.e</w:t>
      </w:r>
      <w:r w:rsidR="00195600">
        <w:t>.</w:t>
      </w:r>
      <w:r w:rsidR="00C5321C">
        <w:t xml:space="preserve"> slight overestimation) becau</w:t>
      </w:r>
      <w:r>
        <w:t>se of the assumption of full up</w:t>
      </w:r>
      <w:r w:rsidR="00C5321C">
        <w:t>take. A scenario where this assumption is relaxed to a 50%</w:t>
      </w:r>
      <w:r>
        <w:t xml:space="preserve"> up</w:t>
      </w:r>
      <w:r w:rsidR="00C5321C">
        <w:t>take (i.e</w:t>
      </w:r>
      <w:r w:rsidR="00195600">
        <w:t>.</w:t>
      </w:r>
      <w:r w:rsidR="00C5321C">
        <w:t xml:space="preserve"> half of screening tests will be conducted using </w:t>
      </w:r>
      <w:r w:rsidR="002E19A8" w:rsidRPr="002E19A8">
        <w:t>cell enrichment LBC</w:t>
      </w:r>
      <w:r w:rsidR="00C5321C">
        <w:t xml:space="preserve">) is presented in </w:t>
      </w:r>
      <w:r w:rsidR="00086C77">
        <w:fldChar w:fldCharType="begin"/>
      </w:r>
      <w:r w:rsidR="00C5321C">
        <w:instrText xml:space="preserve"> REF _Ref334519252 \h </w:instrText>
      </w:r>
      <w:r w:rsidR="00086C77">
        <w:fldChar w:fldCharType="separate"/>
      </w:r>
      <w:r w:rsidR="003361A8" w:rsidRPr="009C1F99">
        <w:t xml:space="preserve">Table </w:t>
      </w:r>
      <w:r w:rsidR="003361A8">
        <w:rPr>
          <w:noProof/>
        </w:rPr>
        <w:t>94</w:t>
      </w:r>
      <w:r w:rsidR="00086C77">
        <w:fldChar w:fldCharType="end"/>
      </w:r>
      <w:r w:rsidR="00C5321C">
        <w:t>.</w:t>
      </w:r>
    </w:p>
    <w:p w:rsidR="00C5321C" w:rsidRPr="009C1F99" w:rsidRDefault="00C5321C" w:rsidP="00C5321C">
      <w:pPr>
        <w:pStyle w:val="Tablecaption"/>
      </w:pPr>
      <w:bookmarkStart w:id="612" w:name="_Ref334519252"/>
      <w:bookmarkStart w:id="613" w:name="_Toc335666067"/>
      <w:bookmarkStart w:id="614" w:name="_Toc337547034"/>
      <w:r w:rsidRPr="009C1F99">
        <w:t xml:space="preserve">Table </w:t>
      </w:r>
      <w:fldSimple w:instr=" SEQ Table \* ARABIC ">
        <w:r w:rsidR="003361A8">
          <w:rPr>
            <w:noProof/>
          </w:rPr>
          <w:t>94</w:t>
        </w:r>
      </w:fldSimple>
      <w:bookmarkEnd w:id="612"/>
      <w:r w:rsidRPr="009C1F99">
        <w:tab/>
      </w:r>
      <w:r>
        <w:t>Estimated</w:t>
      </w:r>
      <w:r w:rsidRPr="009C1F99">
        <w:t xml:space="preserve"> use of </w:t>
      </w:r>
      <w:r w:rsidR="002E19A8" w:rsidRPr="002E19A8">
        <w:t>cell enrichment LBC</w:t>
      </w:r>
      <w:r w:rsidR="00D71B86">
        <w:t xml:space="preserve">: </w:t>
      </w:r>
      <w:r w:rsidR="00D469F2">
        <w:t>50% up</w:t>
      </w:r>
      <w:r>
        <w:t>take scenario</w:t>
      </w:r>
      <w:bookmarkEnd w:id="613"/>
      <w:bookmarkEnd w:id="6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02"/>
        <w:gridCol w:w="1291"/>
        <w:gridCol w:w="850"/>
        <w:gridCol w:w="850"/>
        <w:gridCol w:w="850"/>
        <w:gridCol w:w="848"/>
      </w:tblGrid>
      <w:tr w:rsidR="00C5321C" w:rsidRPr="00F37F7A" w:rsidTr="00C8491F">
        <w:tc>
          <w:tcPr>
            <w:tcW w:w="2363" w:type="pct"/>
            <w:shd w:val="clear" w:color="auto" w:fill="auto"/>
          </w:tcPr>
          <w:p w:rsidR="00C5321C" w:rsidRPr="00F37F7A" w:rsidRDefault="00C5321C" w:rsidP="00F37F7A">
            <w:pPr>
              <w:pStyle w:val="Tabletext"/>
              <w:rPr>
                <w:b/>
              </w:rPr>
            </w:pPr>
            <w:r w:rsidRPr="00F37F7A">
              <w:rPr>
                <w:b/>
              </w:rPr>
              <w:t>Year</w:t>
            </w:r>
          </w:p>
        </w:tc>
        <w:tc>
          <w:tcPr>
            <w:tcW w:w="726" w:type="pct"/>
            <w:shd w:val="clear" w:color="auto" w:fill="auto"/>
          </w:tcPr>
          <w:p w:rsidR="00C5321C" w:rsidRPr="00F37F7A" w:rsidRDefault="00C5321C" w:rsidP="00F37F7A">
            <w:pPr>
              <w:pStyle w:val="Tabletext"/>
              <w:rPr>
                <w:b/>
              </w:rPr>
            </w:pPr>
            <w:r w:rsidRPr="00F37F7A">
              <w:rPr>
                <w:b/>
              </w:rPr>
              <w:t>Year 1 (2013)</w:t>
            </w:r>
          </w:p>
        </w:tc>
        <w:tc>
          <w:tcPr>
            <w:tcW w:w="478" w:type="pct"/>
            <w:shd w:val="clear" w:color="auto" w:fill="auto"/>
          </w:tcPr>
          <w:p w:rsidR="00C5321C" w:rsidRPr="00F37F7A" w:rsidRDefault="00C5321C" w:rsidP="00F37F7A">
            <w:pPr>
              <w:pStyle w:val="Tabletext"/>
              <w:rPr>
                <w:b/>
              </w:rPr>
            </w:pPr>
            <w:r w:rsidRPr="00F37F7A">
              <w:rPr>
                <w:b/>
              </w:rPr>
              <w:t>Year 2</w:t>
            </w:r>
          </w:p>
        </w:tc>
        <w:tc>
          <w:tcPr>
            <w:tcW w:w="478" w:type="pct"/>
            <w:shd w:val="clear" w:color="auto" w:fill="auto"/>
          </w:tcPr>
          <w:p w:rsidR="00C5321C" w:rsidRPr="00F37F7A" w:rsidRDefault="00C5321C" w:rsidP="00F37F7A">
            <w:pPr>
              <w:pStyle w:val="Tabletext"/>
              <w:rPr>
                <w:b/>
              </w:rPr>
            </w:pPr>
            <w:r w:rsidRPr="00F37F7A">
              <w:rPr>
                <w:b/>
              </w:rPr>
              <w:t>Year 3</w:t>
            </w:r>
          </w:p>
        </w:tc>
        <w:tc>
          <w:tcPr>
            <w:tcW w:w="478" w:type="pct"/>
            <w:shd w:val="clear" w:color="auto" w:fill="auto"/>
          </w:tcPr>
          <w:p w:rsidR="00C5321C" w:rsidRPr="00F37F7A" w:rsidRDefault="00C5321C" w:rsidP="00F37F7A">
            <w:pPr>
              <w:pStyle w:val="Tabletext"/>
              <w:rPr>
                <w:b/>
              </w:rPr>
            </w:pPr>
            <w:r w:rsidRPr="00F37F7A">
              <w:rPr>
                <w:b/>
              </w:rPr>
              <w:t>Year 4</w:t>
            </w:r>
          </w:p>
        </w:tc>
        <w:tc>
          <w:tcPr>
            <w:tcW w:w="477" w:type="pct"/>
            <w:shd w:val="clear" w:color="auto" w:fill="auto"/>
          </w:tcPr>
          <w:p w:rsidR="00C5321C" w:rsidRPr="00F37F7A" w:rsidRDefault="00C5321C" w:rsidP="00F37F7A">
            <w:pPr>
              <w:pStyle w:val="Tabletext"/>
              <w:rPr>
                <w:b/>
              </w:rPr>
            </w:pPr>
            <w:r w:rsidRPr="00F37F7A">
              <w:rPr>
                <w:b/>
              </w:rPr>
              <w:t>Year 5</w:t>
            </w:r>
          </w:p>
        </w:tc>
      </w:tr>
      <w:tr w:rsidR="00C8491F" w:rsidRPr="00536CA0" w:rsidTr="00C8491F">
        <w:tc>
          <w:tcPr>
            <w:tcW w:w="2363" w:type="pct"/>
            <w:shd w:val="clear" w:color="auto" w:fill="auto"/>
            <w:vAlign w:val="center"/>
          </w:tcPr>
          <w:p w:rsidR="00C8491F" w:rsidRPr="00536CA0" w:rsidRDefault="00C8491F" w:rsidP="00F37F7A">
            <w:pPr>
              <w:pStyle w:val="Tabletext"/>
            </w:pPr>
            <w:r w:rsidRPr="00536CA0">
              <w:t>Services due to initial screening test</w:t>
            </w:r>
          </w:p>
        </w:tc>
        <w:tc>
          <w:tcPr>
            <w:tcW w:w="726" w:type="pct"/>
            <w:shd w:val="clear" w:color="auto" w:fill="auto"/>
          </w:tcPr>
          <w:p w:rsidR="00C8491F" w:rsidRPr="00417B5F" w:rsidRDefault="00C8491F" w:rsidP="00C8491F">
            <w:pPr>
              <w:pStyle w:val="Tabletext"/>
            </w:pPr>
            <w:r w:rsidRPr="00417B5F">
              <w:t>698,496</w:t>
            </w:r>
          </w:p>
        </w:tc>
        <w:tc>
          <w:tcPr>
            <w:tcW w:w="478" w:type="pct"/>
            <w:shd w:val="clear" w:color="auto" w:fill="auto"/>
          </w:tcPr>
          <w:p w:rsidR="00C8491F" w:rsidRPr="00417B5F" w:rsidRDefault="00C8491F" w:rsidP="00C8491F">
            <w:pPr>
              <w:pStyle w:val="Tabletext"/>
            </w:pPr>
            <w:r w:rsidRPr="00417B5F">
              <w:t>700,705</w:t>
            </w:r>
          </w:p>
        </w:tc>
        <w:tc>
          <w:tcPr>
            <w:tcW w:w="478" w:type="pct"/>
            <w:shd w:val="clear" w:color="auto" w:fill="auto"/>
          </w:tcPr>
          <w:p w:rsidR="00C8491F" w:rsidRPr="00417B5F" w:rsidRDefault="00C8491F" w:rsidP="00C8491F">
            <w:pPr>
              <w:pStyle w:val="Tabletext"/>
            </w:pPr>
            <w:r w:rsidRPr="00417B5F">
              <w:t>702,914</w:t>
            </w:r>
          </w:p>
        </w:tc>
        <w:tc>
          <w:tcPr>
            <w:tcW w:w="478" w:type="pct"/>
            <w:shd w:val="clear" w:color="auto" w:fill="auto"/>
          </w:tcPr>
          <w:p w:rsidR="00C8491F" w:rsidRPr="00417B5F" w:rsidRDefault="00C8491F" w:rsidP="00C8491F">
            <w:pPr>
              <w:pStyle w:val="Tabletext"/>
            </w:pPr>
            <w:r w:rsidRPr="00417B5F">
              <w:t>705,123</w:t>
            </w:r>
          </w:p>
        </w:tc>
        <w:tc>
          <w:tcPr>
            <w:tcW w:w="477" w:type="pct"/>
            <w:shd w:val="clear" w:color="auto" w:fill="auto"/>
          </w:tcPr>
          <w:p w:rsidR="00C8491F" w:rsidRPr="00417B5F" w:rsidRDefault="00C8491F" w:rsidP="00C8491F">
            <w:pPr>
              <w:pStyle w:val="Tabletext"/>
            </w:pPr>
            <w:r w:rsidRPr="00417B5F">
              <w:t>707,332</w:t>
            </w:r>
          </w:p>
        </w:tc>
      </w:tr>
      <w:tr w:rsidR="00C8491F" w:rsidRPr="00536CA0" w:rsidTr="00C8491F">
        <w:tc>
          <w:tcPr>
            <w:tcW w:w="2363" w:type="pct"/>
            <w:shd w:val="clear" w:color="auto" w:fill="auto"/>
            <w:vAlign w:val="center"/>
          </w:tcPr>
          <w:p w:rsidR="00C8491F" w:rsidRPr="00536CA0" w:rsidRDefault="00C8491F" w:rsidP="00F37F7A">
            <w:pPr>
              <w:pStyle w:val="Tabletext"/>
            </w:pPr>
            <w:r w:rsidRPr="00536CA0">
              <w:t>Services due to unsatisfactory smear</w:t>
            </w:r>
          </w:p>
        </w:tc>
        <w:tc>
          <w:tcPr>
            <w:tcW w:w="726" w:type="pct"/>
            <w:shd w:val="clear" w:color="auto" w:fill="auto"/>
          </w:tcPr>
          <w:p w:rsidR="00C8491F" w:rsidRPr="00417B5F" w:rsidRDefault="00C8491F" w:rsidP="00C8491F">
            <w:pPr>
              <w:pStyle w:val="Tabletext"/>
            </w:pPr>
            <w:r w:rsidRPr="00417B5F">
              <w:t>7,917</w:t>
            </w:r>
          </w:p>
        </w:tc>
        <w:tc>
          <w:tcPr>
            <w:tcW w:w="478" w:type="pct"/>
            <w:shd w:val="clear" w:color="auto" w:fill="auto"/>
          </w:tcPr>
          <w:p w:rsidR="00C8491F" w:rsidRPr="00417B5F" w:rsidRDefault="00C8491F" w:rsidP="00C8491F">
            <w:pPr>
              <w:pStyle w:val="Tabletext"/>
            </w:pPr>
            <w:r w:rsidRPr="00417B5F">
              <w:t>7,943</w:t>
            </w:r>
          </w:p>
        </w:tc>
        <w:tc>
          <w:tcPr>
            <w:tcW w:w="478" w:type="pct"/>
            <w:shd w:val="clear" w:color="auto" w:fill="auto"/>
          </w:tcPr>
          <w:p w:rsidR="00C8491F" w:rsidRPr="00417B5F" w:rsidRDefault="00C8491F" w:rsidP="00C8491F">
            <w:pPr>
              <w:pStyle w:val="Tabletext"/>
            </w:pPr>
            <w:r w:rsidRPr="00417B5F">
              <w:t>7,968</w:t>
            </w:r>
          </w:p>
        </w:tc>
        <w:tc>
          <w:tcPr>
            <w:tcW w:w="478" w:type="pct"/>
            <w:shd w:val="clear" w:color="auto" w:fill="auto"/>
          </w:tcPr>
          <w:p w:rsidR="00C8491F" w:rsidRPr="00417B5F" w:rsidRDefault="00C8491F" w:rsidP="00C8491F">
            <w:pPr>
              <w:pStyle w:val="Tabletext"/>
            </w:pPr>
            <w:r w:rsidRPr="00417B5F">
              <w:t>7,993</w:t>
            </w:r>
          </w:p>
        </w:tc>
        <w:tc>
          <w:tcPr>
            <w:tcW w:w="477" w:type="pct"/>
            <w:shd w:val="clear" w:color="auto" w:fill="auto"/>
          </w:tcPr>
          <w:p w:rsidR="00C8491F" w:rsidRPr="00417B5F" w:rsidRDefault="00C8491F" w:rsidP="00C8491F">
            <w:pPr>
              <w:pStyle w:val="Tabletext"/>
            </w:pPr>
            <w:r w:rsidRPr="00417B5F">
              <w:t>8,018</w:t>
            </w:r>
          </w:p>
        </w:tc>
      </w:tr>
      <w:tr w:rsidR="00C8491F" w:rsidRPr="00536CA0" w:rsidTr="00C8491F">
        <w:tc>
          <w:tcPr>
            <w:tcW w:w="2363" w:type="pct"/>
            <w:shd w:val="clear" w:color="auto" w:fill="auto"/>
            <w:vAlign w:val="center"/>
          </w:tcPr>
          <w:p w:rsidR="00C8491F" w:rsidRPr="00536CA0" w:rsidRDefault="00C8491F" w:rsidP="00F37F7A">
            <w:pPr>
              <w:pStyle w:val="Tabletext"/>
            </w:pPr>
            <w:r w:rsidRPr="00536CA0">
              <w:t>Services due to follow-up tests after a positive result</w:t>
            </w:r>
          </w:p>
        </w:tc>
        <w:tc>
          <w:tcPr>
            <w:tcW w:w="726" w:type="pct"/>
            <w:shd w:val="clear" w:color="auto" w:fill="auto"/>
          </w:tcPr>
          <w:p w:rsidR="00C8491F" w:rsidRPr="00417B5F" w:rsidRDefault="00C8491F" w:rsidP="00C8491F">
            <w:pPr>
              <w:pStyle w:val="Tabletext"/>
            </w:pPr>
            <w:r w:rsidRPr="00417B5F">
              <w:t>24,828</w:t>
            </w:r>
          </w:p>
        </w:tc>
        <w:tc>
          <w:tcPr>
            <w:tcW w:w="478" w:type="pct"/>
            <w:shd w:val="clear" w:color="auto" w:fill="auto"/>
          </w:tcPr>
          <w:p w:rsidR="00C8491F" w:rsidRPr="00417B5F" w:rsidRDefault="00C8491F" w:rsidP="00C8491F">
            <w:pPr>
              <w:pStyle w:val="Tabletext"/>
            </w:pPr>
            <w:r w:rsidRPr="00417B5F">
              <w:t>24,907</w:t>
            </w:r>
          </w:p>
        </w:tc>
        <w:tc>
          <w:tcPr>
            <w:tcW w:w="478" w:type="pct"/>
            <w:shd w:val="clear" w:color="auto" w:fill="auto"/>
          </w:tcPr>
          <w:p w:rsidR="00C8491F" w:rsidRPr="00417B5F" w:rsidRDefault="00C8491F" w:rsidP="00C8491F">
            <w:pPr>
              <w:pStyle w:val="Tabletext"/>
            </w:pPr>
            <w:r w:rsidRPr="00417B5F">
              <w:t>24,985</w:t>
            </w:r>
          </w:p>
        </w:tc>
        <w:tc>
          <w:tcPr>
            <w:tcW w:w="478" w:type="pct"/>
            <w:shd w:val="clear" w:color="auto" w:fill="auto"/>
          </w:tcPr>
          <w:p w:rsidR="00C8491F" w:rsidRPr="00417B5F" w:rsidRDefault="00C8491F" w:rsidP="00C8491F">
            <w:pPr>
              <w:pStyle w:val="Tabletext"/>
            </w:pPr>
            <w:r w:rsidRPr="00417B5F">
              <w:t>25,064</w:t>
            </w:r>
          </w:p>
        </w:tc>
        <w:tc>
          <w:tcPr>
            <w:tcW w:w="477" w:type="pct"/>
            <w:shd w:val="clear" w:color="auto" w:fill="auto"/>
          </w:tcPr>
          <w:p w:rsidR="00C8491F" w:rsidRPr="00417B5F" w:rsidRDefault="00C8491F" w:rsidP="00C8491F">
            <w:pPr>
              <w:pStyle w:val="Tabletext"/>
            </w:pPr>
            <w:r w:rsidRPr="00417B5F">
              <w:t>25,142</w:t>
            </w:r>
          </w:p>
        </w:tc>
      </w:tr>
      <w:tr w:rsidR="00C8491F" w:rsidRPr="00536CA0" w:rsidTr="00C8491F">
        <w:tc>
          <w:tcPr>
            <w:tcW w:w="2363" w:type="pct"/>
            <w:shd w:val="clear" w:color="auto" w:fill="auto"/>
            <w:vAlign w:val="bottom"/>
          </w:tcPr>
          <w:p w:rsidR="00C8491F" w:rsidRPr="00536CA0" w:rsidRDefault="00C8491F" w:rsidP="00F37F7A">
            <w:pPr>
              <w:pStyle w:val="Tabletext"/>
            </w:pPr>
            <w:r w:rsidRPr="00536CA0">
              <w:t>Services due to other follow-up investigations</w:t>
            </w:r>
          </w:p>
        </w:tc>
        <w:tc>
          <w:tcPr>
            <w:tcW w:w="726" w:type="pct"/>
            <w:shd w:val="clear" w:color="auto" w:fill="auto"/>
          </w:tcPr>
          <w:p w:rsidR="00C8491F" w:rsidRPr="00417B5F" w:rsidRDefault="00C8491F" w:rsidP="00C8491F">
            <w:pPr>
              <w:pStyle w:val="Tabletext"/>
            </w:pPr>
            <w:r w:rsidRPr="00417B5F">
              <w:t>115,221</w:t>
            </w:r>
          </w:p>
        </w:tc>
        <w:tc>
          <w:tcPr>
            <w:tcW w:w="478" w:type="pct"/>
            <w:shd w:val="clear" w:color="auto" w:fill="auto"/>
          </w:tcPr>
          <w:p w:rsidR="00C8491F" w:rsidRPr="00417B5F" w:rsidRDefault="00C8491F" w:rsidP="00C8491F">
            <w:pPr>
              <w:pStyle w:val="Tabletext"/>
            </w:pPr>
            <w:r w:rsidRPr="00417B5F">
              <w:t>115,107</w:t>
            </w:r>
          </w:p>
        </w:tc>
        <w:tc>
          <w:tcPr>
            <w:tcW w:w="478" w:type="pct"/>
            <w:shd w:val="clear" w:color="auto" w:fill="auto"/>
          </w:tcPr>
          <w:p w:rsidR="00C8491F" w:rsidRPr="00417B5F" w:rsidRDefault="00C8491F" w:rsidP="00C8491F">
            <w:pPr>
              <w:pStyle w:val="Tabletext"/>
            </w:pPr>
            <w:r w:rsidRPr="00417B5F">
              <w:t>114,993</w:t>
            </w:r>
          </w:p>
        </w:tc>
        <w:tc>
          <w:tcPr>
            <w:tcW w:w="478" w:type="pct"/>
            <w:shd w:val="clear" w:color="auto" w:fill="auto"/>
          </w:tcPr>
          <w:p w:rsidR="00C8491F" w:rsidRPr="00417B5F" w:rsidRDefault="00C8491F" w:rsidP="00C8491F">
            <w:pPr>
              <w:pStyle w:val="Tabletext"/>
            </w:pPr>
            <w:r w:rsidRPr="00417B5F">
              <w:t>114,879</w:t>
            </w:r>
          </w:p>
        </w:tc>
        <w:tc>
          <w:tcPr>
            <w:tcW w:w="477" w:type="pct"/>
            <w:shd w:val="clear" w:color="auto" w:fill="auto"/>
          </w:tcPr>
          <w:p w:rsidR="00C8491F" w:rsidRPr="00417B5F" w:rsidRDefault="00C8491F" w:rsidP="00C8491F">
            <w:pPr>
              <w:pStyle w:val="Tabletext"/>
            </w:pPr>
            <w:r w:rsidRPr="00417B5F">
              <w:t>114,765</w:t>
            </w:r>
          </w:p>
        </w:tc>
      </w:tr>
      <w:tr w:rsidR="00C8491F" w:rsidRPr="00536CA0" w:rsidTr="00C8491F">
        <w:tc>
          <w:tcPr>
            <w:tcW w:w="2363" w:type="pct"/>
            <w:shd w:val="clear" w:color="auto" w:fill="auto"/>
            <w:vAlign w:val="bottom"/>
          </w:tcPr>
          <w:p w:rsidR="00C8491F" w:rsidRPr="00536CA0" w:rsidRDefault="00C8491F" w:rsidP="00F37F7A">
            <w:pPr>
              <w:pStyle w:val="Tabletext"/>
            </w:pPr>
            <w:r w:rsidRPr="00536CA0">
              <w:t>Total</w:t>
            </w:r>
          </w:p>
        </w:tc>
        <w:tc>
          <w:tcPr>
            <w:tcW w:w="726" w:type="pct"/>
            <w:shd w:val="clear" w:color="auto" w:fill="auto"/>
          </w:tcPr>
          <w:p w:rsidR="00C8491F" w:rsidRPr="00417B5F" w:rsidRDefault="00C8491F" w:rsidP="00C8491F">
            <w:pPr>
              <w:pStyle w:val="Tabletext"/>
            </w:pPr>
            <w:r w:rsidRPr="00417B5F">
              <w:t>846,462</w:t>
            </w:r>
          </w:p>
        </w:tc>
        <w:tc>
          <w:tcPr>
            <w:tcW w:w="478" w:type="pct"/>
            <w:shd w:val="clear" w:color="auto" w:fill="auto"/>
          </w:tcPr>
          <w:p w:rsidR="00C8491F" w:rsidRPr="00417B5F" w:rsidRDefault="00C8491F" w:rsidP="00C8491F">
            <w:pPr>
              <w:pStyle w:val="Tabletext"/>
            </w:pPr>
            <w:r w:rsidRPr="00417B5F">
              <w:t>848,661</w:t>
            </w:r>
          </w:p>
        </w:tc>
        <w:tc>
          <w:tcPr>
            <w:tcW w:w="478" w:type="pct"/>
            <w:shd w:val="clear" w:color="auto" w:fill="auto"/>
          </w:tcPr>
          <w:p w:rsidR="00C8491F" w:rsidRPr="00417B5F" w:rsidRDefault="00C8491F" w:rsidP="00C8491F">
            <w:pPr>
              <w:pStyle w:val="Tabletext"/>
            </w:pPr>
            <w:r w:rsidRPr="00417B5F">
              <w:t>850,860</w:t>
            </w:r>
          </w:p>
        </w:tc>
        <w:tc>
          <w:tcPr>
            <w:tcW w:w="478" w:type="pct"/>
            <w:shd w:val="clear" w:color="auto" w:fill="auto"/>
          </w:tcPr>
          <w:p w:rsidR="00C8491F" w:rsidRPr="00417B5F" w:rsidRDefault="00C8491F" w:rsidP="00C8491F">
            <w:pPr>
              <w:pStyle w:val="Tabletext"/>
            </w:pPr>
            <w:r w:rsidRPr="00417B5F">
              <w:t>853,058</w:t>
            </w:r>
          </w:p>
        </w:tc>
        <w:tc>
          <w:tcPr>
            <w:tcW w:w="477" w:type="pct"/>
            <w:shd w:val="clear" w:color="auto" w:fill="auto"/>
          </w:tcPr>
          <w:p w:rsidR="00C8491F" w:rsidRDefault="00C8491F" w:rsidP="00C8491F">
            <w:pPr>
              <w:pStyle w:val="Tabletext"/>
            </w:pPr>
            <w:r w:rsidRPr="00417B5F">
              <w:t>855,257</w:t>
            </w:r>
          </w:p>
        </w:tc>
      </w:tr>
    </w:tbl>
    <w:p w:rsidR="00C5321C" w:rsidRDefault="00C5321C" w:rsidP="00C5321C"/>
    <w:p w:rsidR="00C5321C" w:rsidRPr="00340838" w:rsidRDefault="00C5321C" w:rsidP="00340838">
      <w:pPr>
        <w:pStyle w:val="Heading30"/>
      </w:pPr>
      <w:bookmarkStart w:id="615" w:name="_Toc334430226"/>
      <w:bookmarkStart w:id="616" w:name="_Toc337546930"/>
      <w:r w:rsidRPr="00340838">
        <w:t>E.2.4</w:t>
      </w:r>
      <w:r w:rsidRPr="00340838">
        <w:tab/>
      </w:r>
      <w:bookmarkEnd w:id="615"/>
      <w:r w:rsidRPr="00340838">
        <w:t xml:space="preserve">Estimated costs of </w:t>
      </w:r>
      <w:r w:rsidR="002E19A8" w:rsidRPr="002E19A8">
        <w:t xml:space="preserve">cell enrichment LBC </w:t>
      </w:r>
      <w:r w:rsidRPr="00340838">
        <w:t>on the MBS</w:t>
      </w:r>
      <w:bookmarkEnd w:id="616"/>
    </w:p>
    <w:p w:rsidR="00C5321C" w:rsidRDefault="00C5321C" w:rsidP="00C5321C">
      <w:r>
        <w:t xml:space="preserve">It has been estimate that approximately </w:t>
      </w:r>
      <w:r w:rsidRPr="00D370D2">
        <w:t xml:space="preserve">1.69–1.71 </w:t>
      </w:r>
      <w:r>
        <w:t xml:space="preserve">million </w:t>
      </w:r>
      <w:r w:rsidR="002E19A8">
        <w:t>cell enrichment</w:t>
      </w:r>
      <w:r>
        <w:t xml:space="preserve"> LBC tests are expected to be administered should it be added to the MBS. </w:t>
      </w:r>
    </w:p>
    <w:p w:rsidR="00C5321C" w:rsidRDefault="00086C77" w:rsidP="00C5321C">
      <w:r>
        <w:fldChar w:fldCharType="begin"/>
      </w:r>
      <w:r w:rsidR="00C5321C">
        <w:instrText xml:space="preserve"> REF _Ref334453724 \h </w:instrText>
      </w:r>
      <w:r>
        <w:fldChar w:fldCharType="separate"/>
      </w:r>
      <w:r w:rsidR="003361A8" w:rsidRPr="009C1F99">
        <w:t xml:space="preserve">Table </w:t>
      </w:r>
      <w:r w:rsidR="003361A8">
        <w:rPr>
          <w:noProof/>
        </w:rPr>
        <w:t>95</w:t>
      </w:r>
      <w:r>
        <w:fldChar w:fldCharType="end"/>
      </w:r>
      <w:r w:rsidR="00340838">
        <w:t xml:space="preserve"> </w:t>
      </w:r>
      <w:r w:rsidR="00C5321C">
        <w:t xml:space="preserve">presents the estimated extent of financial implications associated with the usage estimations above. Again, these cost estimates reflect a full </w:t>
      </w:r>
      <w:r w:rsidR="006F00EE">
        <w:t>uptake</w:t>
      </w:r>
      <w:r w:rsidR="00C5321C">
        <w:t xml:space="preserve"> assumption, thereby offering a conservative estimate from the perspective of the MBS. </w:t>
      </w:r>
    </w:p>
    <w:p w:rsidR="00C5321C" w:rsidRDefault="00C5321C" w:rsidP="00C5321C">
      <w:r>
        <w:t xml:space="preserve">The costs of </w:t>
      </w:r>
      <w:r w:rsidR="002E19A8">
        <w:t xml:space="preserve">cell enrichment </w:t>
      </w:r>
      <w:r>
        <w:t xml:space="preserve">LBC will be offset by substitution effects away from conventional cytology services that are currently funded on the MBS. Cost offsets associated with these </w:t>
      </w:r>
      <w:r w:rsidR="00340838">
        <w:t>substitution</w:t>
      </w:r>
      <w:r>
        <w:t xml:space="preserve"> effects are</w:t>
      </w:r>
      <w:r w:rsidR="00340838">
        <w:t xml:space="preserve"> determined in Section E.3</w:t>
      </w:r>
      <w:r>
        <w:t xml:space="preserve">. </w:t>
      </w:r>
    </w:p>
    <w:p w:rsidR="00C5321C" w:rsidRPr="009C1F99" w:rsidRDefault="00C5321C" w:rsidP="00C5321C">
      <w:pPr>
        <w:pStyle w:val="Tablecaption"/>
      </w:pPr>
      <w:bookmarkStart w:id="617" w:name="_Ref334453724"/>
      <w:bookmarkStart w:id="618" w:name="_Toc335666068"/>
      <w:bookmarkStart w:id="619" w:name="_Toc337547035"/>
      <w:r w:rsidRPr="009C1F99">
        <w:lastRenderedPageBreak/>
        <w:t xml:space="preserve">Table </w:t>
      </w:r>
      <w:fldSimple w:instr=" SEQ Table \* ARABIC ">
        <w:r w:rsidR="003361A8">
          <w:rPr>
            <w:noProof/>
          </w:rPr>
          <w:t>95</w:t>
        </w:r>
      </w:fldSimple>
      <w:bookmarkEnd w:id="617"/>
      <w:r w:rsidRPr="009C1F99">
        <w:tab/>
      </w:r>
      <w:r>
        <w:t>Estimated</w:t>
      </w:r>
      <w:r w:rsidRPr="009C1F99">
        <w:t xml:space="preserve"> use of </w:t>
      </w:r>
      <w:r w:rsidR="002E19A8" w:rsidRPr="002E19A8">
        <w:t>cell enrichment LBC</w:t>
      </w:r>
      <w:r w:rsidR="00D71B86">
        <w:t xml:space="preserve">: </w:t>
      </w:r>
      <w:r w:rsidR="00D469F2">
        <w:t>100% up</w:t>
      </w:r>
      <w:r>
        <w:t>take scenario</w:t>
      </w:r>
      <w:bookmarkEnd w:id="618"/>
      <w:bookmarkEnd w:id="61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2"/>
        <w:gridCol w:w="1268"/>
        <w:gridCol w:w="1296"/>
        <w:gridCol w:w="1287"/>
        <w:gridCol w:w="1293"/>
        <w:gridCol w:w="1295"/>
      </w:tblGrid>
      <w:tr w:rsidR="00C5321C" w:rsidRPr="00D469F2" w:rsidTr="00C8491F">
        <w:tc>
          <w:tcPr>
            <w:tcW w:w="1379" w:type="pct"/>
            <w:shd w:val="clear" w:color="auto" w:fill="auto"/>
          </w:tcPr>
          <w:p w:rsidR="00C5321C" w:rsidRPr="00D469F2" w:rsidRDefault="00C5321C" w:rsidP="00340838">
            <w:pPr>
              <w:pStyle w:val="Tabletext"/>
              <w:rPr>
                <w:b/>
              </w:rPr>
            </w:pPr>
            <w:r w:rsidRPr="00D469F2">
              <w:rPr>
                <w:b/>
              </w:rPr>
              <w:t>Year</w:t>
            </w:r>
          </w:p>
        </w:tc>
        <w:tc>
          <w:tcPr>
            <w:tcW w:w="713" w:type="pct"/>
            <w:shd w:val="clear" w:color="auto" w:fill="auto"/>
          </w:tcPr>
          <w:p w:rsidR="00C5321C" w:rsidRPr="00D469F2" w:rsidRDefault="00C5321C" w:rsidP="00340838">
            <w:pPr>
              <w:pStyle w:val="Tabletext"/>
              <w:rPr>
                <w:b/>
              </w:rPr>
            </w:pPr>
            <w:r w:rsidRPr="00D469F2">
              <w:rPr>
                <w:b/>
              </w:rPr>
              <w:t>Year 1 (2013)</w:t>
            </w:r>
          </w:p>
        </w:tc>
        <w:tc>
          <w:tcPr>
            <w:tcW w:w="729" w:type="pct"/>
            <w:shd w:val="clear" w:color="auto" w:fill="auto"/>
          </w:tcPr>
          <w:p w:rsidR="00C5321C" w:rsidRPr="00D469F2" w:rsidRDefault="00C5321C" w:rsidP="00340838">
            <w:pPr>
              <w:pStyle w:val="Tabletext"/>
              <w:rPr>
                <w:b/>
              </w:rPr>
            </w:pPr>
            <w:r w:rsidRPr="00D469F2">
              <w:rPr>
                <w:b/>
              </w:rPr>
              <w:t>Year 2</w:t>
            </w:r>
          </w:p>
        </w:tc>
        <w:tc>
          <w:tcPr>
            <w:tcW w:w="724" w:type="pct"/>
            <w:shd w:val="clear" w:color="auto" w:fill="auto"/>
          </w:tcPr>
          <w:p w:rsidR="00C5321C" w:rsidRPr="00D469F2" w:rsidRDefault="00C5321C" w:rsidP="00340838">
            <w:pPr>
              <w:pStyle w:val="Tabletext"/>
              <w:rPr>
                <w:b/>
              </w:rPr>
            </w:pPr>
            <w:r w:rsidRPr="00D469F2">
              <w:rPr>
                <w:b/>
              </w:rPr>
              <w:t>Year 3</w:t>
            </w:r>
          </w:p>
        </w:tc>
        <w:tc>
          <w:tcPr>
            <w:tcW w:w="727" w:type="pct"/>
            <w:shd w:val="clear" w:color="auto" w:fill="auto"/>
          </w:tcPr>
          <w:p w:rsidR="00C5321C" w:rsidRPr="00D469F2" w:rsidRDefault="00C5321C" w:rsidP="00340838">
            <w:pPr>
              <w:pStyle w:val="Tabletext"/>
              <w:rPr>
                <w:b/>
              </w:rPr>
            </w:pPr>
            <w:r w:rsidRPr="00D469F2">
              <w:rPr>
                <w:b/>
              </w:rPr>
              <w:t>Year 4</w:t>
            </w:r>
          </w:p>
        </w:tc>
        <w:tc>
          <w:tcPr>
            <w:tcW w:w="728" w:type="pct"/>
            <w:shd w:val="clear" w:color="auto" w:fill="auto"/>
          </w:tcPr>
          <w:p w:rsidR="00C5321C" w:rsidRPr="00D469F2" w:rsidRDefault="00C5321C" w:rsidP="00340838">
            <w:pPr>
              <w:pStyle w:val="Tabletext"/>
              <w:rPr>
                <w:b/>
              </w:rPr>
            </w:pPr>
            <w:r w:rsidRPr="00D469F2">
              <w:rPr>
                <w:b/>
              </w:rPr>
              <w:t>Year 5</w:t>
            </w:r>
          </w:p>
        </w:tc>
      </w:tr>
      <w:tr w:rsidR="00D469F2" w:rsidRPr="00D469F2" w:rsidTr="00D469F2">
        <w:tc>
          <w:tcPr>
            <w:tcW w:w="5000" w:type="pct"/>
            <w:gridSpan w:val="6"/>
            <w:shd w:val="clear" w:color="auto" w:fill="auto"/>
            <w:vAlign w:val="center"/>
          </w:tcPr>
          <w:p w:rsidR="00D469F2" w:rsidRPr="00D469F2" w:rsidRDefault="00D469F2" w:rsidP="00340838">
            <w:pPr>
              <w:pStyle w:val="Tabletext"/>
              <w:rPr>
                <w:b/>
              </w:rPr>
            </w:pPr>
            <w:r w:rsidRPr="00D469F2">
              <w:rPr>
                <w:b/>
              </w:rPr>
              <w:t>Services due to initial screening test</w:t>
            </w:r>
          </w:p>
        </w:tc>
      </w:tr>
      <w:tr w:rsidR="00C8491F" w:rsidRPr="00536CA0" w:rsidTr="00C8491F">
        <w:tc>
          <w:tcPr>
            <w:tcW w:w="1379" w:type="pct"/>
            <w:shd w:val="clear" w:color="auto" w:fill="auto"/>
            <w:vAlign w:val="center"/>
          </w:tcPr>
          <w:p w:rsidR="00C8491F" w:rsidRPr="00536CA0" w:rsidRDefault="00C8491F" w:rsidP="00D469F2">
            <w:pPr>
              <w:pStyle w:val="Tabletext"/>
            </w:pPr>
            <w:r>
              <w:t>Services</w:t>
            </w:r>
          </w:p>
        </w:tc>
        <w:tc>
          <w:tcPr>
            <w:tcW w:w="713" w:type="pct"/>
            <w:shd w:val="clear" w:color="auto" w:fill="auto"/>
          </w:tcPr>
          <w:p w:rsidR="00C8491F" w:rsidRPr="00E356AE" w:rsidRDefault="00C8491F" w:rsidP="00C8491F">
            <w:pPr>
              <w:pStyle w:val="Tabletext"/>
            </w:pPr>
            <w:r w:rsidRPr="00E356AE">
              <w:t>1,396,992</w:t>
            </w:r>
          </w:p>
        </w:tc>
        <w:tc>
          <w:tcPr>
            <w:tcW w:w="729" w:type="pct"/>
            <w:shd w:val="clear" w:color="auto" w:fill="auto"/>
          </w:tcPr>
          <w:p w:rsidR="00C8491F" w:rsidRPr="00E356AE" w:rsidRDefault="00C8491F" w:rsidP="00C8491F">
            <w:pPr>
              <w:pStyle w:val="Tabletext"/>
            </w:pPr>
            <w:r w:rsidRPr="00E356AE">
              <w:t>1,401,410</w:t>
            </w:r>
          </w:p>
        </w:tc>
        <w:tc>
          <w:tcPr>
            <w:tcW w:w="724" w:type="pct"/>
            <w:shd w:val="clear" w:color="auto" w:fill="auto"/>
          </w:tcPr>
          <w:p w:rsidR="00C8491F" w:rsidRPr="00E356AE" w:rsidRDefault="00C8491F" w:rsidP="00C8491F">
            <w:pPr>
              <w:pStyle w:val="Tabletext"/>
            </w:pPr>
            <w:r w:rsidRPr="00E356AE">
              <w:t>1,405,828</w:t>
            </w:r>
          </w:p>
        </w:tc>
        <w:tc>
          <w:tcPr>
            <w:tcW w:w="727" w:type="pct"/>
            <w:shd w:val="clear" w:color="auto" w:fill="auto"/>
          </w:tcPr>
          <w:p w:rsidR="00C8491F" w:rsidRPr="00E356AE" w:rsidRDefault="00C8491F" w:rsidP="00C8491F">
            <w:pPr>
              <w:pStyle w:val="Tabletext"/>
            </w:pPr>
            <w:r w:rsidRPr="00E356AE">
              <w:t>1,410,246</w:t>
            </w:r>
          </w:p>
        </w:tc>
        <w:tc>
          <w:tcPr>
            <w:tcW w:w="728" w:type="pct"/>
            <w:shd w:val="clear" w:color="auto" w:fill="auto"/>
          </w:tcPr>
          <w:p w:rsidR="00C8491F" w:rsidRPr="00E356AE" w:rsidRDefault="00C8491F" w:rsidP="00C8491F">
            <w:pPr>
              <w:pStyle w:val="Tabletext"/>
            </w:pPr>
            <w:r w:rsidRPr="00E356AE">
              <w:t>1,414,664</w:t>
            </w:r>
          </w:p>
        </w:tc>
      </w:tr>
      <w:tr w:rsidR="00C8491F" w:rsidRPr="00536CA0" w:rsidTr="00C8491F">
        <w:tc>
          <w:tcPr>
            <w:tcW w:w="1379" w:type="pct"/>
            <w:shd w:val="clear" w:color="auto" w:fill="auto"/>
            <w:vAlign w:val="center"/>
          </w:tcPr>
          <w:p w:rsidR="00C8491F" w:rsidRPr="00536CA0" w:rsidRDefault="00C8491F" w:rsidP="00D469F2">
            <w:pPr>
              <w:pStyle w:val="Tabletext"/>
            </w:pPr>
            <w:r>
              <w:t>Total MBS costs (at $19.60 per test)</w:t>
            </w:r>
          </w:p>
        </w:tc>
        <w:tc>
          <w:tcPr>
            <w:tcW w:w="713" w:type="pct"/>
            <w:shd w:val="clear" w:color="auto" w:fill="auto"/>
          </w:tcPr>
          <w:p w:rsidR="00C8491F" w:rsidRPr="00E356AE" w:rsidRDefault="00C8491F" w:rsidP="00C8491F">
            <w:pPr>
              <w:pStyle w:val="Tabletext"/>
            </w:pPr>
            <w:r w:rsidRPr="00E356AE">
              <w:t>$27,381,035</w:t>
            </w:r>
          </w:p>
        </w:tc>
        <w:tc>
          <w:tcPr>
            <w:tcW w:w="729" w:type="pct"/>
            <w:shd w:val="clear" w:color="auto" w:fill="auto"/>
          </w:tcPr>
          <w:p w:rsidR="00C8491F" w:rsidRPr="00E356AE" w:rsidRDefault="00C8491F" w:rsidP="00C8491F">
            <w:pPr>
              <w:pStyle w:val="Tabletext"/>
            </w:pPr>
            <w:r w:rsidRPr="00E356AE">
              <w:t>$27,467,630</w:t>
            </w:r>
          </w:p>
        </w:tc>
        <w:tc>
          <w:tcPr>
            <w:tcW w:w="724" w:type="pct"/>
            <w:shd w:val="clear" w:color="auto" w:fill="auto"/>
          </w:tcPr>
          <w:p w:rsidR="00C8491F" w:rsidRPr="00E356AE" w:rsidRDefault="00C8491F" w:rsidP="00C8491F">
            <w:pPr>
              <w:pStyle w:val="Tabletext"/>
            </w:pPr>
            <w:r w:rsidRPr="00E356AE">
              <w:t>$27,554,226</w:t>
            </w:r>
          </w:p>
        </w:tc>
        <w:tc>
          <w:tcPr>
            <w:tcW w:w="727" w:type="pct"/>
            <w:shd w:val="clear" w:color="auto" w:fill="auto"/>
          </w:tcPr>
          <w:p w:rsidR="00C8491F" w:rsidRPr="00E356AE" w:rsidRDefault="00C8491F" w:rsidP="00C8491F">
            <w:pPr>
              <w:pStyle w:val="Tabletext"/>
            </w:pPr>
            <w:r w:rsidRPr="00E356AE">
              <w:t>$27,640,822</w:t>
            </w:r>
          </w:p>
        </w:tc>
        <w:tc>
          <w:tcPr>
            <w:tcW w:w="728" w:type="pct"/>
            <w:shd w:val="clear" w:color="auto" w:fill="auto"/>
          </w:tcPr>
          <w:p w:rsidR="00C8491F" w:rsidRPr="00E356AE" w:rsidRDefault="00C8491F" w:rsidP="00C8491F">
            <w:pPr>
              <w:pStyle w:val="Tabletext"/>
            </w:pPr>
            <w:r w:rsidRPr="00E356AE">
              <w:t>$27,727,418</w:t>
            </w:r>
          </w:p>
        </w:tc>
      </w:tr>
      <w:tr w:rsidR="00C8491F" w:rsidRPr="00536CA0" w:rsidTr="00C8491F">
        <w:tc>
          <w:tcPr>
            <w:tcW w:w="1379" w:type="pct"/>
            <w:shd w:val="clear" w:color="auto" w:fill="auto"/>
            <w:vAlign w:val="center"/>
          </w:tcPr>
          <w:p w:rsidR="00C8491F" w:rsidRPr="00B57E5C" w:rsidRDefault="00C8491F" w:rsidP="00D469F2">
            <w:pPr>
              <w:pStyle w:val="Tabletext"/>
            </w:pPr>
            <w:r>
              <w:t>Total benefits (at 85% benefit)</w:t>
            </w:r>
          </w:p>
        </w:tc>
        <w:tc>
          <w:tcPr>
            <w:tcW w:w="713" w:type="pct"/>
            <w:shd w:val="clear" w:color="auto" w:fill="auto"/>
          </w:tcPr>
          <w:p w:rsidR="00C8491F" w:rsidRPr="00E356AE" w:rsidRDefault="00C8491F" w:rsidP="00C8491F">
            <w:pPr>
              <w:pStyle w:val="Tabletext"/>
            </w:pPr>
            <w:r w:rsidRPr="00E356AE">
              <w:t>$23,329,759</w:t>
            </w:r>
          </w:p>
        </w:tc>
        <w:tc>
          <w:tcPr>
            <w:tcW w:w="729" w:type="pct"/>
            <w:shd w:val="clear" w:color="auto" w:fill="auto"/>
          </w:tcPr>
          <w:p w:rsidR="00C8491F" w:rsidRPr="00E356AE" w:rsidRDefault="00C8491F" w:rsidP="00C8491F">
            <w:pPr>
              <w:pStyle w:val="Tabletext"/>
            </w:pPr>
            <w:r w:rsidRPr="00E356AE">
              <w:t>$23,403,542</w:t>
            </w:r>
          </w:p>
        </w:tc>
        <w:tc>
          <w:tcPr>
            <w:tcW w:w="724" w:type="pct"/>
            <w:shd w:val="clear" w:color="auto" w:fill="auto"/>
          </w:tcPr>
          <w:p w:rsidR="00C8491F" w:rsidRPr="00E356AE" w:rsidRDefault="00C8491F" w:rsidP="00C8491F">
            <w:pPr>
              <w:pStyle w:val="Tabletext"/>
            </w:pPr>
            <w:r w:rsidRPr="00E356AE">
              <w:t>$23,477,326</w:t>
            </w:r>
          </w:p>
        </w:tc>
        <w:tc>
          <w:tcPr>
            <w:tcW w:w="727" w:type="pct"/>
            <w:shd w:val="clear" w:color="auto" w:fill="auto"/>
          </w:tcPr>
          <w:p w:rsidR="00C8491F" w:rsidRPr="00E356AE" w:rsidRDefault="00C8491F" w:rsidP="00C8491F">
            <w:pPr>
              <w:pStyle w:val="Tabletext"/>
            </w:pPr>
            <w:r w:rsidRPr="00E356AE">
              <w:t>$23,551,109</w:t>
            </w:r>
          </w:p>
        </w:tc>
        <w:tc>
          <w:tcPr>
            <w:tcW w:w="728" w:type="pct"/>
            <w:shd w:val="clear" w:color="auto" w:fill="auto"/>
          </w:tcPr>
          <w:p w:rsidR="00C8491F" w:rsidRDefault="00C8491F" w:rsidP="00C8491F">
            <w:pPr>
              <w:pStyle w:val="Tabletext"/>
            </w:pPr>
            <w:r w:rsidRPr="00E356AE">
              <w:t>$23,624,892</w:t>
            </w:r>
          </w:p>
        </w:tc>
      </w:tr>
      <w:tr w:rsidR="00D469F2" w:rsidRPr="00B12200" w:rsidTr="00D469F2">
        <w:tc>
          <w:tcPr>
            <w:tcW w:w="5000" w:type="pct"/>
            <w:gridSpan w:val="6"/>
            <w:shd w:val="clear" w:color="auto" w:fill="auto"/>
            <w:vAlign w:val="center"/>
          </w:tcPr>
          <w:p w:rsidR="00D469F2" w:rsidRPr="00D469F2" w:rsidRDefault="00D469F2" w:rsidP="00340838">
            <w:pPr>
              <w:pStyle w:val="Tabletext"/>
              <w:rPr>
                <w:b/>
              </w:rPr>
            </w:pPr>
            <w:r w:rsidRPr="00D469F2">
              <w:rPr>
                <w:b/>
              </w:rPr>
              <w:t>Services due to unsatisfactory smear</w:t>
            </w:r>
          </w:p>
        </w:tc>
      </w:tr>
      <w:tr w:rsidR="00C8491F" w:rsidRPr="00536CA0" w:rsidTr="00C8491F">
        <w:tc>
          <w:tcPr>
            <w:tcW w:w="1379" w:type="pct"/>
            <w:shd w:val="clear" w:color="auto" w:fill="auto"/>
            <w:vAlign w:val="center"/>
          </w:tcPr>
          <w:p w:rsidR="00C8491F" w:rsidRPr="00536CA0" w:rsidRDefault="00C8491F" w:rsidP="00340838">
            <w:pPr>
              <w:pStyle w:val="Tabletext"/>
            </w:pPr>
            <w:r>
              <w:t>Services</w:t>
            </w:r>
          </w:p>
        </w:tc>
        <w:tc>
          <w:tcPr>
            <w:tcW w:w="713" w:type="pct"/>
            <w:shd w:val="clear" w:color="auto" w:fill="auto"/>
          </w:tcPr>
          <w:p w:rsidR="00C8491F" w:rsidRPr="001A7B83" w:rsidRDefault="00C8491F" w:rsidP="00C8491F">
            <w:pPr>
              <w:pStyle w:val="Tabletext"/>
            </w:pPr>
            <w:r w:rsidRPr="001A7B83">
              <w:t>15,835</w:t>
            </w:r>
          </w:p>
        </w:tc>
        <w:tc>
          <w:tcPr>
            <w:tcW w:w="729" w:type="pct"/>
            <w:shd w:val="clear" w:color="auto" w:fill="auto"/>
          </w:tcPr>
          <w:p w:rsidR="00C8491F" w:rsidRPr="001A7B83" w:rsidRDefault="00C8491F" w:rsidP="00C8491F">
            <w:pPr>
              <w:pStyle w:val="Tabletext"/>
            </w:pPr>
            <w:r w:rsidRPr="001A7B83">
              <w:t>15,885</w:t>
            </w:r>
          </w:p>
        </w:tc>
        <w:tc>
          <w:tcPr>
            <w:tcW w:w="724" w:type="pct"/>
            <w:shd w:val="clear" w:color="auto" w:fill="auto"/>
          </w:tcPr>
          <w:p w:rsidR="00C8491F" w:rsidRPr="001A7B83" w:rsidRDefault="00C8491F" w:rsidP="00C8491F">
            <w:pPr>
              <w:pStyle w:val="Tabletext"/>
            </w:pPr>
            <w:r w:rsidRPr="001A7B83">
              <w:t>15,935</w:t>
            </w:r>
          </w:p>
        </w:tc>
        <w:tc>
          <w:tcPr>
            <w:tcW w:w="727" w:type="pct"/>
            <w:shd w:val="clear" w:color="auto" w:fill="auto"/>
          </w:tcPr>
          <w:p w:rsidR="00C8491F" w:rsidRPr="001A7B83" w:rsidRDefault="00C8491F" w:rsidP="00C8491F">
            <w:pPr>
              <w:pStyle w:val="Tabletext"/>
            </w:pPr>
            <w:r w:rsidRPr="001A7B83">
              <w:t>15,985</w:t>
            </w:r>
          </w:p>
        </w:tc>
        <w:tc>
          <w:tcPr>
            <w:tcW w:w="728" w:type="pct"/>
            <w:shd w:val="clear" w:color="auto" w:fill="auto"/>
          </w:tcPr>
          <w:p w:rsidR="00C8491F" w:rsidRPr="001A7B83" w:rsidRDefault="00C8491F" w:rsidP="00C8491F">
            <w:pPr>
              <w:pStyle w:val="Tabletext"/>
            </w:pPr>
            <w:r w:rsidRPr="001A7B83">
              <w:t>16,035</w:t>
            </w:r>
          </w:p>
        </w:tc>
      </w:tr>
      <w:tr w:rsidR="00C8491F" w:rsidRPr="00536CA0" w:rsidTr="00C8491F">
        <w:tc>
          <w:tcPr>
            <w:tcW w:w="1379" w:type="pct"/>
            <w:shd w:val="clear" w:color="auto" w:fill="auto"/>
            <w:vAlign w:val="center"/>
          </w:tcPr>
          <w:p w:rsidR="00C8491F" w:rsidRPr="00536CA0" w:rsidRDefault="00C8491F" w:rsidP="00340838">
            <w:pPr>
              <w:pStyle w:val="Tabletext"/>
            </w:pPr>
            <w:r>
              <w:t>Total MBS costs (at $19.60 per test)</w:t>
            </w:r>
          </w:p>
        </w:tc>
        <w:tc>
          <w:tcPr>
            <w:tcW w:w="713" w:type="pct"/>
            <w:shd w:val="clear" w:color="auto" w:fill="auto"/>
          </w:tcPr>
          <w:p w:rsidR="00C8491F" w:rsidRPr="001A7B83" w:rsidRDefault="00C8491F" w:rsidP="00C8491F">
            <w:pPr>
              <w:pStyle w:val="Tabletext"/>
            </w:pPr>
            <w:r w:rsidRPr="001A7B83">
              <w:t>$310,366</w:t>
            </w:r>
          </w:p>
        </w:tc>
        <w:tc>
          <w:tcPr>
            <w:tcW w:w="729" w:type="pct"/>
            <w:shd w:val="clear" w:color="auto" w:fill="auto"/>
          </w:tcPr>
          <w:p w:rsidR="00C8491F" w:rsidRPr="001A7B83" w:rsidRDefault="00C8491F" w:rsidP="00C8491F">
            <w:pPr>
              <w:pStyle w:val="Tabletext"/>
            </w:pPr>
            <w:r w:rsidRPr="001A7B83">
              <w:t>$311,347</w:t>
            </w:r>
          </w:p>
        </w:tc>
        <w:tc>
          <w:tcPr>
            <w:tcW w:w="724" w:type="pct"/>
            <w:shd w:val="clear" w:color="auto" w:fill="auto"/>
          </w:tcPr>
          <w:p w:rsidR="00C8491F" w:rsidRPr="001A7B83" w:rsidRDefault="00C8491F" w:rsidP="00C8491F">
            <w:pPr>
              <w:pStyle w:val="Tabletext"/>
            </w:pPr>
            <w:r w:rsidRPr="001A7B83">
              <w:t>$312,329</w:t>
            </w:r>
          </w:p>
        </w:tc>
        <w:tc>
          <w:tcPr>
            <w:tcW w:w="727" w:type="pct"/>
            <w:shd w:val="clear" w:color="auto" w:fill="auto"/>
          </w:tcPr>
          <w:p w:rsidR="00C8491F" w:rsidRPr="001A7B83" w:rsidRDefault="00C8491F" w:rsidP="00C8491F">
            <w:pPr>
              <w:pStyle w:val="Tabletext"/>
            </w:pPr>
            <w:r w:rsidRPr="001A7B83">
              <w:t>$313,310</w:t>
            </w:r>
          </w:p>
        </w:tc>
        <w:tc>
          <w:tcPr>
            <w:tcW w:w="728" w:type="pct"/>
            <w:shd w:val="clear" w:color="auto" w:fill="auto"/>
          </w:tcPr>
          <w:p w:rsidR="00C8491F" w:rsidRPr="001A7B83" w:rsidRDefault="00C8491F" w:rsidP="00C8491F">
            <w:pPr>
              <w:pStyle w:val="Tabletext"/>
            </w:pPr>
            <w:r w:rsidRPr="001A7B83">
              <w:t>$314,292</w:t>
            </w:r>
          </w:p>
        </w:tc>
      </w:tr>
      <w:tr w:rsidR="00C8491F" w:rsidRPr="00536CA0" w:rsidTr="00C8491F">
        <w:tc>
          <w:tcPr>
            <w:tcW w:w="1379" w:type="pct"/>
            <w:shd w:val="clear" w:color="auto" w:fill="auto"/>
            <w:vAlign w:val="center"/>
          </w:tcPr>
          <w:p w:rsidR="00C8491F" w:rsidRPr="00B57E5C" w:rsidRDefault="00C8491F" w:rsidP="00340838">
            <w:pPr>
              <w:pStyle w:val="Tabletext"/>
            </w:pPr>
            <w:r>
              <w:t>Total benefits (at 85% benefit)</w:t>
            </w:r>
          </w:p>
        </w:tc>
        <w:tc>
          <w:tcPr>
            <w:tcW w:w="713" w:type="pct"/>
            <w:shd w:val="clear" w:color="auto" w:fill="auto"/>
          </w:tcPr>
          <w:p w:rsidR="00C8491F" w:rsidRPr="001A7B83" w:rsidRDefault="00C8491F" w:rsidP="00C8491F">
            <w:pPr>
              <w:pStyle w:val="Tabletext"/>
            </w:pPr>
            <w:r w:rsidRPr="001A7B83">
              <w:t>$264,444</w:t>
            </w:r>
          </w:p>
        </w:tc>
        <w:tc>
          <w:tcPr>
            <w:tcW w:w="729" w:type="pct"/>
            <w:shd w:val="clear" w:color="auto" w:fill="auto"/>
          </w:tcPr>
          <w:p w:rsidR="00C8491F" w:rsidRPr="001A7B83" w:rsidRDefault="00C8491F" w:rsidP="00C8491F">
            <w:pPr>
              <w:pStyle w:val="Tabletext"/>
            </w:pPr>
            <w:r w:rsidRPr="001A7B83">
              <w:t>$265,281</w:t>
            </w:r>
          </w:p>
        </w:tc>
        <w:tc>
          <w:tcPr>
            <w:tcW w:w="724" w:type="pct"/>
            <w:shd w:val="clear" w:color="auto" w:fill="auto"/>
          </w:tcPr>
          <w:p w:rsidR="00C8491F" w:rsidRPr="001A7B83" w:rsidRDefault="00C8491F" w:rsidP="00C8491F">
            <w:pPr>
              <w:pStyle w:val="Tabletext"/>
            </w:pPr>
            <w:r w:rsidRPr="001A7B83">
              <w:t>$266,117</w:t>
            </w:r>
          </w:p>
        </w:tc>
        <w:tc>
          <w:tcPr>
            <w:tcW w:w="727" w:type="pct"/>
            <w:shd w:val="clear" w:color="auto" w:fill="auto"/>
          </w:tcPr>
          <w:p w:rsidR="00C8491F" w:rsidRPr="001A7B83" w:rsidRDefault="00C8491F" w:rsidP="00C8491F">
            <w:pPr>
              <w:pStyle w:val="Tabletext"/>
            </w:pPr>
            <w:r w:rsidRPr="001A7B83">
              <w:t>$266,953</w:t>
            </w:r>
          </w:p>
        </w:tc>
        <w:tc>
          <w:tcPr>
            <w:tcW w:w="728" w:type="pct"/>
            <w:shd w:val="clear" w:color="auto" w:fill="auto"/>
          </w:tcPr>
          <w:p w:rsidR="00C8491F" w:rsidRDefault="00C8491F" w:rsidP="00C8491F">
            <w:pPr>
              <w:pStyle w:val="Tabletext"/>
            </w:pPr>
            <w:r w:rsidRPr="001A7B83">
              <w:t>$267,790</w:t>
            </w:r>
          </w:p>
        </w:tc>
      </w:tr>
      <w:tr w:rsidR="00D469F2" w:rsidRPr="00B12200" w:rsidTr="00D469F2">
        <w:tc>
          <w:tcPr>
            <w:tcW w:w="5000" w:type="pct"/>
            <w:gridSpan w:val="6"/>
            <w:shd w:val="clear" w:color="auto" w:fill="auto"/>
            <w:vAlign w:val="center"/>
          </w:tcPr>
          <w:p w:rsidR="00D469F2" w:rsidRPr="00D469F2" w:rsidRDefault="00D469F2" w:rsidP="00340838">
            <w:pPr>
              <w:pStyle w:val="Tabletext"/>
              <w:rPr>
                <w:b/>
              </w:rPr>
            </w:pPr>
            <w:r w:rsidRPr="00D469F2">
              <w:rPr>
                <w:b/>
              </w:rPr>
              <w:t>Services due to follow-up tests after a positive result</w:t>
            </w:r>
          </w:p>
        </w:tc>
      </w:tr>
      <w:tr w:rsidR="00C8491F" w:rsidRPr="00536CA0" w:rsidTr="00C8491F">
        <w:tc>
          <w:tcPr>
            <w:tcW w:w="1379" w:type="pct"/>
            <w:shd w:val="clear" w:color="auto" w:fill="auto"/>
            <w:vAlign w:val="center"/>
          </w:tcPr>
          <w:p w:rsidR="00C8491F" w:rsidRPr="00536CA0" w:rsidRDefault="00C8491F" w:rsidP="00340838">
            <w:pPr>
              <w:pStyle w:val="Tabletext"/>
            </w:pPr>
            <w:r>
              <w:t>Services</w:t>
            </w:r>
          </w:p>
        </w:tc>
        <w:tc>
          <w:tcPr>
            <w:tcW w:w="713" w:type="pct"/>
            <w:shd w:val="clear" w:color="auto" w:fill="auto"/>
          </w:tcPr>
          <w:p w:rsidR="00C8491F" w:rsidRPr="00AF6329" w:rsidRDefault="00C8491F" w:rsidP="00C8491F">
            <w:pPr>
              <w:pStyle w:val="Tabletext"/>
            </w:pPr>
            <w:r w:rsidRPr="00AF6329">
              <w:t>49,657</w:t>
            </w:r>
          </w:p>
        </w:tc>
        <w:tc>
          <w:tcPr>
            <w:tcW w:w="729" w:type="pct"/>
            <w:shd w:val="clear" w:color="auto" w:fill="auto"/>
          </w:tcPr>
          <w:p w:rsidR="00C8491F" w:rsidRPr="00AF6329" w:rsidRDefault="00C8491F" w:rsidP="00C8491F">
            <w:pPr>
              <w:pStyle w:val="Tabletext"/>
            </w:pPr>
            <w:r w:rsidRPr="00AF6329">
              <w:t>49,814</w:t>
            </w:r>
          </w:p>
        </w:tc>
        <w:tc>
          <w:tcPr>
            <w:tcW w:w="724" w:type="pct"/>
            <w:shd w:val="clear" w:color="auto" w:fill="auto"/>
          </w:tcPr>
          <w:p w:rsidR="00C8491F" w:rsidRPr="00AF6329" w:rsidRDefault="00C8491F" w:rsidP="00C8491F">
            <w:pPr>
              <w:pStyle w:val="Tabletext"/>
            </w:pPr>
            <w:r w:rsidRPr="00AF6329">
              <w:t>49,971</w:t>
            </w:r>
          </w:p>
        </w:tc>
        <w:tc>
          <w:tcPr>
            <w:tcW w:w="727" w:type="pct"/>
            <w:shd w:val="clear" w:color="auto" w:fill="auto"/>
          </w:tcPr>
          <w:p w:rsidR="00C8491F" w:rsidRPr="00AF6329" w:rsidRDefault="00C8491F" w:rsidP="00C8491F">
            <w:pPr>
              <w:pStyle w:val="Tabletext"/>
            </w:pPr>
            <w:r w:rsidRPr="00AF6329">
              <w:t>50,128</w:t>
            </w:r>
          </w:p>
        </w:tc>
        <w:tc>
          <w:tcPr>
            <w:tcW w:w="728" w:type="pct"/>
            <w:shd w:val="clear" w:color="auto" w:fill="auto"/>
          </w:tcPr>
          <w:p w:rsidR="00C8491F" w:rsidRPr="00AF6329" w:rsidRDefault="00C8491F" w:rsidP="00C8491F">
            <w:pPr>
              <w:pStyle w:val="Tabletext"/>
            </w:pPr>
            <w:r w:rsidRPr="00AF6329">
              <w:t>50,285</w:t>
            </w:r>
          </w:p>
        </w:tc>
      </w:tr>
      <w:tr w:rsidR="00C8491F" w:rsidRPr="00536CA0" w:rsidTr="00C8491F">
        <w:tc>
          <w:tcPr>
            <w:tcW w:w="1379" w:type="pct"/>
            <w:shd w:val="clear" w:color="auto" w:fill="auto"/>
            <w:vAlign w:val="center"/>
          </w:tcPr>
          <w:p w:rsidR="00C8491F" w:rsidRPr="00536CA0" w:rsidRDefault="00C8491F" w:rsidP="00340838">
            <w:pPr>
              <w:pStyle w:val="Tabletext"/>
            </w:pPr>
            <w:r>
              <w:t>Total MBS costs (at $19.60 per test)</w:t>
            </w:r>
          </w:p>
        </w:tc>
        <w:tc>
          <w:tcPr>
            <w:tcW w:w="713" w:type="pct"/>
            <w:shd w:val="clear" w:color="auto" w:fill="auto"/>
          </w:tcPr>
          <w:p w:rsidR="00C8491F" w:rsidRPr="00AF6329" w:rsidRDefault="00C8491F" w:rsidP="00C8491F">
            <w:pPr>
              <w:pStyle w:val="Tabletext"/>
            </w:pPr>
            <w:r w:rsidRPr="00AF6329">
              <w:t>$973,268</w:t>
            </w:r>
          </w:p>
        </w:tc>
        <w:tc>
          <w:tcPr>
            <w:tcW w:w="729" w:type="pct"/>
            <w:shd w:val="clear" w:color="auto" w:fill="auto"/>
          </w:tcPr>
          <w:p w:rsidR="00C8491F" w:rsidRPr="00AF6329" w:rsidRDefault="00C8491F" w:rsidP="00C8491F">
            <w:pPr>
              <w:pStyle w:val="Tabletext"/>
            </w:pPr>
            <w:r w:rsidRPr="00AF6329">
              <w:t>$976,346</w:t>
            </w:r>
          </w:p>
        </w:tc>
        <w:tc>
          <w:tcPr>
            <w:tcW w:w="724" w:type="pct"/>
            <w:shd w:val="clear" w:color="auto" w:fill="auto"/>
          </w:tcPr>
          <w:p w:rsidR="00C8491F" w:rsidRPr="00AF6329" w:rsidRDefault="00C8491F" w:rsidP="00C8491F">
            <w:pPr>
              <w:pStyle w:val="Tabletext"/>
            </w:pPr>
            <w:r w:rsidRPr="00AF6329">
              <w:t>$979,424</w:t>
            </w:r>
          </w:p>
        </w:tc>
        <w:tc>
          <w:tcPr>
            <w:tcW w:w="727" w:type="pct"/>
            <w:shd w:val="clear" w:color="auto" w:fill="auto"/>
          </w:tcPr>
          <w:p w:rsidR="00C8491F" w:rsidRPr="00AF6329" w:rsidRDefault="00C8491F" w:rsidP="00C8491F">
            <w:pPr>
              <w:pStyle w:val="Tabletext"/>
            </w:pPr>
            <w:r w:rsidRPr="00AF6329">
              <w:t>$982,503</w:t>
            </w:r>
          </w:p>
        </w:tc>
        <w:tc>
          <w:tcPr>
            <w:tcW w:w="728" w:type="pct"/>
            <w:shd w:val="clear" w:color="auto" w:fill="auto"/>
          </w:tcPr>
          <w:p w:rsidR="00C8491F" w:rsidRPr="00AF6329" w:rsidRDefault="00C8491F" w:rsidP="00C8491F">
            <w:pPr>
              <w:pStyle w:val="Tabletext"/>
            </w:pPr>
            <w:r w:rsidRPr="00AF6329">
              <w:t>$985,581</w:t>
            </w:r>
          </w:p>
        </w:tc>
      </w:tr>
      <w:tr w:rsidR="00C8491F" w:rsidRPr="00536CA0" w:rsidTr="00C8491F">
        <w:tc>
          <w:tcPr>
            <w:tcW w:w="1379" w:type="pct"/>
            <w:shd w:val="clear" w:color="auto" w:fill="auto"/>
            <w:vAlign w:val="center"/>
          </w:tcPr>
          <w:p w:rsidR="00C8491F" w:rsidRPr="00B57E5C" w:rsidRDefault="00C8491F" w:rsidP="00340838">
            <w:pPr>
              <w:pStyle w:val="Tabletext"/>
            </w:pPr>
            <w:r>
              <w:t>Total benefits (at 85% benefit)</w:t>
            </w:r>
          </w:p>
        </w:tc>
        <w:tc>
          <w:tcPr>
            <w:tcW w:w="713" w:type="pct"/>
            <w:shd w:val="clear" w:color="auto" w:fill="auto"/>
          </w:tcPr>
          <w:p w:rsidR="00C8491F" w:rsidRPr="00AF6329" w:rsidRDefault="00C8491F" w:rsidP="00C8491F">
            <w:pPr>
              <w:pStyle w:val="Tabletext"/>
            </w:pPr>
            <w:r w:rsidRPr="00AF6329">
              <w:t>$829,264</w:t>
            </w:r>
          </w:p>
        </w:tc>
        <w:tc>
          <w:tcPr>
            <w:tcW w:w="729" w:type="pct"/>
            <w:shd w:val="clear" w:color="auto" w:fill="auto"/>
          </w:tcPr>
          <w:p w:rsidR="00C8491F" w:rsidRPr="00AF6329" w:rsidRDefault="00C8491F" w:rsidP="00C8491F">
            <w:pPr>
              <w:pStyle w:val="Tabletext"/>
            </w:pPr>
            <w:r w:rsidRPr="00AF6329">
              <w:t>$831,887</w:t>
            </w:r>
          </w:p>
        </w:tc>
        <w:tc>
          <w:tcPr>
            <w:tcW w:w="724" w:type="pct"/>
            <w:shd w:val="clear" w:color="auto" w:fill="auto"/>
          </w:tcPr>
          <w:p w:rsidR="00C8491F" w:rsidRPr="00AF6329" w:rsidRDefault="00C8491F" w:rsidP="00C8491F">
            <w:pPr>
              <w:pStyle w:val="Tabletext"/>
            </w:pPr>
            <w:r w:rsidRPr="00AF6329">
              <w:t>$834,510</w:t>
            </w:r>
          </w:p>
        </w:tc>
        <w:tc>
          <w:tcPr>
            <w:tcW w:w="727" w:type="pct"/>
            <w:shd w:val="clear" w:color="auto" w:fill="auto"/>
          </w:tcPr>
          <w:p w:rsidR="00C8491F" w:rsidRPr="00AF6329" w:rsidRDefault="00C8491F" w:rsidP="00C8491F">
            <w:pPr>
              <w:pStyle w:val="Tabletext"/>
            </w:pPr>
            <w:r w:rsidRPr="00AF6329">
              <w:t>$837,132</w:t>
            </w:r>
          </w:p>
        </w:tc>
        <w:tc>
          <w:tcPr>
            <w:tcW w:w="728" w:type="pct"/>
            <w:shd w:val="clear" w:color="auto" w:fill="auto"/>
          </w:tcPr>
          <w:p w:rsidR="00C8491F" w:rsidRDefault="00C8491F" w:rsidP="00C8491F">
            <w:pPr>
              <w:pStyle w:val="Tabletext"/>
            </w:pPr>
            <w:r w:rsidRPr="00AF6329">
              <w:t>$839,755</w:t>
            </w:r>
          </w:p>
        </w:tc>
      </w:tr>
      <w:tr w:rsidR="00D469F2" w:rsidRPr="00B12200" w:rsidTr="00D469F2">
        <w:tc>
          <w:tcPr>
            <w:tcW w:w="5000" w:type="pct"/>
            <w:gridSpan w:val="6"/>
            <w:shd w:val="clear" w:color="auto" w:fill="auto"/>
            <w:vAlign w:val="bottom"/>
          </w:tcPr>
          <w:p w:rsidR="00D469F2" w:rsidRPr="00D469F2" w:rsidRDefault="00D469F2" w:rsidP="00340838">
            <w:pPr>
              <w:pStyle w:val="Tabletext"/>
              <w:rPr>
                <w:b/>
              </w:rPr>
            </w:pPr>
            <w:r w:rsidRPr="00D469F2">
              <w:rPr>
                <w:b/>
              </w:rPr>
              <w:t>Services due to other follow-up investigations</w:t>
            </w:r>
          </w:p>
        </w:tc>
      </w:tr>
      <w:tr w:rsidR="00C8491F" w:rsidRPr="00536CA0" w:rsidTr="00C8491F">
        <w:tc>
          <w:tcPr>
            <w:tcW w:w="1379" w:type="pct"/>
            <w:shd w:val="clear" w:color="auto" w:fill="auto"/>
            <w:vAlign w:val="center"/>
          </w:tcPr>
          <w:p w:rsidR="00C8491F" w:rsidRPr="00536CA0" w:rsidRDefault="00C8491F" w:rsidP="00340838">
            <w:pPr>
              <w:pStyle w:val="Tabletext"/>
            </w:pPr>
            <w:r>
              <w:t>Services</w:t>
            </w:r>
          </w:p>
        </w:tc>
        <w:tc>
          <w:tcPr>
            <w:tcW w:w="713" w:type="pct"/>
            <w:shd w:val="clear" w:color="auto" w:fill="auto"/>
          </w:tcPr>
          <w:p w:rsidR="00C8491F" w:rsidRPr="00ED5B3C" w:rsidRDefault="00C8491F" w:rsidP="00C8491F">
            <w:pPr>
              <w:pStyle w:val="Tabletext"/>
            </w:pPr>
            <w:r w:rsidRPr="00ED5B3C">
              <w:t>230,441</w:t>
            </w:r>
          </w:p>
        </w:tc>
        <w:tc>
          <w:tcPr>
            <w:tcW w:w="729" w:type="pct"/>
            <w:shd w:val="clear" w:color="auto" w:fill="auto"/>
          </w:tcPr>
          <w:p w:rsidR="00C8491F" w:rsidRPr="00ED5B3C" w:rsidRDefault="00C8491F" w:rsidP="00C8491F">
            <w:pPr>
              <w:pStyle w:val="Tabletext"/>
            </w:pPr>
            <w:r w:rsidRPr="00ED5B3C">
              <w:t>230,213</w:t>
            </w:r>
          </w:p>
        </w:tc>
        <w:tc>
          <w:tcPr>
            <w:tcW w:w="724" w:type="pct"/>
            <w:shd w:val="clear" w:color="auto" w:fill="auto"/>
          </w:tcPr>
          <w:p w:rsidR="00C8491F" w:rsidRPr="00ED5B3C" w:rsidRDefault="00C8491F" w:rsidP="00C8491F">
            <w:pPr>
              <w:pStyle w:val="Tabletext"/>
            </w:pPr>
            <w:r w:rsidRPr="00ED5B3C">
              <w:t>229,986</w:t>
            </w:r>
          </w:p>
        </w:tc>
        <w:tc>
          <w:tcPr>
            <w:tcW w:w="727" w:type="pct"/>
            <w:shd w:val="clear" w:color="auto" w:fill="auto"/>
          </w:tcPr>
          <w:p w:rsidR="00C8491F" w:rsidRPr="00ED5B3C" w:rsidRDefault="00C8491F" w:rsidP="00C8491F">
            <w:pPr>
              <w:pStyle w:val="Tabletext"/>
            </w:pPr>
            <w:r w:rsidRPr="00ED5B3C">
              <w:t>229,758</w:t>
            </w:r>
          </w:p>
        </w:tc>
        <w:tc>
          <w:tcPr>
            <w:tcW w:w="728" w:type="pct"/>
            <w:shd w:val="clear" w:color="auto" w:fill="auto"/>
          </w:tcPr>
          <w:p w:rsidR="00C8491F" w:rsidRPr="00ED5B3C" w:rsidRDefault="00C8491F" w:rsidP="00C8491F">
            <w:pPr>
              <w:pStyle w:val="Tabletext"/>
            </w:pPr>
            <w:r w:rsidRPr="00ED5B3C">
              <w:t>229,530</w:t>
            </w:r>
          </w:p>
        </w:tc>
      </w:tr>
      <w:tr w:rsidR="00C8491F" w:rsidRPr="00536CA0" w:rsidTr="00C8491F">
        <w:tc>
          <w:tcPr>
            <w:tcW w:w="1379" w:type="pct"/>
            <w:shd w:val="clear" w:color="auto" w:fill="auto"/>
            <w:vAlign w:val="center"/>
          </w:tcPr>
          <w:p w:rsidR="00C8491F" w:rsidRPr="00536CA0" w:rsidRDefault="00C8491F" w:rsidP="00340838">
            <w:pPr>
              <w:pStyle w:val="Tabletext"/>
            </w:pPr>
            <w:r>
              <w:t>Total MBS costs (at $19.60 per test)</w:t>
            </w:r>
          </w:p>
        </w:tc>
        <w:tc>
          <w:tcPr>
            <w:tcW w:w="713" w:type="pct"/>
            <w:shd w:val="clear" w:color="auto" w:fill="auto"/>
          </w:tcPr>
          <w:p w:rsidR="00C8491F" w:rsidRPr="00ED5B3C" w:rsidRDefault="00C8491F" w:rsidP="00C8491F">
            <w:pPr>
              <w:pStyle w:val="Tabletext"/>
            </w:pPr>
            <w:r w:rsidRPr="00ED5B3C">
              <w:t>$4,516,646</w:t>
            </w:r>
          </w:p>
        </w:tc>
        <w:tc>
          <w:tcPr>
            <w:tcW w:w="729" w:type="pct"/>
            <w:shd w:val="clear" w:color="auto" w:fill="auto"/>
          </w:tcPr>
          <w:p w:rsidR="00C8491F" w:rsidRPr="00ED5B3C" w:rsidRDefault="00C8491F" w:rsidP="00C8491F">
            <w:pPr>
              <w:pStyle w:val="Tabletext"/>
            </w:pPr>
            <w:r w:rsidRPr="00ED5B3C">
              <w:t>$4,512,182</w:t>
            </w:r>
          </w:p>
        </w:tc>
        <w:tc>
          <w:tcPr>
            <w:tcW w:w="724" w:type="pct"/>
            <w:shd w:val="clear" w:color="auto" w:fill="auto"/>
          </w:tcPr>
          <w:p w:rsidR="00C8491F" w:rsidRPr="00ED5B3C" w:rsidRDefault="00C8491F" w:rsidP="00C8491F">
            <w:pPr>
              <w:pStyle w:val="Tabletext"/>
            </w:pPr>
            <w:r w:rsidRPr="00ED5B3C">
              <w:t>$4,507,717</w:t>
            </w:r>
          </w:p>
        </w:tc>
        <w:tc>
          <w:tcPr>
            <w:tcW w:w="727" w:type="pct"/>
            <w:shd w:val="clear" w:color="auto" w:fill="auto"/>
          </w:tcPr>
          <w:p w:rsidR="00C8491F" w:rsidRPr="00ED5B3C" w:rsidRDefault="00C8491F" w:rsidP="00C8491F">
            <w:pPr>
              <w:pStyle w:val="Tabletext"/>
            </w:pPr>
            <w:r w:rsidRPr="00ED5B3C">
              <w:t>$4,503,252</w:t>
            </w:r>
          </w:p>
        </w:tc>
        <w:tc>
          <w:tcPr>
            <w:tcW w:w="728" w:type="pct"/>
            <w:shd w:val="clear" w:color="auto" w:fill="auto"/>
          </w:tcPr>
          <w:p w:rsidR="00C8491F" w:rsidRPr="00ED5B3C" w:rsidRDefault="00C8491F" w:rsidP="00C8491F">
            <w:pPr>
              <w:pStyle w:val="Tabletext"/>
            </w:pPr>
            <w:r w:rsidRPr="00ED5B3C">
              <w:t>$4,498,788</w:t>
            </w:r>
          </w:p>
        </w:tc>
      </w:tr>
      <w:tr w:rsidR="00C8491F" w:rsidRPr="00536CA0" w:rsidTr="00C8491F">
        <w:tc>
          <w:tcPr>
            <w:tcW w:w="1379" w:type="pct"/>
            <w:shd w:val="clear" w:color="auto" w:fill="auto"/>
            <w:vAlign w:val="center"/>
          </w:tcPr>
          <w:p w:rsidR="00C8491F" w:rsidRPr="00B57E5C" w:rsidRDefault="00C8491F" w:rsidP="00340838">
            <w:pPr>
              <w:pStyle w:val="Tabletext"/>
            </w:pPr>
            <w:r>
              <w:t>Total benefits (at 85% benefit)</w:t>
            </w:r>
          </w:p>
        </w:tc>
        <w:tc>
          <w:tcPr>
            <w:tcW w:w="713" w:type="pct"/>
            <w:shd w:val="clear" w:color="auto" w:fill="auto"/>
          </w:tcPr>
          <w:p w:rsidR="00C8491F" w:rsidRPr="00ED5B3C" w:rsidRDefault="00C8491F" w:rsidP="00C8491F">
            <w:pPr>
              <w:pStyle w:val="Tabletext"/>
            </w:pPr>
            <w:r w:rsidRPr="00ED5B3C">
              <w:t>$3,848,367</w:t>
            </w:r>
          </w:p>
        </w:tc>
        <w:tc>
          <w:tcPr>
            <w:tcW w:w="729" w:type="pct"/>
            <w:shd w:val="clear" w:color="auto" w:fill="auto"/>
          </w:tcPr>
          <w:p w:rsidR="00C8491F" w:rsidRPr="00ED5B3C" w:rsidRDefault="00C8491F" w:rsidP="00C8491F">
            <w:pPr>
              <w:pStyle w:val="Tabletext"/>
            </w:pPr>
            <w:r w:rsidRPr="00ED5B3C">
              <w:t>$3,844,563</w:t>
            </w:r>
          </w:p>
        </w:tc>
        <w:tc>
          <w:tcPr>
            <w:tcW w:w="724" w:type="pct"/>
            <w:shd w:val="clear" w:color="auto" w:fill="auto"/>
          </w:tcPr>
          <w:p w:rsidR="00C8491F" w:rsidRPr="00ED5B3C" w:rsidRDefault="00C8491F" w:rsidP="00C8491F">
            <w:pPr>
              <w:pStyle w:val="Tabletext"/>
            </w:pPr>
            <w:r w:rsidRPr="00ED5B3C">
              <w:t>$3,840,759</w:t>
            </w:r>
          </w:p>
        </w:tc>
        <w:tc>
          <w:tcPr>
            <w:tcW w:w="727" w:type="pct"/>
            <w:shd w:val="clear" w:color="auto" w:fill="auto"/>
          </w:tcPr>
          <w:p w:rsidR="00C8491F" w:rsidRPr="00ED5B3C" w:rsidRDefault="00C8491F" w:rsidP="00C8491F">
            <w:pPr>
              <w:pStyle w:val="Tabletext"/>
            </w:pPr>
            <w:r w:rsidRPr="00ED5B3C">
              <w:t>$3,836,955</w:t>
            </w:r>
          </w:p>
        </w:tc>
        <w:tc>
          <w:tcPr>
            <w:tcW w:w="728" w:type="pct"/>
            <w:shd w:val="clear" w:color="auto" w:fill="auto"/>
          </w:tcPr>
          <w:p w:rsidR="00C8491F" w:rsidRDefault="00C8491F" w:rsidP="00C8491F">
            <w:pPr>
              <w:pStyle w:val="Tabletext"/>
            </w:pPr>
            <w:r w:rsidRPr="00ED5B3C">
              <w:t>$3,833,151</w:t>
            </w:r>
          </w:p>
        </w:tc>
      </w:tr>
      <w:tr w:rsidR="00D469F2" w:rsidRPr="00B12200" w:rsidTr="00D469F2">
        <w:tc>
          <w:tcPr>
            <w:tcW w:w="5000" w:type="pct"/>
            <w:gridSpan w:val="6"/>
            <w:shd w:val="clear" w:color="auto" w:fill="auto"/>
            <w:vAlign w:val="bottom"/>
          </w:tcPr>
          <w:p w:rsidR="00D469F2" w:rsidRPr="00D469F2" w:rsidRDefault="00D469F2" w:rsidP="00340838">
            <w:pPr>
              <w:pStyle w:val="Tabletext"/>
              <w:rPr>
                <w:b/>
              </w:rPr>
            </w:pPr>
            <w:r w:rsidRPr="00D469F2">
              <w:rPr>
                <w:b/>
              </w:rPr>
              <w:t>Total</w:t>
            </w:r>
          </w:p>
        </w:tc>
      </w:tr>
      <w:tr w:rsidR="00C8491F" w:rsidRPr="00536CA0" w:rsidTr="00C8491F">
        <w:tc>
          <w:tcPr>
            <w:tcW w:w="1379" w:type="pct"/>
            <w:shd w:val="clear" w:color="auto" w:fill="auto"/>
            <w:vAlign w:val="center"/>
          </w:tcPr>
          <w:p w:rsidR="00C8491F" w:rsidRPr="00536CA0" w:rsidRDefault="00C8491F" w:rsidP="00D469F2">
            <w:pPr>
              <w:pStyle w:val="Tabletext"/>
            </w:pPr>
            <w:r>
              <w:t>Services</w:t>
            </w:r>
          </w:p>
        </w:tc>
        <w:tc>
          <w:tcPr>
            <w:tcW w:w="713" w:type="pct"/>
            <w:shd w:val="clear" w:color="auto" w:fill="auto"/>
          </w:tcPr>
          <w:p w:rsidR="00C8491F" w:rsidRPr="00DA1151" w:rsidRDefault="00C8491F" w:rsidP="00C8491F">
            <w:pPr>
              <w:pStyle w:val="Tabletext"/>
            </w:pPr>
            <w:r w:rsidRPr="00DA1151">
              <w:t>1,692,924</w:t>
            </w:r>
          </w:p>
        </w:tc>
        <w:tc>
          <w:tcPr>
            <w:tcW w:w="729" w:type="pct"/>
            <w:shd w:val="clear" w:color="auto" w:fill="auto"/>
          </w:tcPr>
          <w:p w:rsidR="00C8491F" w:rsidRPr="00DA1151" w:rsidRDefault="00C8491F" w:rsidP="00C8491F">
            <w:pPr>
              <w:pStyle w:val="Tabletext"/>
            </w:pPr>
            <w:r w:rsidRPr="00DA1151">
              <w:t>1,697,322</w:t>
            </w:r>
          </w:p>
        </w:tc>
        <w:tc>
          <w:tcPr>
            <w:tcW w:w="724" w:type="pct"/>
            <w:shd w:val="clear" w:color="auto" w:fill="auto"/>
          </w:tcPr>
          <w:p w:rsidR="00C8491F" w:rsidRPr="00DA1151" w:rsidRDefault="00C8491F" w:rsidP="00C8491F">
            <w:pPr>
              <w:pStyle w:val="Tabletext"/>
            </w:pPr>
            <w:r w:rsidRPr="00DA1151">
              <w:t>1,701,719</w:t>
            </w:r>
          </w:p>
        </w:tc>
        <w:tc>
          <w:tcPr>
            <w:tcW w:w="727" w:type="pct"/>
            <w:shd w:val="clear" w:color="auto" w:fill="auto"/>
          </w:tcPr>
          <w:p w:rsidR="00C8491F" w:rsidRPr="00DA1151" w:rsidRDefault="00C8491F" w:rsidP="00C8491F">
            <w:pPr>
              <w:pStyle w:val="Tabletext"/>
            </w:pPr>
            <w:r w:rsidRPr="00DA1151">
              <w:t>1,706,117</w:t>
            </w:r>
          </w:p>
        </w:tc>
        <w:tc>
          <w:tcPr>
            <w:tcW w:w="728" w:type="pct"/>
            <w:shd w:val="clear" w:color="auto" w:fill="auto"/>
          </w:tcPr>
          <w:p w:rsidR="00C8491F" w:rsidRPr="00DA1151" w:rsidRDefault="00C8491F" w:rsidP="00C8491F">
            <w:pPr>
              <w:pStyle w:val="Tabletext"/>
            </w:pPr>
            <w:r w:rsidRPr="00DA1151">
              <w:t>1,710,514</w:t>
            </w:r>
          </w:p>
        </w:tc>
      </w:tr>
      <w:tr w:rsidR="00C8491F" w:rsidRPr="00536CA0" w:rsidTr="00C8491F">
        <w:tc>
          <w:tcPr>
            <w:tcW w:w="1379" w:type="pct"/>
            <w:shd w:val="clear" w:color="auto" w:fill="auto"/>
            <w:vAlign w:val="center"/>
          </w:tcPr>
          <w:p w:rsidR="00C8491F" w:rsidRPr="00536CA0" w:rsidRDefault="00C8491F" w:rsidP="00D469F2">
            <w:pPr>
              <w:pStyle w:val="Tabletext"/>
            </w:pPr>
            <w:r>
              <w:t>Total MBS costs (at $19.60 per test)</w:t>
            </w:r>
          </w:p>
        </w:tc>
        <w:tc>
          <w:tcPr>
            <w:tcW w:w="713" w:type="pct"/>
            <w:shd w:val="clear" w:color="auto" w:fill="auto"/>
          </w:tcPr>
          <w:p w:rsidR="00C8491F" w:rsidRPr="00DA1151" w:rsidRDefault="00C8491F" w:rsidP="00C8491F">
            <w:pPr>
              <w:pStyle w:val="Tabletext"/>
            </w:pPr>
            <w:r w:rsidRPr="00DA1151">
              <w:t>$33,181,315</w:t>
            </w:r>
          </w:p>
        </w:tc>
        <w:tc>
          <w:tcPr>
            <w:tcW w:w="729" w:type="pct"/>
            <w:shd w:val="clear" w:color="auto" w:fill="auto"/>
          </w:tcPr>
          <w:p w:rsidR="00C8491F" w:rsidRPr="00DA1151" w:rsidRDefault="00C8491F" w:rsidP="00C8491F">
            <w:pPr>
              <w:pStyle w:val="Tabletext"/>
            </w:pPr>
            <w:r w:rsidRPr="00DA1151">
              <w:t>$33,267,506</w:t>
            </w:r>
          </w:p>
        </w:tc>
        <w:tc>
          <w:tcPr>
            <w:tcW w:w="724" w:type="pct"/>
            <w:shd w:val="clear" w:color="auto" w:fill="auto"/>
          </w:tcPr>
          <w:p w:rsidR="00C8491F" w:rsidRPr="00DA1151" w:rsidRDefault="00C8491F" w:rsidP="00C8491F">
            <w:pPr>
              <w:pStyle w:val="Tabletext"/>
            </w:pPr>
            <w:r w:rsidRPr="00DA1151">
              <w:t>$33,353,697</w:t>
            </w:r>
          </w:p>
        </w:tc>
        <w:tc>
          <w:tcPr>
            <w:tcW w:w="727" w:type="pct"/>
            <w:shd w:val="clear" w:color="auto" w:fill="auto"/>
          </w:tcPr>
          <w:p w:rsidR="00C8491F" w:rsidRPr="00DA1151" w:rsidRDefault="00C8491F" w:rsidP="00C8491F">
            <w:pPr>
              <w:pStyle w:val="Tabletext"/>
            </w:pPr>
            <w:r w:rsidRPr="00DA1151">
              <w:t>$33,439,887</w:t>
            </w:r>
          </w:p>
        </w:tc>
        <w:tc>
          <w:tcPr>
            <w:tcW w:w="728" w:type="pct"/>
            <w:shd w:val="clear" w:color="auto" w:fill="auto"/>
          </w:tcPr>
          <w:p w:rsidR="00C8491F" w:rsidRPr="00DA1151" w:rsidRDefault="00C8491F" w:rsidP="00C8491F">
            <w:pPr>
              <w:pStyle w:val="Tabletext"/>
            </w:pPr>
            <w:r w:rsidRPr="00DA1151">
              <w:t>$33,526,078</w:t>
            </w:r>
          </w:p>
        </w:tc>
      </w:tr>
      <w:tr w:rsidR="00C8491F" w:rsidRPr="00536CA0" w:rsidTr="00C8491F">
        <w:tc>
          <w:tcPr>
            <w:tcW w:w="1379" w:type="pct"/>
            <w:shd w:val="clear" w:color="auto" w:fill="auto"/>
            <w:vAlign w:val="center"/>
          </w:tcPr>
          <w:p w:rsidR="00C8491F" w:rsidRPr="00B57E5C" w:rsidRDefault="00C8491F" w:rsidP="00D469F2">
            <w:pPr>
              <w:pStyle w:val="Tabletext"/>
            </w:pPr>
            <w:r>
              <w:t>Total benefits (at 85% benefit)</w:t>
            </w:r>
          </w:p>
        </w:tc>
        <w:tc>
          <w:tcPr>
            <w:tcW w:w="713" w:type="pct"/>
            <w:shd w:val="clear" w:color="auto" w:fill="auto"/>
          </w:tcPr>
          <w:p w:rsidR="00C8491F" w:rsidRPr="00DA1151" w:rsidRDefault="00C8491F" w:rsidP="00C8491F">
            <w:pPr>
              <w:pStyle w:val="Tabletext"/>
            </w:pPr>
            <w:r w:rsidRPr="00DA1151">
              <w:t>$28,271,835</w:t>
            </w:r>
          </w:p>
        </w:tc>
        <w:tc>
          <w:tcPr>
            <w:tcW w:w="729" w:type="pct"/>
            <w:shd w:val="clear" w:color="auto" w:fill="auto"/>
          </w:tcPr>
          <w:p w:rsidR="00C8491F" w:rsidRPr="00DA1151" w:rsidRDefault="00C8491F" w:rsidP="00C8491F">
            <w:pPr>
              <w:pStyle w:val="Tabletext"/>
            </w:pPr>
            <w:r w:rsidRPr="00DA1151">
              <w:t>$28,345,273</w:t>
            </w:r>
          </w:p>
        </w:tc>
        <w:tc>
          <w:tcPr>
            <w:tcW w:w="724" w:type="pct"/>
            <w:shd w:val="clear" w:color="auto" w:fill="auto"/>
          </w:tcPr>
          <w:p w:rsidR="00C8491F" w:rsidRPr="00DA1151" w:rsidRDefault="00C8491F" w:rsidP="00C8491F">
            <w:pPr>
              <w:pStyle w:val="Tabletext"/>
            </w:pPr>
            <w:r w:rsidRPr="00DA1151">
              <w:t>$28,418,711</w:t>
            </w:r>
          </w:p>
        </w:tc>
        <w:tc>
          <w:tcPr>
            <w:tcW w:w="727" w:type="pct"/>
            <w:shd w:val="clear" w:color="auto" w:fill="auto"/>
          </w:tcPr>
          <w:p w:rsidR="00C8491F" w:rsidRPr="00DA1151" w:rsidRDefault="00C8491F" w:rsidP="00C8491F">
            <w:pPr>
              <w:pStyle w:val="Tabletext"/>
            </w:pPr>
            <w:r w:rsidRPr="00DA1151">
              <w:t>$28,492,149</w:t>
            </w:r>
          </w:p>
        </w:tc>
        <w:tc>
          <w:tcPr>
            <w:tcW w:w="728" w:type="pct"/>
            <w:shd w:val="clear" w:color="auto" w:fill="auto"/>
          </w:tcPr>
          <w:p w:rsidR="00C8491F" w:rsidRDefault="00C8491F" w:rsidP="00C8491F">
            <w:pPr>
              <w:pStyle w:val="Tabletext"/>
            </w:pPr>
            <w:r w:rsidRPr="00DA1151">
              <w:t>$28,565,587</w:t>
            </w:r>
          </w:p>
        </w:tc>
      </w:tr>
    </w:tbl>
    <w:p w:rsidR="00C5321C" w:rsidRDefault="00C5321C" w:rsidP="00C5321C"/>
    <w:p w:rsidR="00C5321C" w:rsidRDefault="00C5321C" w:rsidP="00C5321C">
      <w:r>
        <w:t>A scenario where the assumption of full</w:t>
      </w:r>
      <w:r w:rsidR="00D469F2">
        <w:t xml:space="preserve"> </w:t>
      </w:r>
      <w:r w:rsidR="006F00EE">
        <w:t>uptake</w:t>
      </w:r>
      <w:r w:rsidR="00D469F2">
        <w:t xml:space="preserve"> is relaxed to a 50% up</w:t>
      </w:r>
      <w:r>
        <w:t>take (i.e</w:t>
      </w:r>
      <w:r w:rsidR="00195600">
        <w:t>.</w:t>
      </w:r>
      <w:r>
        <w:t xml:space="preserve"> half of screening tests will be conducted using </w:t>
      </w:r>
      <w:r w:rsidR="002E19A8">
        <w:t>cell enrichment</w:t>
      </w:r>
      <w:r w:rsidR="00D469F2">
        <w:t xml:space="preserve"> LBC) is presented in </w:t>
      </w:r>
      <w:r w:rsidR="00086C77">
        <w:fldChar w:fldCharType="begin"/>
      </w:r>
      <w:r w:rsidR="00D469F2">
        <w:instrText xml:space="preserve"> REF _Ref336014895 \h </w:instrText>
      </w:r>
      <w:r w:rsidR="00086C77">
        <w:fldChar w:fldCharType="separate"/>
      </w:r>
      <w:r w:rsidR="003361A8" w:rsidRPr="009C1F99">
        <w:t xml:space="preserve">Table </w:t>
      </w:r>
      <w:r w:rsidR="003361A8">
        <w:rPr>
          <w:noProof/>
        </w:rPr>
        <w:t>96</w:t>
      </w:r>
      <w:r w:rsidR="00086C77">
        <w:fldChar w:fldCharType="end"/>
      </w:r>
      <w:r>
        <w:t>.</w:t>
      </w:r>
    </w:p>
    <w:p w:rsidR="00C5321C" w:rsidRPr="009C1F99" w:rsidRDefault="00C5321C" w:rsidP="00C5321C">
      <w:pPr>
        <w:pStyle w:val="Tablecaption"/>
      </w:pPr>
      <w:bookmarkStart w:id="620" w:name="_Ref336014895"/>
      <w:bookmarkStart w:id="621" w:name="_Toc335666069"/>
      <w:bookmarkStart w:id="622" w:name="_Toc337547036"/>
      <w:r w:rsidRPr="009C1F99">
        <w:lastRenderedPageBreak/>
        <w:t xml:space="preserve">Table </w:t>
      </w:r>
      <w:fldSimple w:instr=" SEQ Table \* ARABIC ">
        <w:r w:rsidR="003361A8">
          <w:rPr>
            <w:noProof/>
          </w:rPr>
          <w:t>96</w:t>
        </w:r>
      </w:fldSimple>
      <w:bookmarkEnd w:id="620"/>
      <w:r w:rsidRPr="009C1F99">
        <w:tab/>
      </w:r>
      <w:r>
        <w:t>Estimated</w:t>
      </w:r>
      <w:r w:rsidRPr="009C1F99">
        <w:t xml:space="preserve"> use of </w:t>
      </w:r>
      <w:r w:rsidR="002E19A8" w:rsidRPr="002E19A8">
        <w:t>cell enrichment LBC</w:t>
      </w:r>
      <w:r w:rsidR="00D71B86">
        <w:t xml:space="preserve">: </w:t>
      </w:r>
      <w:r w:rsidR="00D469F2">
        <w:t>50% up</w:t>
      </w:r>
      <w:r>
        <w:t>take scenario</w:t>
      </w:r>
      <w:bookmarkEnd w:id="621"/>
      <w:bookmarkEnd w:id="62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20"/>
        <w:gridCol w:w="1273"/>
        <w:gridCol w:w="1275"/>
        <w:gridCol w:w="1273"/>
        <w:gridCol w:w="1275"/>
        <w:gridCol w:w="1275"/>
      </w:tblGrid>
      <w:tr w:rsidR="00C5321C" w:rsidRPr="00340838" w:rsidTr="00791EC7">
        <w:tc>
          <w:tcPr>
            <w:tcW w:w="1417" w:type="pct"/>
            <w:shd w:val="clear" w:color="auto" w:fill="auto"/>
          </w:tcPr>
          <w:p w:rsidR="00C5321C" w:rsidRPr="00340838" w:rsidRDefault="00C5321C" w:rsidP="00340838">
            <w:pPr>
              <w:pStyle w:val="Tabletext"/>
              <w:rPr>
                <w:b/>
              </w:rPr>
            </w:pPr>
            <w:r w:rsidRPr="00340838">
              <w:rPr>
                <w:b/>
              </w:rPr>
              <w:t>Year</w:t>
            </w:r>
          </w:p>
        </w:tc>
        <w:tc>
          <w:tcPr>
            <w:tcW w:w="716" w:type="pct"/>
            <w:shd w:val="clear" w:color="auto" w:fill="auto"/>
          </w:tcPr>
          <w:p w:rsidR="00C5321C" w:rsidRPr="00340838" w:rsidRDefault="00C5321C" w:rsidP="00340838">
            <w:pPr>
              <w:pStyle w:val="Tabletext"/>
              <w:rPr>
                <w:b/>
              </w:rPr>
            </w:pPr>
            <w:r w:rsidRPr="00340838">
              <w:rPr>
                <w:b/>
              </w:rPr>
              <w:t>Year 1 (2013)</w:t>
            </w:r>
          </w:p>
        </w:tc>
        <w:tc>
          <w:tcPr>
            <w:tcW w:w="717" w:type="pct"/>
            <w:shd w:val="clear" w:color="auto" w:fill="auto"/>
          </w:tcPr>
          <w:p w:rsidR="00C5321C" w:rsidRPr="00340838" w:rsidRDefault="00C5321C" w:rsidP="00340838">
            <w:pPr>
              <w:pStyle w:val="Tabletext"/>
              <w:rPr>
                <w:b/>
              </w:rPr>
            </w:pPr>
            <w:r w:rsidRPr="00340838">
              <w:rPr>
                <w:b/>
              </w:rPr>
              <w:t>Year 2</w:t>
            </w:r>
          </w:p>
        </w:tc>
        <w:tc>
          <w:tcPr>
            <w:tcW w:w="716" w:type="pct"/>
            <w:shd w:val="clear" w:color="auto" w:fill="auto"/>
          </w:tcPr>
          <w:p w:rsidR="00C5321C" w:rsidRPr="00340838" w:rsidRDefault="00C5321C" w:rsidP="00340838">
            <w:pPr>
              <w:pStyle w:val="Tabletext"/>
              <w:rPr>
                <w:b/>
              </w:rPr>
            </w:pPr>
            <w:r w:rsidRPr="00340838">
              <w:rPr>
                <w:b/>
              </w:rPr>
              <w:t>Year 3</w:t>
            </w:r>
          </w:p>
        </w:tc>
        <w:tc>
          <w:tcPr>
            <w:tcW w:w="717" w:type="pct"/>
            <w:shd w:val="clear" w:color="auto" w:fill="auto"/>
          </w:tcPr>
          <w:p w:rsidR="00C5321C" w:rsidRPr="00340838" w:rsidRDefault="00C5321C" w:rsidP="00340838">
            <w:pPr>
              <w:pStyle w:val="Tabletext"/>
              <w:rPr>
                <w:b/>
              </w:rPr>
            </w:pPr>
            <w:r w:rsidRPr="00340838">
              <w:rPr>
                <w:b/>
              </w:rPr>
              <w:t>Year 4</w:t>
            </w:r>
          </w:p>
        </w:tc>
        <w:tc>
          <w:tcPr>
            <w:tcW w:w="717" w:type="pct"/>
            <w:shd w:val="clear" w:color="auto" w:fill="auto"/>
          </w:tcPr>
          <w:p w:rsidR="00C5321C" w:rsidRPr="00340838" w:rsidRDefault="00C5321C" w:rsidP="00340838">
            <w:pPr>
              <w:pStyle w:val="Tabletext"/>
              <w:rPr>
                <w:b/>
              </w:rPr>
            </w:pPr>
            <w:r w:rsidRPr="00340838">
              <w:rPr>
                <w:b/>
              </w:rPr>
              <w:t>Year 5</w:t>
            </w:r>
          </w:p>
        </w:tc>
      </w:tr>
      <w:tr w:rsidR="00D469F2" w:rsidRPr="00B12200" w:rsidTr="00D469F2">
        <w:tc>
          <w:tcPr>
            <w:tcW w:w="5000" w:type="pct"/>
            <w:gridSpan w:val="6"/>
            <w:shd w:val="clear" w:color="auto" w:fill="auto"/>
            <w:vAlign w:val="center"/>
          </w:tcPr>
          <w:p w:rsidR="00D469F2" w:rsidRPr="00D469F2" w:rsidRDefault="00D469F2" w:rsidP="00340838">
            <w:pPr>
              <w:pStyle w:val="Tabletext"/>
              <w:rPr>
                <w:b/>
              </w:rPr>
            </w:pPr>
            <w:r w:rsidRPr="00D469F2">
              <w:rPr>
                <w:b/>
              </w:rPr>
              <w:t>Services due to initial screening test</w:t>
            </w:r>
          </w:p>
        </w:tc>
      </w:tr>
      <w:tr w:rsidR="00C8491F" w:rsidRPr="00536CA0" w:rsidTr="00791EC7">
        <w:tc>
          <w:tcPr>
            <w:tcW w:w="1417" w:type="pct"/>
            <w:shd w:val="clear" w:color="auto" w:fill="auto"/>
            <w:vAlign w:val="center"/>
          </w:tcPr>
          <w:p w:rsidR="00C8491F" w:rsidRPr="00536CA0" w:rsidRDefault="00C8491F" w:rsidP="00340838">
            <w:pPr>
              <w:pStyle w:val="Tabletext"/>
            </w:pPr>
            <w:r>
              <w:t>Services</w:t>
            </w:r>
          </w:p>
        </w:tc>
        <w:tc>
          <w:tcPr>
            <w:tcW w:w="716" w:type="pct"/>
            <w:shd w:val="clear" w:color="auto" w:fill="auto"/>
          </w:tcPr>
          <w:p w:rsidR="00C8491F" w:rsidRPr="00AB2BE2" w:rsidRDefault="00C8491F" w:rsidP="00C8491F">
            <w:pPr>
              <w:pStyle w:val="Tabletext"/>
            </w:pPr>
            <w:r w:rsidRPr="00AB2BE2">
              <w:t>698,496</w:t>
            </w:r>
          </w:p>
        </w:tc>
        <w:tc>
          <w:tcPr>
            <w:tcW w:w="717" w:type="pct"/>
            <w:shd w:val="clear" w:color="auto" w:fill="auto"/>
          </w:tcPr>
          <w:p w:rsidR="00C8491F" w:rsidRPr="00AB2BE2" w:rsidRDefault="00C8491F" w:rsidP="00C8491F">
            <w:pPr>
              <w:pStyle w:val="Tabletext"/>
            </w:pPr>
            <w:r w:rsidRPr="00AB2BE2">
              <w:t>700,705</w:t>
            </w:r>
          </w:p>
        </w:tc>
        <w:tc>
          <w:tcPr>
            <w:tcW w:w="716" w:type="pct"/>
            <w:shd w:val="clear" w:color="auto" w:fill="auto"/>
          </w:tcPr>
          <w:p w:rsidR="00C8491F" w:rsidRPr="00AB2BE2" w:rsidRDefault="00C8491F" w:rsidP="00C8491F">
            <w:pPr>
              <w:pStyle w:val="Tabletext"/>
            </w:pPr>
            <w:r w:rsidRPr="00AB2BE2">
              <w:t>702,914</w:t>
            </w:r>
          </w:p>
        </w:tc>
        <w:tc>
          <w:tcPr>
            <w:tcW w:w="717" w:type="pct"/>
            <w:shd w:val="clear" w:color="auto" w:fill="auto"/>
          </w:tcPr>
          <w:p w:rsidR="00C8491F" w:rsidRPr="00AB2BE2" w:rsidRDefault="00C8491F" w:rsidP="00C8491F">
            <w:pPr>
              <w:pStyle w:val="Tabletext"/>
            </w:pPr>
            <w:r w:rsidRPr="00AB2BE2">
              <w:t>705,123</w:t>
            </w:r>
          </w:p>
        </w:tc>
        <w:tc>
          <w:tcPr>
            <w:tcW w:w="717" w:type="pct"/>
            <w:shd w:val="clear" w:color="auto" w:fill="auto"/>
          </w:tcPr>
          <w:p w:rsidR="00C8491F" w:rsidRPr="00AB2BE2" w:rsidRDefault="00C8491F" w:rsidP="00C8491F">
            <w:pPr>
              <w:pStyle w:val="Tabletext"/>
            </w:pPr>
            <w:r w:rsidRPr="00AB2BE2">
              <w:t>707,332</w:t>
            </w:r>
          </w:p>
        </w:tc>
      </w:tr>
      <w:tr w:rsidR="00C8491F" w:rsidRPr="00536CA0" w:rsidTr="00791EC7">
        <w:tc>
          <w:tcPr>
            <w:tcW w:w="1417" w:type="pct"/>
            <w:shd w:val="clear" w:color="auto" w:fill="auto"/>
            <w:vAlign w:val="center"/>
          </w:tcPr>
          <w:p w:rsidR="00C8491F" w:rsidRPr="00536CA0" w:rsidRDefault="00C8491F" w:rsidP="00340838">
            <w:pPr>
              <w:pStyle w:val="Tabletext"/>
            </w:pPr>
            <w:r>
              <w:t>Total MBS costs (at $19.60 per test)</w:t>
            </w:r>
          </w:p>
        </w:tc>
        <w:tc>
          <w:tcPr>
            <w:tcW w:w="716" w:type="pct"/>
            <w:shd w:val="clear" w:color="auto" w:fill="auto"/>
          </w:tcPr>
          <w:p w:rsidR="00C8491F" w:rsidRPr="00AB2BE2" w:rsidRDefault="00C8491F" w:rsidP="00C8491F">
            <w:pPr>
              <w:pStyle w:val="Tabletext"/>
            </w:pPr>
            <w:r w:rsidRPr="00AB2BE2">
              <w:t>$13,690,517</w:t>
            </w:r>
          </w:p>
        </w:tc>
        <w:tc>
          <w:tcPr>
            <w:tcW w:w="717" w:type="pct"/>
            <w:shd w:val="clear" w:color="auto" w:fill="auto"/>
          </w:tcPr>
          <w:p w:rsidR="00C8491F" w:rsidRPr="00AB2BE2" w:rsidRDefault="00C8491F" w:rsidP="00C8491F">
            <w:pPr>
              <w:pStyle w:val="Tabletext"/>
            </w:pPr>
            <w:r w:rsidRPr="00AB2BE2">
              <w:t>$13,733,815</w:t>
            </w:r>
          </w:p>
        </w:tc>
        <w:tc>
          <w:tcPr>
            <w:tcW w:w="716" w:type="pct"/>
            <w:shd w:val="clear" w:color="auto" w:fill="auto"/>
          </w:tcPr>
          <w:p w:rsidR="00C8491F" w:rsidRPr="00AB2BE2" w:rsidRDefault="00C8491F" w:rsidP="00C8491F">
            <w:pPr>
              <w:pStyle w:val="Tabletext"/>
            </w:pPr>
            <w:r w:rsidRPr="00AB2BE2">
              <w:t>$13,777,113</w:t>
            </w:r>
          </w:p>
        </w:tc>
        <w:tc>
          <w:tcPr>
            <w:tcW w:w="717" w:type="pct"/>
            <w:shd w:val="clear" w:color="auto" w:fill="auto"/>
          </w:tcPr>
          <w:p w:rsidR="00C8491F" w:rsidRPr="00AB2BE2" w:rsidRDefault="00C8491F" w:rsidP="00C8491F">
            <w:pPr>
              <w:pStyle w:val="Tabletext"/>
            </w:pPr>
            <w:r w:rsidRPr="00AB2BE2">
              <w:t>$13,820,411</w:t>
            </w:r>
          </w:p>
        </w:tc>
        <w:tc>
          <w:tcPr>
            <w:tcW w:w="717" w:type="pct"/>
            <w:shd w:val="clear" w:color="auto" w:fill="auto"/>
          </w:tcPr>
          <w:p w:rsidR="00C8491F" w:rsidRPr="00AB2BE2" w:rsidRDefault="00C8491F" w:rsidP="00C8491F">
            <w:pPr>
              <w:pStyle w:val="Tabletext"/>
            </w:pPr>
            <w:r w:rsidRPr="00AB2BE2">
              <w:t>$13,863,709</w:t>
            </w:r>
          </w:p>
        </w:tc>
      </w:tr>
      <w:tr w:rsidR="00C8491F" w:rsidRPr="00536CA0" w:rsidTr="00791EC7">
        <w:tc>
          <w:tcPr>
            <w:tcW w:w="1417" w:type="pct"/>
            <w:shd w:val="clear" w:color="auto" w:fill="auto"/>
            <w:vAlign w:val="center"/>
          </w:tcPr>
          <w:p w:rsidR="00C8491F" w:rsidRPr="00B57E5C" w:rsidRDefault="00C8491F" w:rsidP="00340838">
            <w:pPr>
              <w:pStyle w:val="Tabletext"/>
            </w:pPr>
            <w:r>
              <w:t>Total benefits (at 85% benefit)</w:t>
            </w:r>
          </w:p>
        </w:tc>
        <w:tc>
          <w:tcPr>
            <w:tcW w:w="716" w:type="pct"/>
            <w:shd w:val="clear" w:color="auto" w:fill="auto"/>
          </w:tcPr>
          <w:p w:rsidR="00C8491F" w:rsidRPr="00AB2BE2" w:rsidRDefault="00C8491F" w:rsidP="00C8491F">
            <w:pPr>
              <w:pStyle w:val="Tabletext"/>
            </w:pPr>
            <w:r w:rsidRPr="00AB2BE2">
              <w:t>$11,664,880</w:t>
            </w:r>
          </w:p>
        </w:tc>
        <w:tc>
          <w:tcPr>
            <w:tcW w:w="717" w:type="pct"/>
            <w:shd w:val="clear" w:color="auto" w:fill="auto"/>
          </w:tcPr>
          <w:p w:rsidR="00C8491F" w:rsidRPr="00AB2BE2" w:rsidRDefault="00C8491F" w:rsidP="00C8491F">
            <w:pPr>
              <w:pStyle w:val="Tabletext"/>
            </w:pPr>
            <w:r w:rsidRPr="00AB2BE2">
              <w:t>$11,701,771</w:t>
            </w:r>
          </w:p>
        </w:tc>
        <w:tc>
          <w:tcPr>
            <w:tcW w:w="716" w:type="pct"/>
            <w:shd w:val="clear" w:color="auto" w:fill="auto"/>
          </w:tcPr>
          <w:p w:rsidR="00C8491F" w:rsidRPr="00AB2BE2" w:rsidRDefault="00C8491F" w:rsidP="00C8491F">
            <w:pPr>
              <w:pStyle w:val="Tabletext"/>
            </w:pPr>
            <w:r w:rsidRPr="00AB2BE2">
              <w:t>$11,738,663</w:t>
            </w:r>
          </w:p>
        </w:tc>
        <w:tc>
          <w:tcPr>
            <w:tcW w:w="717" w:type="pct"/>
            <w:shd w:val="clear" w:color="auto" w:fill="auto"/>
          </w:tcPr>
          <w:p w:rsidR="00C8491F" w:rsidRPr="00AB2BE2" w:rsidRDefault="00C8491F" w:rsidP="00C8491F">
            <w:pPr>
              <w:pStyle w:val="Tabletext"/>
            </w:pPr>
            <w:r w:rsidRPr="00AB2BE2">
              <w:t>$11,775,554</w:t>
            </w:r>
          </w:p>
        </w:tc>
        <w:tc>
          <w:tcPr>
            <w:tcW w:w="717" w:type="pct"/>
            <w:shd w:val="clear" w:color="auto" w:fill="auto"/>
          </w:tcPr>
          <w:p w:rsidR="00C8491F" w:rsidRDefault="00C8491F" w:rsidP="00C8491F">
            <w:pPr>
              <w:pStyle w:val="Tabletext"/>
            </w:pPr>
            <w:r w:rsidRPr="00AB2BE2">
              <w:t>$11,812,446</w:t>
            </w:r>
          </w:p>
        </w:tc>
      </w:tr>
      <w:tr w:rsidR="00D469F2" w:rsidRPr="00B12200" w:rsidTr="00D469F2">
        <w:tc>
          <w:tcPr>
            <w:tcW w:w="5000" w:type="pct"/>
            <w:gridSpan w:val="6"/>
            <w:shd w:val="clear" w:color="auto" w:fill="auto"/>
            <w:vAlign w:val="center"/>
          </w:tcPr>
          <w:p w:rsidR="00D469F2" w:rsidRPr="00D469F2" w:rsidRDefault="00D469F2" w:rsidP="00340838">
            <w:pPr>
              <w:pStyle w:val="Tabletext"/>
              <w:rPr>
                <w:b/>
              </w:rPr>
            </w:pPr>
            <w:r w:rsidRPr="00D469F2">
              <w:rPr>
                <w:b/>
              </w:rPr>
              <w:t>Services due to unsatisfactory smear</w:t>
            </w:r>
          </w:p>
        </w:tc>
      </w:tr>
      <w:tr w:rsidR="00C8491F" w:rsidRPr="00536CA0" w:rsidTr="00791EC7">
        <w:tc>
          <w:tcPr>
            <w:tcW w:w="1417" w:type="pct"/>
            <w:shd w:val="clear" w:color="auto" w:fill="auto"/>
            <w:vAlign w:val="center"/>
          </w:tcPr>
          <w:p w:rsidR="00C8491F" w:rsidRPr="00536CA0" w:rsidRDefault="00C8491F" w:rsidP="00340838">
            <w:pPr>
              <w:pStyle w:val="Tabletext"/>
            </w:pPr>
            <w:r>
              <w:t>Services</w:t>
            </w:r>
          </w:p>
        </w:tc>
        <w:tc>
          <w:tcPr>
            <w:tcW w:w="716" w:type="pct"/>
            <w:shd w:val="clear" w:color="auto" w:fill="auto"/>
          </w:tcPr>
          <w:p w:rsidR="00C8491F" w:rsidRPr="0040141E" w:rsidRDefault="00C8491F" w:rsidP="00C8491F">
            <w:pPr>
              <w:pStyle w:val="Tabletext"/>
            </w:pPr>
            <w:r w:rsidRPr="0040141E">
              <w:t>7,917</w:t>
            </w:r>
          </w:p>
        </w:tc>
        <w:tc>
          <w:tcPr>
            <w:tcW w:w="717" w:type="pct"/>
            <w:shd w:val="clear" w:color="auto" w:fill="auto"/>
          </w:tcPr>
          <w:p w:rsidR="00C8491F" w:rsidRPr="0040141E" w:rsidRDefault="00C8491F" w:rsidP="00C8491F">
            <w:pPr>
              <w:pStyle w:val="Tabletext"/>
            </w:pPr>
            <w:r w:rsidRPr="0040141E">
              <w:t>7,943</w:t>
            </w:r>
          </w:p>
        </w:tc>
        <w:tc>
          <w:tcPr>
            <w:tcW w:w="716" w:type="pct"/>
            <w:shd w:val="clear" w:color="auto" w:fill="auto"/>
          </w:tcPr>
          <w:p w:rsidR="00C8491F" w:rsidRPr="0040141E" w:rsidRDefault="00C8491F" w:rsidP="00C8491F">
            <w:pPr>
              <w:pStyle w:val="Tabletext"/>
            </w:pPr>
            <w:r w:rsidRPr="0040141E">
              <w:t>7,968</w:t>
            </w:r>
          </w:p>
        </w:tc>
        <w:tc>
          <w:tcPr>
            <w:tcW w:w="717" w:type="pct"/>
            <w:shd w:val="clear" w:color="auto" w:fill="auto"/>
          </w:tcPr>
          <w:p w:rsidR="00C8491F" w:rsidRPr="0040141E" w:rsidRDefault="00C8491F" w:rsidP="00C8491F">
            <w:pPr>
              <w:pStyle w:val="Tabletext"/>
            </w:pPr>
            <w:r w:rsidRPr="0040141E">
              <w:t>7,993</w:t>
            </w:r>
          </w:p>
        </w:tc>
        <w:tc>
          <w:tcPr>
            <w:tcW w:w="717" w:type="pct"/>
            <w:shd w:val="clear" w:color="auto" w:fill="auto"/>
          </w:tcPr>
          <w:p w:rsidR="00C8491F" w:rsidRPr="0040141E" w:rsidRDefault="00C8491F" w:rsidP="00C8491F">
            <w:pPr>
              <w:pStyle w:val="Tabletext"/>
            </w:pPr>
            <w:r w:rsidRPr="0040141E">
              <w:t>8,018</w:t>
            </w:r>
          </w:p>
        </w:tc>
      </w:tr>
      <w:tr w:rsidR="00C8491F" w:rsidRPr="00536CA0" w:rsidTr="00791EC7">
        <w:tc>
          <w:tcPr>
            <w:tcW w:w="1417" w:type="pct"/>
            <w:shd w:val="clear" w:color="auto" w:fill="auto"/>
            <w:vAlign w:val="center"/>
          </w:tcPr>
          <w:p w:rsidR="00C8491F" w:rsidRPr="00536CA0" w:rsidRDefault="00C8491F" w:rsidP="00340838">
            <w:pPr>
              <w:pStyle w:val="Tabletext"/>
            </w:pPr>
            <w:r>
              <w:t>Total MBS costs (at $19.60 per test)</w:t>
            </w:r>
          </w:p>
        </w:tc>
        <w:tc>
          <w:tcPr>
            <w:tcW w:w="716" w:type="pct"/>
            <w:shd w:val="clear" w:color="auto" w:fill="auto"/>
          </w:tcPr>
          <w:p w:rsidR="00C8491F" w:rsidRPr="0040141E" w:rsidRDefault="00C8491F" w:rsidP="00C8491F">
            <w:pPr>
              <w:pStyle w:val="Tabletext"/>
            </w:pPr>
            <w:r w:rsidRPr="0040141E">
              <w:t>$155,183</w:t>
            </w:r>
          </w:p>
        </w:tc>
        <w:tc>
          <w:tcPr>
            <w:tcW w:w="717" w:type="pct"/>
            <w:shd w:val="clear" w:color="auto" w:fill="auto"/>
          </w:tcPr>
          <w:p w:rsidR="00C8491F" w:rsidRPr="0040141E" w:rsidRDefault="00C8491F" w:rsidP="00C8491F">
            <w:pPr>
              <w:pStyle w:val="Tabletext"/>
            </w:pPr>
            <w:r w:rsidRPr="0040141E">
              <w:t>$155,674</w:t>
            </w:r>
          </w:p>
        </w:tc>
        <w:tc>
          <w:tcPr>
            <w:tcW w:w="716" w:type="pct"/>
            <w:shd w:val="clear" w:color="auto" w:fill="auto"/>
          </w:tcPr>
          <w:p w:rsidR="00C8491F" w:rsidRPr="0040141E" w:rsidRDefault="00C8491F" w:rsidP="00C8491F">
            <w:pPr>
              <w:pStyle w:val="Tabletext"/>
            </w:pPr>
            <w:r w:rsidRPr="0040141E">
              <w:t>$156,164</w:t>
            </w:r>
          </w:p>
        </w:tc>
        <w:tc>
          <w:tcPr>
            <w:tcW w:w="717" w:type="pct"/>
            <w:shd w:val="clear" w:color="auto" w:fill="auto"/>
          </w:tcPr>
          <w:p w:rsidR="00C8491F" w:rsidRPr="0040141E" w:rsidRDefault="00C8491F" w:rsidP="00C8491F">
            <w:pPr>
              <w:pStyle w:val="Tabletext"/>
            </w:pPr>
            <w:r w:rsidRPr="0040141E">
              <w:t>$156,655</w:t>
            </w:r>
          </w:p>
        </w:tc>
        <w:tc>
          <w:tcPr>
            <w:tcW w:w="717" w:type="pct"/>
            <w:shd w:val="clear" w:color="auto" w:fill="auto"/>
          </w:tcPr>
          <w:p w:rsidR="00C8491F" w:rsidRPr="0040141E" w:rsidRDefault="00C8491F" w:rsidP="00C8491F">
            <w:pPr>
              <w:pStyle w:val="Tabletext"/>
            </w:pPr>
            <w:r w:rsidRPr="0040141E">
              <w:t>$157,146</w:t>
            </w:r>
          </w:p>
        </w:tc>
      </w:tr>
      <w:tr w:rsidR="00C8491F" w:rsidRPr="00536CA0" w:rsidTr="00791EC7">
        <w:tc>
          <w:tcPr>
            <w:tcW w:w="1417" w:type="pct"/>
            <w:shd w:val="clear" w:color="auto" w:fill="auto"/>
            <w:vAlign w:val="center"/>
          </w:tcPr>
          <w:p w:rsidR="00C8491F" w:rsidRPr="00B57E5C" w:rsidRDefault="00C8491F" w:rsidP="00340838">
            <w:pPr>
              <w:pStyle w:val="Tabletext"/>
            </w:pPr>
            <w:r>
              <w:t>Total benefits (at 85% benefit)</w:t>
            </w:r>
          </w:p>
        </w:tc>
        <w:tc>
          <w:tcPr>
            <w:tcW w:w="716" w:type="pct"/>
            <w:shd w:val="clear" w:color="auto" w:fill="auto"/>
          </w:tcPr>
          <w:p w:rsidR="00C8491F" w:rsidRPr="0040141E" w:rsidRDefault="00C8491F" w:rsidP="00C8491F">
            <w:pPr>
              <w:pStyle w:val="Tabletext"/>
            </w:pPr>
            <w:r w:rsidRPr="0040141E">
              <w:t>$132,222</w:t>
            </w:r>
          </w:p>
        </w:tc>
        <w:tc>
          <w:tcPr>
            <w:tcW w:w="717" w:type="pct"/>
            <w:shd w:val="clear" w:color="auto" w:fill="auto"/>
          </w:tcPr>
          <w:p w:rsidR="00C8491F" w:rsidRPr="0040141E" w:rsidRDefault="00C8491F" w:rsidP="00C8491F">
            <w:pPr>
              <w:pStyle w:val="Tabletext"/>
            </w:pPr>
            <w:r w:rsidRPr="0040141E">
              <w:t>$132,640</w:t>
            </w:r>
          </w:p>
        </w:tc>
        <w:tc>
          <w:tcPr>
            <w:tcW w:w="716" w:type="pct"/>
            <w:shd w:val="clear" w:color="auto" w:fill="auto"/>
          </w:tcPr>
          <w:p w:rsidR="00C8491F" w:rsidRPr="0040141E" w:rsidRDefault="00C8491F" w:rsidP="00C8491F">
            <w:pPr>
              <w:pStyle w:val="Tabletext"/>
            </w:pPr>
            <w:r w:rsidRPr="0040141E">
              <w:t>$133,058</w:t>
            </w:r>
          </w:p>
        </w:tc>
        <w:tc>
          <w:tcPr>
            <w:tcW w:w="717" w:type="pct"/>
            <w:shd w:val="clear" w:color="auto" w:fill="auto"/>
          </w:tcPr>
          <w:p w:rsidR="00C8491F" w:rsidRPr="0040141E" w:rsidRDefault="00C8491F" w:rsidP="00C8491F">
            <w:pPr>
              <w:pStyle w:val="Tabletext"/>
            </w:pPr>
            <w:r w:rsidRPr="0040141E">
              <w:t>$133,477</w:t>
            </w:r>
          </w:p>
        </w:tc>
        <w:tc>
          <w:tcPr>
            <w:tcW w:w="717" w:type="pct"/>
            <w:shd w:val="clear" w:color="auto" w:fill="auto"/>
          </w:tcPr>
          <w:p w:rsidR="00C8491F" w:rsidRDefault="00C8491F" w:rsidP="00C8491F">
            <w:pPr>
              <w:pStyle w:val="Tabletext"/>
            </w:pPr>
            <w:r w:rsidRPr="0040141E">
              <w:t>$133,895</w:t>
            </w:r>
          </w:p>
        </w:tc>
      </w:tr>
      <w:tr w:rsidR="00D469F2" w:rsidRPr="00B12200" w:rsidTr="00D469F2">
        <w:tc>
          <w:tcPr>
            <w:tcW w:w="5000" w:type="pct"/>
            <w:gridSpan w:val="6"/>
            <w:shd w:val="clear" w:color="auto" w:fill="auto"/>
            <w:vAlign w:val="center"/>
          </w:tcPr>
          <w:p w:rsidR="00D469F2" w:rsidRPr="00D469F2" w:rsidRDefault="00D469F2" w:rsidP="00340838">
            <w:pPr>
              <w:pStyle w:val="Tabletext"/>
              <w:rPr>
                <w:b/>
              </w:rPr>
            </w:pPr>
            <w:r w:rsidRPr="00D469F2">
              <w:rPr>
                <w:b/>
              </w:rPr>
              <w:t>Services due to follow-up tests after a positive result</w:t>
            </w:r>
          </w:p>
        </w:tc>
      </w:tr>
      <w:tr w:rsidR="00C8491F" w:rsidRPr="00536CA0" w:rsidTr="00791EC7">
        <w:tc>
          <w:tcPr>
            <w:tcW w:w="1417" w:type="pct"/>
            <w:shd w:val="clear" w:color="auto" w:fill="auto"/>
            <w:vAlign w:val="center"/>
          </w:tcPr>
          <w:p w:rsidR="00C8491F" w:rsidRPr="00536CA0" w:rsidRDefault="00C8491F" w:rsidP="00340838">
            <w:pPr>
              <w:pStyle w:val="Tabletext"/>
            </w:pPr>
            <w:r>
              <w:t>Services</w:t>
            </w:r>
          </w:p>
        </w:tc>
        <w:tc>
          <w:tcPr>
            <w:tcW w:w="716" w:type="pct"/>
            <w:shd w:val="clear" w:color="auto" w:fill="auto"/>
          </w:tcPr>
          <w:p w:rsidR="00C8491F" w:rsidRPr="00287999" w:rsidRDefault="00C8491F" w:rsidP="00C8491F">
            <w:pPr>
              <w:pStyle w:val="Tabletext"/>
            </w:pPr>
            <w:r w:rsidRPr="00287999">
              <w:t>24,828</w:t>
            </w:r>
          </w:p>
        </w:tc>
        <w:tc>
          <w:tcPr>
            <w:tcW w:w="717" w:type="pct"/>
            <w:shd w:val="clear" w:color="auto" w:fill="auto"/>
          </w:tcPr>
          <w:p w:rsidR="00C8491F" w:rsidRPr="00287999" w:rsidRDefault="00C8491F" w:rsidP="00C8491F">
            <w:pPr>
              <w:pStyle w:val="Tabletext"/>
            </w:pPr>
            <w:r w:rsidRPr="00287999">
              <w:t>24,907</w:t>
            </w:r>
          </w:p>
        </w:tc>
        <w:tc>
          <w:tcPr>
            <w:tcW w:w="716" w:type="pct"/>
            <w:shd w:val="clear" w:color="auto" w:fill="auto"/>
          </w:tcPr>
          <w:p w:rsidR="00C8491F" w:rsidRPr="00287999" w:rsidRDefault="00C8491F" w:rsidP="00C8491F">
            <w:pPr>
              <w:pStyle w:val="Tabletext"/>
            </w:pPr>
            <w:r w:rsidRPr="00287999">
              <w:t>24,985</w:t>
            </w:r>
          </w:p>
        </w:tc>
        <w:tc>
          <w:tcPr>
            <w:tcW w:w="717" w:type="pct"/>
            <w:shd w:val="clear" w:color="auto" w:fill="auto"/>
          </w:tcPr>
          <w:p w:rsidR="00C8491F" w:rsidRPr="00287999" w:rsidRDefault="00C8491F" w:rsidP="00C8491F">
            <w:pPr>
              <w:pStyle w:val="Tabletext"/>
            </w:pPr>
            <w:r w:rsidRPr="00287999">
              <w:t>25,064</w:t>
            </w:r>
          </w:p>
        </w:tc>
        <w:tc>
          <w:tcPr>
            <w:tcW w:w="717" w:type="pct"/>
            <w:shd w:val="clear" w:color="auto" w:fill="auto"/>
          </w:tcPr>
          <w:p w:rsidR="00C8491F" w:rsidRPr="00287999" w:rsidRDefault="00C8491F" w:rsidP="00C8491F">
            <w:pPr>
              <w:pStyle w:val="Tabletext"/>
            </w:pPr>
            <w:r w:rsidRPr="00287999">
              <w:t>25,142</w:t>
            </w:r>
          </w:p>
        </w:tc>
      </w:tr>
      <w:tr w:rsidR="00C8491F" w:rsidRPr="00536CA0" w:rsidTr="00791EC7">
        <w:tc>
          <w:tcPr>
            <w:tcW w:w="1417" w:type="pct"/>
            <w:shd w:val="clear" w:color="auto" w:fill="auto"/>
            <w:vAlign w:val="center"/>
          </w:tcPr>
          <w:p w:rsidR="00C8491F" w:rsidRPr="00536CA0" w:rsidRDefault="00C8491F" w:rsidP="00340838">
            <w:pPr>
              <w:pStyle w:val="Tabletext"/>
            </w:pPr>
            <w:r>
              <w:t>Total MBS costs (at $19.60 per test)</w:t>
            </w:r>
          </w:p>
        </w:tc>
        <w:tc>
          <w:tcPr>
            <w:tcW w:w="716" w:type="pct"/>
            <w:shd w:val="clear" w:color="auto" w:fill="auto"/>
          </w:tcPr>
          <w:p w:rsidR="00C8491F" w:rsidRPr="00287999" w:rsidRDefault="00C8491F" w:rsidP="00C8491F">
            <w:pPr>
              <w:pStyle w:val="Tabletext"/>
            </w:pPr>
            <w:r w:rsidRPr="00287999">
              <w:t>$486,634</w:t>
            </w:r>
          </w:p>
        </w:tc>
        <w:tc>
          <w:tcPr>
            <w:tcW w:w="717" w:type="pct"/>
            <w:shd w:val="clear" w:color="auto" w:fill="auto"/>
          </w:tcPr>
          <w:p w:rsidR="00C8491F" w:rsidRPr="00287999" w:rsidRDefault="00C8491F" w:rsidP="00C8491F">
            <w:pPr>
              <w:pStyle w:val="Tabletext"/>
            </w:pPr>
            <w:r w:rsidRPr="00287999">
              <w:t>$488,173</w:t>
            </w:r>
          </w:p>
        </w:tc>
        <w:tc>
          <w:tcPr>
            <w:tcW w:w="716" w:type="pct"/>
            <w:shd w:val="clear" w:color="auto" w:fill="auto"/>
          </w:tcPr>
          <w:p w:rsidR="00C8491F" w:rsidRPr="00287999" w:rsidRDefault="00C8491F" w:rsidP="00C8491F">
            <w:pPr>
              <w:pStyle w:val="Tabletext"/>
            </w:pPr>
            <w:r w:rsidRPr="00287999">
              <w:t>$489,712</w:t>
            </w:r>
          </w:p>
        </w:tc>
        <w:tc>
          <w:tcPr>
            <w:tcW w:w="717" w:type="pct"/>
            <w:shd w:val="clear" w:color="auto" w:fill="auto"/>
          </w:tcPr>
          <w:p w:rsidR="00C8491F" w:rsidRPr="00287999" w:rsidRDefault="00C8491F" w:rsidP="00C8491F">
            <w:pPr>
              <w:pStyle w:val="Tabletext"/>
            </w:pPr>
            <w:r w:rsidRPr="00287999">
              <w:t>$491,251</w:t>
            </w:r>
          </w:p>
        </w:tc>
        <w:tc>
          <w:tcPr>
            <w:tcW w:w="717" w:type="pct"/>
            <w:shd w:val="clear" w:color="auto" w:fill="auto"/>
          </w:tcPr>
          <w:p w:rsidR="00C8491F" w:rsidRPr="00287999" w:rsidRDefault="00C8491F" w:rsidP="00C8491F">
            <w:pPr>
              <w:pStyle w:val="Tabletext"/>
            </w:pPr>
            <w:r w:rsidRPr="00287999">
              <w:t>$492,790</w:t>
            </w:r>
          </w:p>
        </w:tc>
      </w:tr>
      <w:tr w:rsidR="00C8491F" w:rsidRPr="00536CA0" w:rsidTr="00791EC7">
        <w:tc>
          <w:tcPr>
            <w:tcW w:w="1417" w:type="pct"/>
            <w:shd w:val="clear" w:color="auto" w:fill="auto"/>
            <w:vAlign w:val="center"/>
          </w:tcPr>
          <w:p w:rsidR="00C8491F" w:rsidRPr="00B57E5C" w:rsidRDefault="00C8491F" w:rsidP="00340838">
            <w:pPr>
              <w:pStyle w:val="Tabletext"/>
            </w:pPr>
            <w:r>
              <w:t>Total benefits (at 85% benefit)</w:t>
            </w:r>
          </w:p>
        </w:tc>
        <w:tc>
          <w:tcPr>
            <w:tcW w:w="716" w:type="pct"/>
            <w:shd w:val="clear" w:color="auto" w:fill="auto"/>
          </w:tcPr>
          <w:p w:rsidR="00C8491F" w:rsidRPr="00287999" w:rsidRDefault="00C8491F" w:rsidP="00C8491F">
            <w:pPr>
              <w:pStyle w:val="Tabletext"/>
            </w:pPr>
            <w:r w:rsidRPr="00287999">
              <w:t>$414,632</w:t>
            </w:r>
          </w:p>
        </w:tc>
        <w:tc>
          <w:tcPr>
            <w:tcW w:w="717" w:type="pct"/>
            <w:shd w:val="clear" w:color="auto" w:fill="auto"/>
          </w:tcPr>
          <w:p w:rsidR="00C8491F" w:rsidRPr="00287999" w:rsidRDefault="00C8491F" w:rsidP="00C8491F">
            <w:pPr>
              <w:pStyle w:val="Tabletext"/>
            </w:pPr>
            <w:r w:rsidRPr="00287999">
              <w:t>$415,943</w:t>
            </w:r>
          </w:p>
        </w:tc>
        <w:tc>
          <w:tcPr>
            <w:tcW w:w="716" w:type="pct"/>
            <w:shd w:val="clear" w:color="auto" w:fill="auto"/>
          </w:tcPr>
          <w:p w:rsidR="00C8491F" w:rsidRPr="00287999" w:rsidRDefault="00C8491F" w:rsidP="00C8491F">
            <w:pPr>
              <w:pStyle w:val="Tabletext"/>
            </w:pPr>
            <w:r w:rsidRPr="00287999">
              <w:t>$417,255</w:t>
            </w:r>
          </w:p>
        </w:tc>
        <w:tc>
          <w:tcPr>
            <w:tcW w:w="717" w:type="pct"/>
            <w:shd w:val="clear" w:color="auto" w:fill="auto"/>
          </w:tcPr>
          <w:p w:rsidR="00C8491F" w:rsidRPr="00287999" w:rsidRDefault="00C8491F" w:rsidP="00C8491F">
            <w:pPr>
              <w:pStyle w:val="Tabletext"/>
            </w:pPr>
            <w:r w:rsidRPr="00287999">
              <w:t>$418,566</w:t>
            </w:r>
          </w:p>
        </w:tc>
        <w:tc>
          <w:tcPr>
            <w:tcW w:w="717" w:type="pct"/>
            <w:shd w:val="clear" w:color="auto" w:fill="auto"/>
          </w:tcPr>
          <w:p w:rsidR="00C8491F" w:rsidRDefault="00C8491F" w:rsidP="00C8491F">
            <w:pPr>
              <w:pStyle w:val="Tabletext"/>
            </w:pPr>
            <w:r w:rsidRPr="00287999">
              <w:t>$419,877</w:t>
            </w:r>
          </w:p>
        </w:tc>
      </w:tr>
      <w:tr w:rsidR="00D469F2" w:rsidRPr="00B12200" w:rsidTr="00D469F2">
        <w:tc>
          <w:tcPr>
            <w:tcW w:w="5000" w:type="pct"/>
            <w:gridSpan w:val="6"/>
            <w:shd w:val="clear" w:color="auto" w:fill="auto"/>
            <w:vAlign w:val="bottom"/>
          </w:tcPr>
          <w:p w:rsidR="00D469F2" w:rsidRPr="00D469F2" w:rsidRDefault="00D469F2" w:rsidP="00340838">
            <w:pPr>
              <w:pStyle w:val="Tabletext"/>
              <w:rPr>
                <w:b/>
              </w:rPr>
            </w:pPr>
            <w:r w:rsidRPr="00D469F2">
              <w:rPr>
                <w:b/>
              </w:rPr>
              <w:t>Services due to other follow-up investigations</w:t>
            </w:r>
          </w:p>
        </w:tc>
      </w:tr>
      <w:tr w:rsidR="00C8491F" w:rsidRPr="00536CA0" w:rsidTr="00791EC7">
        <w:tc>
          <w:tcPr>
            <w:tcW w:w="1417" w:type="pct"/>
            <w:shd w:val="clear" w:color="auto" w:fill="auto"/>
            <w:vAlign w:val="center"/>
          </w:tcPr>
          <w:p w:rsidR="00C8491F" w:rsidRPr="00536CA0" w:rsidRDefault="00C8491F" w:rsidP="00340838">
            <w:pPr>
              <w:pStyle w:val="Tabletext"/>
            </w:pPr>
            <w:r>
              <w:t>Services</w:t>
            </w:r>
          </w:p>
        </w:tc>
        <w:tc>
          <w:tcPr>
            <w:tcW w:w="716" w:type="pct"/>
            <w:shd w:val="clear" w:color="auto" w:fill="auto"/>
          </w:tcPr>
          <w:p w:rsidR="00C8491F" w:rsidRPr="00A56734" w:rsidRDefault="00C8491F" w:rsidP="00C8491F">
            <w:pPr>
              <w:pStyle w:val="Tabletext"/>
            </w:pPr>
            <w:r w:rsidRPr="00A56734">
              <w:t>115,221</w:t>
            </w:r>
          </w:p>
        </w:tc>
        <w:tc>
          <w:tcPr>
            <w:tcW w:w="717" w:type="pct"/>
            <w:shd w:val="clear" w:color="auto" w:fill="auto"/>
          </w:tcPr>
          <w:p w:rsidR="00C8491F" w:rsidRPr="00A56734" w:rsidRDefault="00C8491F" w:rsidP="00C8491F">
            <w:pPr>
              <w:pStyle w:val="Tabletext"/>
            </w:pPr>
            <w:r w:rsidRPr="00A56734">
              <w:t>115,107</w:t>
            </w:r>
          </w:p>
        </w:tc>
        <w:tc>
          <w:tcPr>
            <w:tcW w:w="716" w:type="pct"/>
            <w:shd w:val="clear" w:color="auto" w:fill="auto"/>
          </w:tcPr>
          <w:p w:rsidR="00C8491F" w:rsidRPr="00A56734" w:rsidRDefault="00C8491F" w:rsidP="00C8491F">
            <w:pPr>
              <w:pStyle w:val="Tabletext"/>
            </w:pPr>
            <w:r w:rsidRPr="00A56734">
              <w:t>114,993</w:t>
            </w:r>
          </w:p>
        </w:tc>
        <w:tc>
          <w:tcPr>
            <w:tcW w:w="717" w:type="pct"/>
            <w:shd w:val="clear" w:color="auto" w:fill="auto"/>
          </w:tcPr>
          <w:p w:rsidR="00C8491F" w:rsidRPr="00A56734" w:rsidRDefault="00C8491F" w:rsidP="00C8491F">
            <w:pPr>
              <w:pStyle w:val="Tabletext"/>
            </w:pPr>
            <w:r w:rsidRPr="00A56734">
              <w:t>114,879</w:t>
            </w:r>
          </w:p>
        </w:tc>
        <w:tc>
          <w:tcPr>
            <w:tcW w:w="717" w:type="pct"/>
            <w:shd w:val="clear" w:color="auto" w:fill="auto"/>
          </w:tcPr>
          <w:p w:rsidR="00C8491F" w:rsidRPr="00A56734" w:rsidRDefault="00C8491F" w:rsidP="00C8491F">
            <w:pPr>
              <w:pStyle w:val="Tabletext"/>
            </w:pPr>
            <w:r w:rsidRPr="00A56734">
              <w:t>114,765</w:t>
            </w:r>
          </w:p>
        </w:tc>
      </w:tr>
      <w:tr w:rsidR="00C8491F" w:rsidRPr="00536CA0" w:rsidTr="00791EC7">
        <w:tc>
          <w:tcPr>
            <w:tcW w:w="1417" w:type="pct"/>
            <w:shd w:val="clear" w:color="auto" w:fill="auto"/>
            <w:vAlign w:val="center"/>
          </w:tcPr>
          <w:p w:rsidR="00C8491F" w:rsidRPr="00536CA0" w:rsidRDefault="00C8491F" w:rsidP="00340838">
            <w:pPr>
              <w:pStyle w:val="Tabletext"/>
            </w:pPr>
            <w:r>
              <w:t>Total MBS costs (at $19.60 per test)</w:t>
            </w:r>
          </w:p>
        </w:tc>
        <w:tc>
          <w:tcPr>
            <w:tcW w:w="716" w:type="pct"/>
            <w:shd w:val="clear" w:color="auto" w:fill="auto"/>
          </w:tcPr>
          <w:p w:rsidR="00C8491F" w:rsidRPr="00A56734" w:rsidRDefault="00C8491F" w:rsidP="00C8491F">
            <w:pPr>
              <w:pStyle w:val="Tabletext"/>
            </w:pPr>
            <w:r w:rsidRPr="00A56734">
              <w:t>$2,258,323</w:t>
            </w:r>
          </w:p>
        </w:tc>
        <w:tc>
          <w:tcPr>
            <w:tcW w:w="717" w:type="pct"/>
            <w:shd w:val="clear" w:color="auto" w:fill="auto"/>
          </w:tcPr>
          <w:p w:rsidR="00C8491F" w:rsidRPr="00A56734" w:rsidRDefault="00C8491F" w:rsidP="00C8491F">
            <w:pPr>
              <w:pStyle w:val="Tabletext"/>
            </w:pPr>
            <w:r w:rsidRPr="00A56734">
              <w:t>$2,256,091</w:t>
            </w:r>
          </w:p>
        </w:tc>
        <w:tc>
          <w:tcPr>
            <w:tcW w:w="716" w:type="pct"/>
            <w:shd w:val="clear" w:color="auto" w:fill="auto"/>
          </w:tcPr>
          <w:p w:rsidR="00C8491F" w:rsidRPr="00A56734" w:rsidRDefault="00C8491F" w:rsidP="00C8491F">
            <w:pPr>
              <w:pStyle w:val="Tabletext"/>
            </w:pPr>
            <w:r w:rsidRPr="00A56734">
              <w:t>$2,253,858</w:t>
            </w:r>
          </w:p>
        </w:tc>
        <w:tc>
          <w:tcPr>
            <w:tcW w:w="717" w:type="pct"/>
            <w:shd w:val="clear" w:color="auto" w:fill="auto"/>
          </w:tcPr>
          <w:p w:rsidR="00C8491F" w:rsidRPr="00A56734" w:rsidRDefault="00C8491F" w:rsidP="00C8491F">
            <w:pPr>
              <w:pStyle w:val="Tabletext"/>
            </w:pPr>
            <w:r w:rsidRPr="00A56734">
              <w:t>$2,251,626</w:t>
            </w:r>
          </w:p>
        </w:tc>
        <w:tc>
          <w:tcPr>
            <w:tcW w:w="717" w:type="pct"/>
            <w:shd w:val="clear" w:color="auto" w:fill="auto"/>
          </w:tcPr>
          <w:p w:rsidR="00C8491F" w:rsidRPr="00A56734" w:rsidRDefault="00C8491F" w:rsidP="00C8491F">
            <w:pPr>
              <w:pStyle w:val="Tabletext"/>
            </w:pPr>
            <w:r w:rsidRPr="00A56734">
              <w:t>$2,249,394</w:t>
            </w:r>
          </w:p>
        </w:tc>
      </w:tr>
      <w:tr w:rsidR="00C8491F" w:rsidRPr="00536CA0" w:rsidTr="00791EC7">
        <w:tc>
          <w:tcPr>
            <w:tcW w:w="1417" w:type="pct"/>
            <w:shd w:val="clear" w:color="auto" w:fill="auto"/>
            <w:vAlign w:val="center"/>
          </w:tcPr>
          <w:p w:rsidR="00C8491F" w:rsidRPr="00B57E5C" w:rsidRDefault="00C8491F" w:rsidP="00340838">
            <w:pPr>
              <w:pStyle w:val="Tabletext"/>
            </w:pPr>
            <w:r>
              <w:t>Total benefits (at 85% benefit)</w:t>
            </w:r>
          </w:p>
        </w:tc>
        <w:tc>
          <w:tcPr>
            <w:tcW w:w="716" w:type="pct"/>
            <w:shd w:val="clear" w:color="auto" w:fill="auto"/>
          </w:tcPr>
          <w:p w:rsidR="00C8491F" w:rsidRPr="00A56734" w:rsidRDefault="00C8491F" w:rsidP="00C8491F">
            <w:pPr>
              <w:pStyle w:val="Tabletext"/>
            </w:pPr>
            <w:r w:rsidRPr="00A56734">
              <w:t>$1,924,183</w:t>
            </w:r>
          </w:p>
        </w:tc>
        <w:tc>
          <w:tcPr>
            <w:tcW w:w="717" w:type="pct"/>
            <w:shd w:val="clear" w:color="auto" w:fill="auto"/>
          </w:tcPr>
          <w:p w:rsidR="00C8491F" w:rsidRPr="00A56734" w:rsidRDefault="00C8491F" w:rsidP="00C8491F">
            <w:pPr>
              <w:pStyle w:val="Tabletext"/>
            </w:pPr>
            <w:r w:rsidRPr="00A56734">
              <w:t>$1,922,281</w:t>
            </w:r>
          </w:p>
        </w:tc>
        <w:tc>
          <w:tcPr>
            <w:tcW w:w="716" w:type="pct"/>
            <w:shd w:val="clear" w:color="auto" w:fill="auto"/>
          </w:tcPr>
          <w:p w:rsidR="00C8491F" w:rsidRPr="00A56734" w:rsidRDefault="00C8491F" w:rsidP="00C8491F">
            <w:pPr>
              <w:pStyle w:val="Tabletext"/>
            </w:pPr>
            <w:r w:rsidRPr="00A56734">
              <w:t>$1,920,379</w:t>
            </w:r>
          </w:p>
        </w:tc>
        <w:tc>
          <w:tcPr>
            <w:tcW w:w="717" w:type="pct"/>
            <w:shd w:val="clear" w:color="auto" w:fill="auto"/>
          </w:tcPr>
          <w:p w:rsidR="00C8491F" w:rsidRPr="00A56734" w:rsidRDefault="00C8491F" w:rsidP="00C8491F">
            <w:pPr>
              <w:pStyle w:val="Tabletext"/>
            </w:pPr>
            <w:r w:rsidRPr="00A56734">
              <w:t>$1,918,477</w:t>
            </w:r>
          </w:p>
        </w:tc>
        <w:tc>
          <w:tcPr>
            <w:tcW w:w="717" w:type="pct"/>
            <w:shd w:val="clear" w:color="auto" w:fill="auto"/>
          </w:tcPr>
          <w:p w:rsidR="00C8491F" w:rsidRDefault="00C8491F" w:rsidP="00C8491F">
            <w:pPr>
              <w:pStyle w:val="Tabletext"/>
            </w:pPr>
            <w:r w:rsidRPr="00A56734">
              <w:t>$1,916,575</w:t>
            </w:r>
          </w:p>
        </w:tc>
      </w:tr>
      <w:tr w:rsidR="00D469F2" w:rsidRPr="00B12200" w:rsidTr="00D469F2">
        <w:tc>
          <w:tcPr>
            <w:tcW w:w="5000" w:type="pct"/>
            <w:gridSpan w:val="6"/>
            <w:shd w:val="clear" w:color="auto" w:fill="auto"/>
            <w:vAlign w:val="bottom"/>
          </w:tcPr>
          <w:p w:rsidR="00D469F2" w:rsidRPr="00D469F2" w:rsidRDefault="00D469F2" w:rsidP="00340838">
            <w:pPr>
              <w:pStyle w:val="Tabletext"/>
              <w:rPr>
                <w:b/>
              </w:rPr>
            </w:pPr>
            <w:r w:rsidRPr="00D469F2">
              <w:rPr>
                <w:b/>
              </w:rPr>
              <w:t>Total</w:t>
            </w:r>
          </w:p>
        </w:tc>
      </w:tr>
      <w:tr w:rsidR="00C8491F" w:rsidRPr="00536CA0" w:rsidTr="00791EC7">
        <w:tc>
          <w:tcPr>
            <w:tcW w:w="1417" w:type="pct"/>
            <w:shd w:val="clear" w:color="auto" w:fill="auto"/>
            <w:vAlign w:val="center"/>
          </w:tcPr>
          <w:p w:rsidR="00C8491F" w:rsidRPr="00536CA0" w:rsidRDefault="00C8491F" w:rsidP="00340838">
            <w:pPr>
              <w:pStyle w:val="Tabletext"/>
            </w:pPr>
            <w:r>
              <w:t>Services</w:t>
            </w:r>
          </w:p>
        </w:tc>
        <w:tc>
          <w:tcPr>
            <w:tcW w:w="716" w:type="pct"/>
            <w:shd w:val="clear" w:color="auto" w:fill="auto"/>
          </w:tcPr>
          <w:p w:rsidR="00C8491F" w:rsidRPr="001A21AB" w:rsidRDefault="00C8491F" w:rsidP="00C8491F">
            <w:pPr>
              <w:pStyle w:val="Tabletext"/>
            </w:pPr>
            <w:r w:rsidRPr="001A21AB">
              <w:t>846,462</w:t>
            </w:r>
          </w:p>
        </w:tc>
        <w:tc>
          <w:tcPr>
            <w:tcW w:w="717" w:type="pct"/>
            <w:shd w:val="clear" w:color="auto" w:fill="auto"/>
          </w:tcPr>
          <w:p w:rsidR="00C8491F" w:rsidRPr="001A21AB" w:rsidRDefault="00C8491F" w:rsidP="00C8491F">
            <w:pPr>
              <w:pStyle w:val="Tabletext"/>
            </w:pPr>
            <w:r w:rsidRPr="001A21AB">
              <w:t>848,661</w:t>
            </w:r>
          </w:p>
        </w:tc>
        <w:tc>
          <w:tcPr>
            <w:tcW w:w="716" w:type="pct"/>
            <w:shd w:val="clear" w:color="auto" w:fill="auto"/>
          </w:tcPr>
          <w:p w:rsidR="00C8491F" w:rsidRPr="001A21AB" w:rsidRDefault="00C8491F" w:rsidP="00C8491F">
            <w:pPr>
              <w:pStyle w:val="Tabletext"/>
            </w:pPr>
            <w:r w:rsidRPr="001A21AB">
              <w:t>850,860</w:t>
            </w:r>
          </w:p>
        </w:tc>
        <w:tc>
          <w:tcPr>
            <w:tcW w:w="717" w:type="pct"/>
            <w:shd w:val="clear" w:color="auto" w:fill="auto"/>
          </w:tcPr>
          <w:p w:rsidR="00C8491F" w:rsidRPr="001A21AB" w:rsidRDefault="00C8491F" w:rsidP="00C8491F">
            <w:pPr>
              <w:pStyle w:val="Tabletext"/>
            </w:pPr>
            <w:r w:rsidRPr="001A21AB">
              <w:t>853,058</w:t>
            </w:r>
          </w:p>
        </w:tc>
        <w:tc>
          <w:tcPr>
            <w:tcW w:w="717" w:type="pct"/>
            <w:shd w:val="clear" w:color="auto" w:fill="auto"/>
          </w:tcPr>
          <w:p w:rsidR="00C8491F" w:rsidRPr="001A21AB" w:rsidRDefault="00C8491F" w:rsidP="00C8491F">
            <w:pPr>
              <w:pStyle w:val="Tabletext"/>
            </w:pPr>
            <w:r w:rsidRPr="001A21AB">
              <w:t>855,257</w:t>
            </w:r>
          </w:p>
        </w:tc>
      </w:tr>
      <w:tr w:rsidR="00C8491F" w:rsidRPr="00536CA0" w:rsidTr="00791EC7">
        <w:tc>
          <w:tcPr>
            <w:tcW w:w="1417" w:type="pct"/>
            <w:shd w:val="clear" w:color="auto" w:fill="auto"/>
            <w:vAlign w:val="center"/>
          </w:tcPr>
          <w:p w:rsidR="00C8491F" w:rsidRPr="00536CA0" w:rsidRDefault="00C8491F" w:rsidP="00340838">
            <w:pPr>
              <w:pStyle w:val="Tabletext"/>
            </w:pPr>
            <w:r>
              <w:t>Total MBS costs (at $19.60 per test)</w:t>
            </w:r>
          </w:p>
        </w:tc>
        <w:tc>
          <w:tcPr>
            <w:tcW w:w="716" w:type="pct"/>
            <w:shd w:val="clear" w:color="auto" w:fill="auto"/>
          </w:tcPr>
          <w:p w:rsidR="00C8491F" w:rsidRPr="001A21AB" w:rsidRDefault="00C8491F" w:rsidP="00C8491F">
            <w:pPr>
              <w:pStyle w:val="Tabletext"/>
            </w:pPr>
            <w:r w:rsidRPr="001A21AB">
              <w:t>$16,590,657</w:t>
            </w:r>
          </w:p>
        </w:tc>
        <w:tc>
          <w:tcPr>
            <w:tcW w:w="717" w:type="pct"/>
            <w:shd w:val="clear" w:color="auto" w:fill="auto"/>
          </w:tcPr>
          <w:p w:rsidR="00C8491F" w:rsidRPr="001A21AB" w:rsidRDefault="00C8491F" w:rsidP="00C8491F">
            <w:pPr>
              <w:pStyle w:val="Tabletext"/>
            </w:pPr>
            <w:r w:rsidRPr="001A21AB">
              <w:t>$16,633,753</w:t>
            </w:r>
          </w:p>
        </w:tc>
        <w:tc>
          <w:tcPr>
            <w:tcW w:w="716" w:type="pct"/>
            <w:shd w:val="clear" w:color="auto" w:fill="auto"/>
          </w:tcPr>
          <w:p w:rsidR="00C8491F" w:rsidRPr="001A21AB" w:rsidRDefault="00C8491F" w:rsidP="00C8491F">
            <w:pPr>
              <w:pStyle w:val="Tabletext"/>
            </w:pPr>
            <w:r w:rsidRPr="001A21AB">
              <w:t>$16,676,848</w:t>
            </w:r>
          </w:p>
        </w:tc>
        <w:tc>
          <w:tcPr>
            <w:tcW w:w="717" w:type="pct"/>
            <w:shd w:val="clear" w:color="auto" w:fill="auto"/>
          </w:tcPr>
          <w:p w:rsidR="00C8491F" w:rsidRPr="001A21AB" w:rsidRDefault="00C8491F" w:rsidP="00C8491F">
            <w:pPr>
              <w:pStyle w:val="Tabletext"/>
            </w:pPr>
            <w:r w:rsidRPr="001A21AB">
              <w:t>$16,719,944</w:t>
            </w:r>
          </w:p>
        </w:tc>
        <w:tc>
          <w:tcPr>
            <w:tcW w:w="717" w:type="pct"/>
            <w:shd w:val="clear" w:color="auto" w:fill="auto"/>
          </w:tcPr>
          <w:p w:rsidR="00C8491F" w:rsidRPr="001A21AB" w:rsidRDefault="00C8491F" w:rsidP="00C8491F">
            <w:pPr>
              <w:pStyle w:val="Tabletext"/>
            </w:pPr>
            <w:r w:rsidRPr="001A21AB">
              <w:t>$16,763,039</w:t>
            </w:r>
          </w:p>
        </w:tc>
      </w:tr>
      <w:tr w:rsidR="00C8491F" w:rsidRPr="00536CA0" w:rsidTr="00791EC7">
        <w:tc>
          <w:tcPr>
            <w:tcW w:w="1417" w:type="pct"/>
            <w:shd w:val="clear" w:color="auto" w:fill="auto"/>
            <w:vAlign w:val="center"/>
          </w:tcPr>
          <w:p w:rsidR="00C8491F" w:rsidRPr="00B57E5C" w:rsidRDefault="00C8491F" w:rsidP="00340838">
            <w:pPr>
              <w:pStyle w:val="Tabletext"/>
            </w:pPr>
            <w:r>
              <w:t>Total benefits (at 85% benefit)</w:t>
            </w:r>
          </w:p>
        </w:tc>
        <w:tc>
          <w:tcPr>
            <w:tcW w:w="716" w:type="pct"/>
            <w:shd w:val="clear" w:color="auto" w:fill="auto"/>
          </w:tcPr>
          <w:p w:rsidR="00C8491F" w:rsidRPr="001A21AB" w:rsidRDefault="00C8491F" w:rsidP="00C8491F">
            <w:pPr>
              <w:pStyle w:val="Tabletext"/>
            </w:pPr>
            <w:r w:rsidRPr="001A21AB">
              <w:t>$14,135,917</w:t>
            </w:r>
          </w:p>
        </w:tc>
        <w:tc>
          <w:tcPr>
            <w:tcW w:w="717" w:type="pct"/>
            <w:shd w:val="clear" w:color="auto" w:fill="auto"/>
          </w:tcPr>
          <w:p w:rsidR="00C8491F" w:rsidRPr="001A21AB" w:rsidRDefault="00C8491F" w:rsidP="00C8491F">
            <w:pPr>
              <w:pStyle w:val="Tabletext"/>
            </w:pPr>
            <w:r w:rsidRPr="001A21AB">
              <w:t>$14,172,636</w:t>
            </w:r>
          </w:p>
        </w:tc>
        <w:tc>
          <w:tcPr>
            <w:tcW w:w="716" w:type="pct"/>
            <w:shd w:val="clear" w:color="auto" w:fill="auto"/>
          </w:tcPr>
          <w:p w:rsidR="00C8491F" w:rsidRPr="001A21AB" w:rsidRDefault="00C8491F" w:rsidP="00C8491F">
            <w:pPr>
              <w:pStyle w:val="Tabletext"/>
            </w:pPr>
            <w:r w:rsidRPr="001A21AB">
              <w:t>$14,209,355</w:t>
            </w:r>
          </w:p>
        </w:tc>
        <w:tc>
          <w:tcPr>
            <w:tcW w:w="717" w:type="pct"/>
            <w:shd w:val="clear" w:color="auto" w:fill="auto"/>
          </w:tcPr>
          <w:p w:rsidR="00C8491F" w:rsidRPr="001A21AB" w:rsidRDefault="00C8491F" w:rsidP="00C8491F">
            <w:pPr>
              <w:pStyle w:val="Tabletext"/>
            </w:pPr>
            <w:r w:rsidRPr="001A21AB">
              <w:t>$14,246,074</w:t>
            </w:r>
          </w:p>
        </w:tc>
        <w:tc>
          <w:tcPr>
            <w:tcW w:w="717" w:type="pct"/>
            <w:shd w:val="clear" w:color="auto" w:fill="auto"/>
          </w:tcPr>
          <w:p w:rsidR="00C8491F" w:rsidRDefault="00C8491F" w:rsidP="00C8491F">
            <w:pPr>
              <w:pStyle w:val="Tabletext"/>
            </w:pPr>
            <w:r w:rsidRPr="001A21AB">
              <w:t>$14,282,794</w:t>
            </w:r>
          </w:p>
        </w:tc>
      </w:tr>
    </w:tbl>
    <w:p w:rsidR="00C5321C" w:rsidRDefault="00C5321C" w:rsidP="00C5321C"/>
    <w:p w:rsidR="00C5321C" w:rsidRPr="00380FDD" w:rsidRDefault="00C5321C" w:rsidP="003F1BA4">
      <w:pPr>
        <w:pStyle w:val="Heading20"/>
      </w:pPr>
      <w:bookmarkStart w:id="623" w:name="_Toc334430227"/>
      <w:bookmarkStart w:id="624" w:name="_Toc337546931"/>
      <w:r>
        <w:t>E.3</w:t>
      </w:r>
      <w:r>
        <w:tab/>
      </w:r>
      <w:r w:rsidR="00340838">
        <w:t xml:space="preserve">Estimation of changes in use and cost of </w:t>
      </w:r>
      <w:bookmarkEnd w:id="623"/>
      <w:r w:rsidR="00340838">
        <w:t>conventional cytology</w:t>
      </w:r>
      <w:bookmarkEnd w:id="624"/>
    </w:p>
    <w:p w:rsidR="00C5321C" w:rsidRDefault="00C5321C" w:rsidP="00C5321C">
      <w:r>
        <w:t xml:space="preserve">The </w:t>
      </w:r>
      <w:r w:rsidR="002E19A8" w:rsidRPr="002E19A8">
        <w:t xml:space="preserve">cell enrichment LBC </w:t>
      </w:r>
      <w:r>
        <w:t xml:space="preserve">usage on the MBS will be a result of substitution from conventional cytology tests that are currently available on the MBS. This has been discussed in Section E.1. </w:t>
      </w:r>
    </w:p>
    <w:p w:rsidR="00C5321C" w:rsidRDefault="00C5321C" w:rsidP="00C5321C">
      <w:r>
        <w:t xml:space="preserve">The current analysis made a conservative assumption where all conventional cytology services will be replaced by </w:t>
      </w:r>
      <w:r w:rsidR="002E19A8">
        <w:t>cell enrichment</w:t>
      </w:r>
      <w:r w:rsidR="002E19A8" w:rsidRPr="00902506">
        <w:t xml:space="preserve"> LBC </w:t>
      </w:r>
      <w:r>
        <w:t xml:space="preserve">should it be added to the MBS. The cost savings to the MBS arising from this submission effect are presented in </w:t>
      </w:r>
      <w:r w:rsidR="00086C77">
        <w:fldChar w:fldCharType="begin"/>
      </w:r>
      <w:r>
        <w:instrText xml:space="preserve"> REF _Ref334454702 \h </w:instrText>
      </w:r>
      <w:r w:rsidR="00086C77">
        <w:fldChar w:fldCharType="separate"/>
      </w:r>
      <w:r w:rsidR="003361A8" w:rsidRPr="009C1F99">
        <w:t xml:space="preserve">Table </w:t>
      </w:r>
      <w:r w:rsidR="003361A8">
        <w:rPr>
          <w:noProof/>
        </w:rPr>
        <w:t>97</w:t>
      </w:r>
      <w:r w:rsidR="00086C77">
        <w:fldChar w:fldCharType="end"/>
      </w:r>
      <w:r>
        <w:t xml:space="preserve">. </w:t>
      </w:r>
    </w:p>
    <w:p w:rsidR="00C5321C" w:rsidRDefault="00C5321C" w:rsidP="00C5321C">
      <w:r>
        <w:t xml:space="preserve">These estimates also represent the MBS costs of conventional cytology without the listing of </w:t>
      </w:r>
      <w:r w:rsidR="002E19A8">
        <w:t>cell enrichment</w:t>
      </w:r>
      <w:r w:rsidR="002E19A8" w:rsidRPr="00902506">
        <w:t xml:space="preserve"> LBC</w:t>
      </w:r>
      <w:r>
        <w:t xml:space="preserve">, given the full </w:t>
      </w:r>
      <w:r w:rsidR="006F00EE">
        <w:t>uptake</w:t>
      </w:r>
      <w:r>
        <w:t xml:space="preserve"> assumption made previously. </w:t>
      </w:r>
    </w:p>
    <w:p w:rsidR="00C5321C" w:rsidRDefault="00C5321C" w:rsidP="00C5321C">
      <w:r>
        <w:lastRenderedPageBreak/>
        <w:t xml:space="preserve">It is clearly shown that any costs associated with </w:t>
      </w:r>
      <w:r w:rsidR="002E19A8">
        <w:t>cell enrichment</w:t>
      </w:r>
      <w:r w:rsidR="002E19A8" w:rsidRPr="00902506">
        <w:t xml:space="preserve"> LBC</w:t>
      </w:r>
      <w:r>
        <w:t xml:space="preserve">, shown in </w:t>
      </w:r>
      <w:r w:rsidR="00086C77">
        <w:fldChar w:fldCharType="begin"/>
      </w:r>
      <w:r>
        <w:instrText xml:space="preserve"> REF _Ref334453724 \h </w:instrText>
      </w:r>
      <w:r w:rsidR="00086C77">
        <w:fldChar w:fldCharType="separate"/>
      </w:r>
      <w:r w:rsidR="003361A8" w:rsidRPr="009C1F99">
        <w:t xml:space="preserve">Table </w:t>
      </w:r>
      <w:r w:rsidR="003361A8">
        <w:rPr>
          <w:noProof/>
        </w:rPr>
        <w:t>95</w:t>
      </w:r>
      <w:r w:rsidR="00086C77">
        <w:fldChar w:fldCharType="end"/>
      </w:r>
      <w:r>
        <w:t>, are offset by the expected cost offsets arising from a reduction in the use of conventional cytology (i.e</w:t>
      </w:r>
      <w:r w:rsidR="00195600">
        <w:t>.</w:t>
      </w:r>
      <w:r>
        <w:t xml:space="preserve"> substitution effects). Net financial costs to the MBS are presented in Section E.4. </w:t>
      </w:r>
    </w:p>
    <w:p w:rsidR="00C5321C" w:rsidRPr="009C1F99" w:rsidRDefault="00C5321C" w:rsidP="00C5321C">
      <w:pPr>
        <w:pStyle w:val="Tablecaption"/>
      </w:pPr>
      <w:bookmarkStart w:id="625" w:name="_Ref334454702"/>
      <w:bookmarkStart w:id="626" w:name="_Toc335666070"/>
      <w:bookmarkStart w:id="627" w:name="_Toc337547037"/>
      <w:r w:rsidRPr="009C1F99">
        <w:t xml:space="preserve">Table </w:t>
      </w:r>
      <w:fldSimple w:instr=" SEQ Table \* ARABIC ">
        <w:r w:rsidR="003361A8">
          <w:rPr>
            <w:noProof/>
          </w:rPr>
          <w:t>97</w:t>
        </w:r>
      </w:fldSimple>
      <w:bookmarkEnd w:id="625"/>
      <w:r w:rsidRPr="009C1F99">
        <w:tab/>
      </w:r>
      <w:r>
        <w:t>Estimated</w:t>
      </w:r>
      <w:r w:rsidRPr="009C1F99">
        <w:t xml:space="preserve"> </w:t>
      </w:r>
      <w:r>
        <w:t>cost savings arising from substitution away from conventional cy</w:t>
      </w:r>
      <w:r w:rsidR="00D71B86">
        <w:t xml:space="preserve">tology tests to </w:t>
      </w:r>
      <w:r w:rsidR="002E19A8" w:rsidRPr="002E19A8">
        <w:t>cell enrichment LBC</w:t>
      </w:r>
      <w:r w:rsidR="00D71B86">
        <w:t xml:space="preserve">: </w:t>
      </w:r>
      <w:r w:rsidR="006F00EE">
        <w:t>100% up</w:t>
      </w:r>
      <w:r>
        <w:t>take scenario</w:t>
      </w:r>
      <w:bookmarkEnd w:id="626"/>
      <w:bookmarkEnd w:id="627"/>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52"/>
        <w:gridCol w:w="1268"/>
        <w:gridCol w:w="1296"/>
        <w:gridCol w:w="1287"/>
        <w:gridCol w:w="1293"/>
        <w:gridCol w:w="1295"/>
      </w:tblGrid>
      <w:tr w:rsidR="00C5321C" w:rsidRPr="0077649A" w:rsidTr="00C8491F">
        <w:tc>
          <w:tcPr>
            <w:tcW w:w="1379" w:type="pct"/>
            <w:shd w:val="clear" w:color="auto" w:fill="auto"/>
          </w:tcPr>
          <w:p w:rsidR="00C5321C" w:rsidRPr="0077649A" w:rsidRDefault="00C5321C" w:rsidP="00791EC7">
            <w:pPr>
              <w:pStyle w:val="Tableheading"/>
            </w:pPr>
            <w:r w:rsidRPr="0077649A">
              <w:t>Year</w:t>
            </w:r>
          </w:p>
        </w:tc>
        <w:tc>
          <w:tcPr>
            <w:tcW w:w="713" w:type="pct"/>
            <w:shd w:val="clear" w:color="auto" w:fill="auto"/>
          </w:tcPr>
          <w:p w:rsidR="00C5321C" w:rsidRPr="00A638A4" w:rsidRDefault="00C5321C" w:rsidP="00791EC7">
            <w:pPr>
              <w:pStyle w:val="Tableheading"/>
              <w:jc w:val="center"/>
            </w:pPr>
            <w:r>
              <w:t>Year 1 (2013)</w:t>
            </w:r>
          </w:p>
        </w:tc>
        <w:tc>
          <w:tcPr>
            <w:tcW w:w="729" w:type="pct"/>
            <w:shd w:val="clear" w:color="auto" w:fill="auto"/>
          </w:tcPr>
          <w:p w:rsidR="00C5321C" w:rsidRPr="00A638A4" w:rsidRDefault="00C5321C" w:rsidP="00791EC7">
            <w:pPr>
              <w:pStyle w:val="Tableheading"/>
              <w:jc w:val="center"/>
            </w:pPr>
            <w:r>
              <w:t>Year 2</w:t>
            </w:r>
          </w:p>
        </w:tc>
        <w:tc>
          <w:tcPr>
            <w:tcW w:w="724" w:type="pct"/>
            <w:shd w:val="clear" w:color="auto" w:fill="auto"/>
          </w:tcPr>
          <w:p w:rsidR="00C5321C" w:rsidRPr="00A638A4" w:rsidRDefault="00C5321C" w:rsidP="00791EC7">
            <w:pPr>
              <w:pStyle w:val="Tableheading"/>
              <w:jc w:val="center"/>
            </w:pPr>
            <w:r>
              <w:t>Year 3</w:t>
            </w:r>
          </w:p>
        </w:tc>
        <w:tc>
          <w:tcPr>
            <w:tcW w:w="727" w:type="pct"/>
            <w:shd w:val="clear" w:color="auto" w:fill="auto"/>
          </w:tcPr>
          <w:p w:rsidR="00C5321C" w:rsidRPr="00A638A4" w:rsidRDefault="00C5321C" w:rsidP="00791EC7">
            <w:pPr>
              <w:pStyle w:val="Tableheading"/>
              <w:jc w:val="center"/>
            </w:pPr>
            <w:r>
              <w:t>Year 4</w:t>
            </w:r>
          </w:p>
        </w:tc>
        <w:tc>
          <w:tcPr>
            <w:tcW w:w="728" w:type="pct"/>
            <w:shd w:val="clear" w:color="auto" w:fill="auto"/>
          </w:tcPr>
          <w:p w:rsidR="00C5321C" w:rsidRDefault="00C5321C" w:rsidP="00791EC7">
            <w:pPr>
              <w:pStyle w:val="Tableheading"/>
              <w:jc w:val="center"/>
            </w:pPr>
            <w:r>
              <w:t>Year 5</w:t>
            </w:r>
          </w:p>
        </w:tc>
      </w:tr>
      <w:tr w:rsidR="006F00EE" w:rsidRPr="00536CA0" w:rsidTr="006F00EE">
        <w:tc>
          <w:tcPr>
            <w:tcW w:w="5000" w:type="pct"/>
            <w:gridSpan w:val="6"/>
            <w:shd w:val="clear" w:color="auto" w:fill="auto"/>
            <w:vAlign w:val="center"/>
          </w:tcPr>
          <w:p w:rsidR="006F00EE" w:rsidRPr="006F00EE" w:rsidRDefault="006F00EE" w:rsidP="00791EC7">
            <w:pPr>
              <w:pStyle w:val="Tabletext"/>
              <w:rPr>
                <w:b/>
              </w:rPr>
            </w:pPr>
            <w:r w:rsidRPr="006F00EE">
              <w:rPr>
                <w:b/>
              </w:rPr>
              <w:t xml:space="preserve">Conventional cytology services due to initial screening test </w:t>
            </w:r>
          </w:p>
        </w:tc>
      </w:tr>
      <w:tr w:rsidR="00C8491F" w:rsidRPr="00536CA0" w:rsidTr="00C8491F">
        <w:tc>
          <w:tcPr>
            <w:tcW w:w="1379" w:type="pct"/>
            <w:shd w:val="clear" w:color="auto" w:fill="auto"/>
            <w:vAlign w:val="center"/>
          </w:tcPr>
          <w:p w:rsidR="00C8491F" w:rsidRPr="00536CA0" w:rsidRDefault="00C8491F" w:rsidP="00791EC7">
            <w:pPr>
              <w:pStyle w:val="Tabletext"/>
            </w:pPr>
            <w:r>
              <w:t>Services</w:t>
            </w:r>
          </w:p>
        </w:tc>
        <w:tc>
          <w:tcPr>
            <w:tcW w:w="713" w:type="pct"/>
            <w:shd w:val="clear" w:color="auto" w:fill="auto"/>
          </w:tcPr>
          <w:p w:rsidR="00C8491F" w:rsidRPr="00817E0D" w:rsidRDefault="00C8491F" w:rsidP="00C8491F">
            <w:pPr>
              <w:pStyle w:val="Tabletext"/>
            </w:pPr>
            <w:r w:rsidRPr="00817E0D">
              <w:t>1,396,992</w:t>
            </w:r>
          </w:p>
        </w:tc>
        <w:tc>
          <w:tcPr>
            <w:tcW w:w="729" w:type="pct"/>
            <w:shd w:val="clear" w:color="auto" w:fill="auto"/>
          </w:tcPr>
          <w:p w:rsidR="00C8491F" w:rsidRPr="00817E0D" w:rsidRDefault="00C8491F" w:rsidP="00C8491F">
            <w:pPr>
              <w:pStyle w:val="Tabletext"/>
            </w:pPr>
            <w:r w:rsidRPr="00817E0D">
              <w:t>1,401,410</w:t>
            </w:r>
          </w:p>
        </w:tc>
        <w:tc>
          <w:tcPr>
            <w:tcW w:w="724" w:type="pct"/>
            <w:shd w:val="clear" w:color="auto" w:fill="auto"/>
          </w:tcPr>
          <w:p w:rsidR="00C8491F" w:rsidRPr="00817E0D" w:rsidRDefault="00C8491F" w:rsidP="00C8491F">
            <w:pPr>
              <w:pStyle w:val="Tabletext"/>
            </w:pPr>
            <w:r w:rsidRPr="00817E0D">
              <w:t>1,405,828</w:t>
            </w:r>
          </w:p>
        </w:tc>
        <w:tc>
          <w:tcPr>
            <w:tcW w:w="727" w:type="pct"/>
            <w:shd w:val="clear" w:color="auto" w:fill="auto"/>
          </w:tcPr>
          <w:p w:rsidR="00C8491F" w:rsidRPr="00817E0D" w:rsidRDefault="00C8491F" w:rsidP="00C8491F">
            <w:pPr>
              <w:pStyle w:val="Tabletext"/>
            </w:pPr>
            <w:r w:rsidRPr="00817E0D">
              <w:t>1,410,246</w:t>
            </w:r>
          </w:p>
        </w:tc>
        <w:tc>
          <w:tcPr>
            <w:tcW w:w="728" w:type="pct"/>
            <w:shd w:val="clear" w:color="auto" w:fill="auto"/>
          </w:tcPr>
          <w:p w:rsidR="00C8491F" w:rsidRPr="00817E0D" w:rsidRDefault="00C8491F" w:rsidP="00C8491F">
            <w:pPr>
              <w:pStyle w:val="Tabletext"/>
            </w:pPr>
            <w:r w:rsidRPr="00817E0D">
              <w:t>1,414,664</w:t>
            </w:r>
          </w:p>
        </w:tc>
      </w:tr>
      <w:tr w:rsidR="00C8491F" w:rsidRPr="00536CA0" w:rsidTr="00C8491F">
        <w:tc>
          <w:tcPr>
            <w:tcW w:w="1379" w:type="pct"/>
            <w:shd w:val="clear" w:color="auto" w:fill="auto"/>
            <w:vAlign w:val="center"/>
          </w:tcPr>
          <w:p w:rsidR="00C8491F" w:rsidRPr="00536CA0" w:rsidRDefault="00C8491F" w:rsidP="00791EC7">
            <w:pPr>
              <w:pStyle w:val="Tabletext"/>
            </w:pPr>
            <w:r>
              <w:t>Total MBS costs (at $19.60 per test)</w:t>
            </w:r>
          </w:p>
        </w:tc>
        <w:tc>
          <w:tcPr>
            <w:tcW w:w="713" w:type="pct"/>
            <w:shd w:val="clear" w:color="auto" w:fill="auto"/>
          </w:tcPr>
          <w:p w:rsidR="00C8491F" w:rsidRPr="00817E0D" w:rsidRDefault="00C8491F" w:rsidP="00C8491F">
            <w:pPr>
              <w:pStyle w:val="Tabletext"/>
            </w:pPr>
            <w:r w:rsidRPr="00817E0D">
              <w:t>$27,381,035</w:t>
            </w:r>
          </w:p>
        </w:tc>
        <w:tc>
          <w:tcPr>
            <w:tcW w:w="729" w:type="pct"/>
            <w:shd w:val="clear" w:color="auto" w:fill="auto"/>
          </w:tcPr>
          <w:p w:rsidR="00C8491F" w:rsidRPr="00817E0D" w:rsidRDefault="00C8491F" w:rsidP="00C8491F">
            <w:pPr>
              <w:pStyle w:val="Tabletext"/>
            </w:pPr>
            <w:r w:rsidRPr="00817E0D">
              <w:t>$27,467,630</w:t>
            </w:r>
          </w:p>
        </w:tc>
        <w:tc>
          <w:tcPr>
            <w:tcW w:w="724" w:type="pct"/>
            <w:shd w:val="clear" w:color="auto" w:fill="auto"/>
          </w:tcPr>
          <w:p w:rsidR="00C8491F" w:rsidRPr="00817E0D" w:rsidRDefault="00C8491F" w:rsidP="00C8491F">
            <w:pPr>
              <w:pStyle w:val="Tabletext"/>
            </w:pPr>
            <w:r w:rsidRPr="00817E0D">
              <w:t>$27,554,226</w:t>
            </w:r>
          </w:p>
        </w:tc>
        <w:tc>
          <w:tcPr>
            <w:tcW w:w="727" w:type="pct"/>
            <w:shd w:val="clear" w:color="auto" w:fill="auto"/>
          </w:tcPr>
          <w:p w:rsidR="00C8491F" w:rsidRPr="00817E0D" w:rsidRDefault="00C8491F" w:rsidP="00C8491F">
            <w:pPr>
              <w:pStyle w:val="Tabletext"/>
            </w:pPr>
            <w:r w:rsidRPr="00817E0D">
              <w:t>$27,640,822</w:t>
            </w:r>
          </w:p>
        </w:tc>
        <w:tc>
          <w:tcPr>
            <w:tcW w:w="728" w:type="pct"/>
            <w:shd w:val="clear" w:color="auto" w:fill="auto"/>
          </w:tcPr>
          <w:p w:rsidR="00C8491F" w:rsidRPr="00817E0D" w:rsidRDefault="00C8491F" w:rsidP="00C8491F">
            <w:pPr>
              <w:pStyle w:val="Tabletext"/>
            </w:pPr>
            <w:r w:rsidRPr="00817E0D">
              <w:t>$27,727,418</w:t>
            </w:r>
          </w:p>
        </w:tc>
      </w:tr>
      <w:tr w:rsidR="00C8491F" w:rsidRPr="00536CA0" w:rsidTr="00C8491F">
        <w:tc>
          <w:tcPr>
            <w:tcW w:w="1379" w:type="pct"/>
            <w:shd w:val="clear" w:color="auto" w:fill="auto"/>
            <w:vAlign w:val="center"/>
          </w:tcPr>
          <w:p w:rsidR="00C8491F" w:rsidRPr="00B57E5C" w:rsidRDefault="00C8491F" w:rsidP="00791EC7">
            <w:pPr>
              <w:pStyle w:val="Tabletext"/>
            </w:pPr>
            <w:r>
              <w:t>Total benefits (at 85% benefit)</w:t>
            </w:r>
          </w:p>
        </w:tc>
        <w:tc>
          <w:tcPr>
            <w:tcW w:w="713" w:type="pct"/>
            <w:shd w:val="clear" w:color="auto" w:fill="auto"/>
          </w:tcPr>
          <w:p w:rsidR="00C8491F" w:rsidRPr="00817E0D" w:rsidRDefault="00C8491F" w:rsidP="00C8491F">
            <w:pPr>
              <w:pStyle w:val="Tabletext"/>
            </w:pPr>
            <w:r w:rsidRPr="00817E0D">
              <w:t>$23,329,759</w:t>
            </w:r>
          </w:p>
        </w:tc>
        <w:tc>
          <w:tcPr>
            <w:tcW w:w="729" w:type="pct"/>
            <w:shd w:val="clear" w:color="auto" w:fill="auto"/>
          </w:tcPr>
          <w:p w:rsidR="00C8491F" w:rsidRPr="00817E0D" w:rsidRDefault="00C8491F" w:rsidP="00C8491F">
            <w:pPr>
              <w:pStyle w:val="Tabletext"/>
            </w:pPr>
            <w:r w:rsidRPr="00817E0D">
              <w:t>$23,403,542</w:t>
            </w:r>
          </w:p>
        </w:tc>
        <w:tc>
          <w:tcPr>
            <w:tcW w:w="724" w:type="pct"/>
            <w:shd w:val="clear" w:color="auto" w:fill="auto"/>
          </w:tcPr>
          <w:p w:rsidR="00C8491F" w:rsidRPr="00817E0D" w:rsidRDefault="00C8491F" w:rsidP="00C8491F">
            <w:pPr>
              <w:pStyle w:val="Tabletext"/>
            </w:pPr>
            <w:r w:rsidRPr="00817E0D">
              <w:t>$23,477,326</w:t>
            </w:r>
          </w:p>
        </w:tc>
        <w:tc>
          <w:tcPr>
            <w:tcW w:w="727" w:type="pct"/>
            <w:shd w:val="clear" w:color="auto" w:fill="auto"/>
          </w:tcPr>
          <w:p w:rsidR="00C8491F" w:rsidRPr="00817E0D" w:rsidRDefault="00C8491F" w:rsidP="00C8491F">
            <w:pPr>
              <w:pStyle w:val="Tabletext"/>
            </w:pPr>
            <w:r w:rsidRPr="00817E0D">
              <w:t>$23,551,109</w:t>
            </w:r>
          </w:p>
        </w:tc>
        <w:tc>
          <w:tcPr>
            <w:tcW w:w="728" w:type="pct"/>
            <w:shd w:val="clear" w:color="auto" w:fill="auto"/>
          </w:tcPr>
          <w:p w:rsidR="00C8491F" w:rsidRDefault="00C8491F" w:rsidP="00C8491F">
            <w:pPr>
              <w:pStyle w:val="Tabletext"/>
            </w:pPr>
            <w:r w:rsidRPr="00817E0D">
              <w:t>$23,624,892</w:t>
            </w:r>
          </w:p>
        </w:tc>
      </w:tr>
      <w:tr w:rsidR="006F00EE" w:rsidRPr="00536CA0" w:rsidTr="006F00EE">
        <w:tc>
          <w:tcPr>
            <w:tcW w:w="5000" w:type="pct"/>
            <w:gridSpan w:val="6"/>
            <w:shd w:val="clear" w:color="auto" w:fill="auto"/>
            <w:vAlign w:val="center"/>
          </w:tcPr>
          <w:p w:rsidR="006F00EE" w:rsidRPr="006F00EE" w:rsidRDefault="006F00EE" w:rsidP="00791EC7">
            <w:pPr>
              <w:pStyle w:val="Tabletext"/>
              <w:rPr>
                <w:b/>
              </w:rPr>
            </w:pPr>
            <w:r w:rsidRPr="006F00EE">
              <w:rPr>
                <w:b/>
              </w:rPr>
              <w:t>Conventional cytology services due to unsatisfactory smear</w:t>
            </w:r>
          </w:p>
        </w:tc>
      </w:tr>
      <w:tr w:rsidR="00C8491F" w:rsidRPr="00536CA0" w:rsidTr="00C8491F">
        <w:tc>
          <w:tcPr>
            <w:tcW w:w="1379" w:type="pct"/>
            <w:shd w:val="clear" w:color="auto" w:fill="auto"/>
            <w:vAlign w:val="center"/>
          </w:tcPr>
          <w:p w:rsidR="00C8491F" w:rsidRPr="00536CA0" w:rsidRDefault="00C8491F" w:rsidP="00791EC7">
            <w:pPr>
              <w:pStyle w:val="Tabletext"/>
            </w:pPr>
            <w:r>
              <w:t>Services</w:t>
            </w:r>
          </w:p>
        </w:tc>
        <w:tc>
          <w:tcPr>
            <w:tcW w:w="713" w:type="pct"/>
            <w:shd w:val="clear" w:color="auto" w:fill="auto"/>
          </w:tcPr>
          <w:p w:rsidR="00C8491F" w:rsidRPr="00BF3462" w:rsidRDefault="00C8491F" w:rsidP="00C8491F">
            <w:pPr>
              <w:pStyle w:val="Tabletext"/>
            </w:pPr>
            <w:r w:rsidRPr="00BF3462">
              <w:t>29,672</w:t>
            </w:r>
          </w:p>
        </w:tc>
        <w:tc>
          <w:tcPr>
            <w:tcW w:w="729" w:type="pct"/>
            <w:shd w:val="clear" w:color="auto" w:fill="auto"/>
          </w:tcPr>
          <w:p w:rsidR="00C8491F" w:rsidRPr="00BF3462" w:rsidRDefault="00C8491F" w:rsidP="00C8491F">
            <w:pPr>
              <w:pStyle w:val="Tabletext"/>
            </w:pPr>
            <w:r w:rsidRPr="00BF3462">
              <w:t>29,766</w:t>
            </w:r>
          </w:p>
        </w:tc>
        <w:tc>
          <w:tcPr>
            <w:tcW w:w="724" w:type="pct"/>
            <w:shd w:val="clear" w:color="auto" w:fill="auto"/>
          </w:tcPr>
          <w:p w:rsidR="00C8491F" w:rsidRPr="00BF3462" w:rsidRDefault="00C8491F" w:rsidP="00C8491F">
            <w:pPr>
              <w:pStyle w:val="Tabletext"/>
            </w:pPr>
            <w:r w:rsidRPr="00BF3462">
              <w:t>29,860</w:t>
            </w:r>
          </w:p>
        </w:tc>
        <w:tc>
          <w:tcPr>
            <w:tcW w:w="727" w:type="pct"/>
            <w:shd w:val="clear" w:color="auto" w:fill="auto"/>
          </w:tcPr>
          <w:p w:rsidR="00C8491F" w:rsidRPr="00BF3462" w:rsidRDefault="00C8491F" w:rsidP="00C8491F">
            <w:pPr>
              <w:pStyle w:val="Tabletext"/>
            </w:pPr>
            <w:r w:rsidRPr="00BF3462">
              <w:t>29,954</w:t>
            </w:r>
          </w:p>
        </w:tc>
        <w:tc>
          <w:tcPr>
            <w:tcW w:w="728" w:type="pct"/>
            <w:shd w:val="clear" w:color="auto" w:fill="auto"/>
          </w:tcPr>
          <w:p w:rsidR="00C8491F" w:rsidRPr="00BF3462" w:rsidRDefault="00C8491F" w:rsidP="00C8491F">
            <w:pPr>
              <w:pStyle w:val="Tabletext"/>
            </w:pPr>
            <w:r w:rsidRPr="00BF3462">
              <w:t>30,048</w:t>
            </w:r>
          </w:p>
        </w:tc>
      </w:tr>
      <w:tr w:rsidR="00C8491F" w:rsidRPr="00536CA0" w:rsidTr="00C8491F">
        <w:tc>
          <w:tcPr>
            <w:tcW w:w="1379" w:type="pct"/>
            <w:shd w:val="clear" w:color="auto" w:fill="auto"/>
            <w:vAlign w:val="center"/>
          </w:tcPr>
          <w:p w:rsidR="00C8491F" w:rsidRPr="00536CA0" w:rsidRDefault="00C8491F" w:rsidP="00791EC7">
            <w:pPr>
              <w:pStyle w:val="Tabletext"/>
            </w:pPr>
            <w:r>
              <w:t>Total MBS costs (at $19.60 per test)</w:t>
            </w:r>
          </w:p>
        </w:tc>
        <w:tc>
          <w:tcPr>
            <w:tcW w:w="713" w:type="pct"/>
            <w:shd w:val="clear" w:color="auto" w:fill="auto"/>
          </w:tcPr>
          <w:p w:rsidR="00C8491F" w:rsidRPr="00BF3462" w:rsidRDefault="00C8491F" w:rsidP="00C8491F">
            <w:pPr>
              <w:pStyle w:val="Tabletext"/>
            </w:pPr>
            <w:r w:rsidRPr="00BF3462">
              <w:t>$581,580</w:t>
            </w:r>
          </w:p>
        </w:tc>
        <w:tc>
          <w:tcPr>
            <w:tcW w:w="729" w:type="pct"/>
            <w:shd w:val="clear" w:color="auto" w:fill="auto"/>
          </w:tcPr>
          <w:p w:rsidR="00C8491F" w:rsidRPr="00BF3462" w:rsidRDefault="00C8491F" w:rsidP="00C8491F">
            <w:pPr>
              <w:pStyle w:val="Tabletext"/>
            </w:pPr>
            <w:r w:rsidRPr="00BF3462">
              <w:t>$583,419</w:t>
            </w:r>
          </w:p>
        </w:tc>
        <w:tc>
          <w:tcPr>
            <w:tcW w:w="724" w:type="pct"/>
            <w:shd w:val="clear" w:color="auto" w:fill="auto"/>
          </w:tcPr>
          <w:p w:rsidR="00C8491F" w:rsidRPr="00BF3462" w:rsidRDefault="00C8491F" w:rsidP="00C8491F">
            <w:pPr>
              <w:pStyle w:val="Tabletext"/>
            </w:pPr>
            <w:r w:rsidRPr="00BF3462">
              <w:t>$585,258</w:t>
            </w:r>
          </w:p>
        </w:tc>
        <w:tc>
          <w:tcPr>
            <w:tcW w:w="727" w:type="pct"/>
            <w:shd w:val="clear" w:color="auto" w:fill="auto"/>
          </w:tcPr>
          <w:p w:rsidR="00C8491F" w:rsidRPr="00BF3462" w:rsidRDefault="00C8491F" w:rsidP="00C8491F">
            <w:pPr>
              <w:pStyle w:val="Tabletext"/>
            </w:pPr>
            <w:r w:rsidRPr="00BF3462">
              <w:t>$587,098</w:t>
            </w:r>
          </w:p>
        </w:tc>
        <w:tc>
          <w:tcPr>
            <w:tcW w:w="728" w:type="pct"/>
            <w:shd w:val="clear" w:color="auto" w:fill="auto"/>
          </w:tcPr>
          <w:p w:rsidR="00C8491F" w:rsidRPr="00BF3462" w:rsidRDefault="00C8491F" w:rsidP="00C8491F">
            <w:pPr>
              <w:pStyle w:val="Tabletext"/>
            </w:pPr>
            <w:r w:rsidRPr="00BF3462">
              <w:t>$588,937</w:t>
            </w:r>
          </w:p>
        </w:tc>
      </w:tr>
      <w:tr w:rsidR="00C8491F" w:rsidRPr="00536CA0" w:rsidTr="00C8491F">
        <w:tc>
          <w:tcPr>
            <w:tcW w:w="1379" w:type="pct"/>
            <w:shd w:val="clear" w:color="auto" w:fill="auto"/>
            <w:vAlign w:val="center"/>
          </w:tcPr>
          <w:p w:rsidR="00C8491F" w:rsidRPr="00B57E5C" w:rsidRDefault="00C8491F" w:rsidP="00791EC7">
            <w:pPr>
              <w:pStyle w:val="Tabletext"/>
            </w:pPr>
            <w:r>
              <w:t>Total benefits (at 85% benefit)</w:t>
            </w:r>
          </w:p>
        </w:tc>
        <w:tc>
          <w:tcPr>
            <w:tcW w:w="713" w:type="pct"/>
            <w:shd w:val="clear" w:color="auto" w:fill="auto"/>
          </w:tcPr>
          <w:p w:rsidR="00C8491F" w:rsidRPr="00BF3462" w:rsidRDefault="00C8491F" w:rsidP="00C8491F">
            <w:pPr>
              <w:pStyle w:val="Tabletext"/>
            </w:pPr>
            <w:r w:rsidRPr="00BF3462">
              <w:t>$495,530</w:t>
            </w:r>
          </w:p>
        </w:tc>
        <w:tc>
          <w:tcPr>
            <w:tcW w:w="729" w:type="pct"/>
            <w:shd w:val="clear" w:color="auto" w:fill="auto"/>
          </w:tcPr>
          <w:p w:rsidR="00C8491F" w:rsidRPr="00BF3462" w:rsidRDefault="00C8491F" w:rsidP="00C8491F">
            <w:pPr>
              <w:pStyle w:val="Tabletext"/>
            </w:pPr>
            <w:r w:rsidRPr="00BF3462">
              <w:t>$497,097</w:t>
            </w:r>
          </w:p>
        </w:tc>
        <w:tc>
          <w:tcPr>
            <w:tcW w:w="724" w:type="pct"/>
            <w:shd w:val="clear" w:color="auto" w:fill="auto"/>
          </w:tcPr>
          <w:p w:rsidR="00C8491F" w:rsidRPr="00BF3462" w:rsidRDefault="00C8491F" w:rsidP="00C8491F">
            <w:pPr>
              <w:pStyle w:val="Tabletext"/>
            </w:pPr>
            <w:r w:rsidRPr="00BF3462">
              <w:t>$498,664</w:t>
            </w:r>
          </w:p>
        </w:tc>
        <w:tc>
          <w:tcPr>
            <w:tcW w:w="727" w:type="pct"/>
            <w:shd w:val="clear" w:color="auto" w:fill="auto"/>
          </w:tcPr>
          <w:p w:rsidR="00C8491F" w:rsidRPr="00BF3462" w:rsidRDefault="00C8491F" w:rsidP="00C8491F">
            <w:pPr>
              <w:pStyle w:val="Tabletext"/>
            </w:pPr>
            <w:r w:rsidRPr="00BF3462">
              <w:t>$500,231</w:t>
            </w:r>
          </w:p>
        </w:tc>
        <w:tc>
          <w:tcPr>
            <w:tcW w:w="728" w:type="pct"/>
            <w:shd w:val="clear" w:color="auto" w:fill="auto"/>
          </w:tcPr>
          <w:p w:rsidR="00C8491F" w:rsidRDefault="00C8491F" w:rsidP="00C8491F">
            <w:pPr>
              <w:pStyle w:val="Tabletext"/>
            </w:pPr>
            <w:r w:rsidRPr="00BF3462">
              <w:t>$501,798</w:t>
            </w:r>
          </w:p>
        </w:tc>
      </w:tr>
      <w:tr w:rsidR="006F00EE" w:rsidRPr="00536CA0" w:rsidTr="006F00EE">
        <w:tc>
          <w:tcPr>
            <w:tcW w:w="5000" w:type="pct"/>
            <w:gridSpan w:val="6"/>
            <w:shd w:val="clear" w:color="auto" w:fill="auto"/>
            <w:vAlign w:val="center"/>
          </w:tcPr>
          <w:p w:rsidR="006F00EE" w:rsidRPr="006F00EE" w:rsidRDefault="006F00EE" w:rsidP="00791EC7">
            <w:pPr>
              <w:pStyle w:val="Tabletext"/>
              <w:rPr>
                <w:b/>
              </w:rPr>
            </w:pPr>
            <w:r w:rsidRPr="006F00EE">
              <w:rPr>
                <w:b/>
              </w:rPr>
              <w:t>Conventional cytology services due to follow-up tests after a positive result</w:t>
            </w:r>
          </w:p>
        </w:tc>
      </w:tr>
      <w:tr w:rsidR="00C8491F" w:rsidRPr="00536CA0" w:rsidTr="00C8491F">
        <w:tc>
          <w:tcPr>
            <w:tcW w:w="1379" w:type="pct"/>
            <w:shd w:val="clear" w:color="auto" w:fill="auto"/>
            <w:vAlign w:val="center"/>
          </w:tcPr>
          <w:p w:rsidR="00C8491F" w:rsidRPr="00536CA0" w:rsidRDefault="00C8491F" w:rsidP="00791EC7">
            <w:pPr>
              <w:pStyle w:val="Tabletext"/>
            </w:pPr>
            <w:r>
              <w:t>Services</w:t>
            </w:r>
          </w:p>
        </w:tc>
        <w:tc>
          <w:tcPr>
            <w:tcW w:w="713" w:type="pct"/>
            <w:shd w:val="clear" w:color="auto" w:fill="auto"/>
          </w:tcPr>
          <w:p w:rsidR="00C8491F" w:rsidRPr="003466E9" w:rsidRDefault="00C8491F" w:rsidP="00C8491F">
            <w:pPr>
              <w:pStyle w:val="Tabletext"/>
            </w:pPr>
            <w:r w:rsidRPr="003466E9">
              <w:t>41,671</w:t>
            </w:r>
          </w:p>
        </w:tc>
        <w:tc>
          <w:tcPr>
            <w:tcW w:w="729" w:type="pct"/>
            <w:shd w:val="clear" w:color="auto" w:fill="auto"/>
          </w:tcPr>
          <w:p w:rsidR="00C8491F" w:rsidRPr="003466E9" w:rsidRDefault="00C8491F" w:rsidP="00C8491F">
            <w:pPr>
              <w:pStyle w:val="Tabletext"/>
            </w:pPr>
            <w:r w:rsidRPr="003466E9">
              <w:t>41,803</w:t>
            </w:r>
          </w:p>
        </w:tc>
        <w:tc>
          <w:tcPr>
            <w:tcW w:w="724" w:type="pct"/>
            <w:shd w:val="clear" w:color="auto" w:fill="auto"/>
          </w:tcPr>
          <w:p w:rsidR="00C8491F" w:rsidRPr="003466E9" w:rsidRDefault="00C8491F" w:rsidP="00C8491F">
            <w:pPr>
              <w:pStyle w:val="Tabletext"/>
            </w:pPr>
            <w:r w:rsidRPr="003466E9">
              <w:t>41,934</w:t>
            </w:r>
          </w:p>
        </w:tc>
        <w:tc>
          <w:tcPr>
            <w:tcW w:w="727" w:type="pct"/>
            <w:shd w:val="clear" w:color="auto" w:fill="auto"/>
          </w:tcPr>
          <w:p w:rsidR="00C8491F" w:rsidRPr="003466E9" w:rsidRDefault="00C8491F" w:rsidP="00C8491F">
            <w:pPr>
              <w:pStyle w:val="Tabletext"/>
            </w:pPr>
            <w:r w:rsidRPr="003466E9">
              <w:t>42,066</w:t>
            </w:r>
          </w:p>
        </w:tc>
        <w:tc>
          <w:tcPr>
            <w:tcW w:w="728" w:type="pct"/>
            <w:shd w:val="clear" w:color="auto" w:fill="auto"/>
          </w:tcPr>
          <w:p w:rsidR="00C8491F" w:rsidRPr="003466E9" w:rsidRDefault="00C8491F" w:rsidP="00C8491F">
            <w:pPr>
              <w:pStyle w:val="Tabletext"/>
            </w:pPr>
            <w:r w:rsidRPr="003466E9">
              <w:t>42,198</w:t>
            </w:r>
          </w:p>
        </w:tc>
      </w:tr>
      <w:tr w:rsidR="00C8491F" w:rsidRPr="00536CA0" w:rsidTr="00C8491F">
        <w:tc>
          <w:tcPr>
            <w:tcW w:w="1379" w:type="pct"/>
            <w:shd w:val="clear" w:color="auto" w:fill="auto"/>
            <w:vAlign w:val="center"/>
          </w:tcPr>
          <w:p w:rsidR="00C8491F" w:rsidRPr="00536CA0" w:rsidRDefault="00C8491F" w:rsidP="00791EC7">
            <w:pPr>
              <w:pStyle w:val="Tabletext"/>
            </w:pPr>
            <w:r>
              <w:t>Total MBS costs (at $19.60 per test)</w:t>
            </w:r>
          </w:p>
        </w:tc>
        <w:tc>
          <w:tcPr>
            <w:tcW w:w="713" w:type="pct"/>
            <w:shd w:val="clear" w:color="auto" w:fill="auto"/>
          </w:tcPr>
          <w:p w:rsidR="00C8491F" w:rsidRPr="003466E9" w:rsidRDefault="00C8491F" w:rsidP="00C8491F">
            <w:pPr>
              <w:pStyle w:val="Tabletext"/>
            </w:pPr>
            <w:r w:rsidRPr="003466E9">
              <w:t>$816,749</w:t>
            </w:r>
          </w:p>
        </w:tc>
        <w:tc>
          <w:tcPr>
            <w:tcW w:w="729" w:type="pct"/>
            <w:shd w:val="clear" w:color="auto" w:fill="auto"/>
          </w:tcPr>
          <w:p w:rsidR="00C8491F" w:rsidRPr="003466E9" w:rsidRDefault="00C8491F" w:rsidP="00C8491F">
            <w:pPr>
              <w:pStyle w:val="Tabletext"/>
            </w:pPr>
            <w:r w:rsidRPr="003466E9">
              <w:t>$819,332</w:t>
            </w:r>
          </w:p>
        </w:tc>
        <w:tc>
          <w:tcPr>
            <w:tcW w:w="724" w:type="pct"/>
            <w:shd w:val="clear" w:color="auto" w:fill="auto"/>
          </w:tcPr>
          <w:p w:rsidR="00C8491F" w:rsidRPr="003466E9" w:rsidRDefault="00C8491F" w:rsidP="00C8491F">
            <w:pPr>
              <w:pStyle w:val="Tabletext"/>
            </w:pPr>
            <w:r w:rsidRPr="003466E9">
              <w:t>$821,915</w:t>
            </w:r>
          </w:p>
        </w:tc>
        <w:tc>
          <w:tcPr>
            <w:tcW w:w="727" w:type="pct"/>
            <w:shd w:val="clear" w:color="auto" w:fill="auto"/>
          </w:tcPr>
          <w:p w:rsidR="00C8491F" w:rsidRPr="003466E9" w:rsidRDefault="00C8491F" w:rsidP="00C8491F">
            <w:pPr>
              <w:pStyle w:val="Tabletext"/>
            </w:pPr>
            <w:r w:rsidRPr="003466E9">
              <w:t>$824,498</w:t>
            </w:r>
          </w:p>
        </w:tc>
        <w:tc>
          <w:tcPr>
            <w:tcW w:w="728" w:type="pct"/>
            <w:shd w:val="clear" w:color="auto" w:fill="auto"/>
          </w:tcPr>
          <w:p w:rsidR="00C8491F" w:rsidRPr="003466E9" w:rsidRDefault="00C8491F" w:rsidP="00C8491F">
            <w:pPr>
              <w:pStyle w:val="Tabletext"/>
            </w:pPr>
            <w:r w:rsidRPr="003466E9">
              <w:t>$827,081</w:t>
            </w:r>
          </w:p>
        </w:tc>
      </w:tr>
      <w:tr w:rsidR="00C8491F" w:rsidRPr="00536CA0" w:rsidTr="00C8491F">
        <w:tc>
          <w:tcPr>
            <w:tcW w:w="1379" w:type="pct"/>
            <w:shd w:val="clear" w:color="auto" w:fill="auto"/>
            <w:vAlign w:val="center"/>
          </w:tcPr>
          <w:p w:rsidR="00C8491F" w:rsidRPr="00B57E5C" w:rsidRDefault="00C8491F" w:rsidP="00791EC7">
            <w:pPr>
              <w:pStyle w:val="Tabletext"/>
            </w:pPr>
            <w:r>
              <w:t>Total benefits (at 85% benefit)</w:t>
            </w:r>
          </w:p>
        </w:tc>
        <w:tc>
          <w:tcPr>
            <w:tcW w:w="713" w:type="pct"/>
            <w:shd w:val="clear" w:color="auto" w:fill="auto"/>
          </w:tcPr>
          <w:p w:rsidR="00C8491F" w:rsidRPr="003466E9" w:rsidRDefault="00C8491F" w:rsidP="00C8491F">
            <w:pPr>
              <w:pStyle w:val="Tabletext"/>
            </w:pPr>
            <w:r w:rsidRPr="003466E9">
              <w:t>$695,903</w:t>
            </w:r>
          </w:p>
        </w:tc>
        <w:tc>
          <w:tcPr>
            <w:tcW w:w="729" w:type="pct"/>
            <w:shd w:val="clear" w:color="auto" w:fill="auto"/>
          </w:tcPr>
          <w:p w:rsidR="00C8491F" w:rsidRPr="003466E9" w:rsidRDefault="00C8491F" w:rsidP="00C8491F">
            <w:pPr>
              <w:pStyle w:val="Tabletext"/>
            </w:pPr>
            <w:r w:rsidRPr="003466E9">
              <w:t>$698,104</w:t>
            </w:r>
          </w:p>
        </w:tc>
        <w:tc>
          <w:tcPr>
            <w:tcW w:w="724" w:type="pct"/>
            <w:shd w:val="clear" w:color="auto" w:fill="auto"/>
          </w:tcPr>
          <w:p w:rsidR="00C8491F" w:rsidRPr="003466E9" w:rsidRDefault="00C8491F" w:rsidP="00C8491F">
            <w:pPr>
              <w:pStyle w:val="Tabletext"/>
            </w:pPr>
            <w:r w:rsidRPr="003466E9">
              <w:t>$700,305</w:t>
            </w:r>
          </w:p>
        </w:tc>
        <w:tc>
          <w:tcPr>
            <w:tcW w:w="727" w:type="pct"/>
            <w:shd w:val="clear" w:color="auto" w:fill="auto"/>
          </w:tcPr>
          <w:p w:rsidR="00C8491F" w:rsidRPr="003466E9" w:rsidRDefault="00C8491F" w:rsidP="00C8491F">
            <w:pPr>
              <w:pStyle w:val="Tabletext"/>
            </w:pPr>
            <w:r w:rsidRPr="003466E9">
              <w:t>$702,506</w:t>
            </w:r>
          </w:p>
        </w:tc>
        <w:tc>
          <w:tcPr>
            <w:tcW w:w="728" w:type="pct"/>
            <w:shd w:val="clear" w:color="auto" w:fill="auto"/>
          </w:tcPr>
          <w:p w:rsidR="00C8491F" w:rsidRDefault="00C8491F" w:rsidP="00C8491F">
            <w:pPr>
              <w:pStyle w:val="Tabletext"/>
            </w:pPr>
            <w:r w:rsidRPr="003466E9">
              <w:t>$704,707</w:t>
            </w:r>
          </w:p>
        </w:tc>
      </w:tr>
      <w:tr w:rsidR="006F00EE" w:rsidRPr="00536CA0" w:rsidTr="006F00EE">
        <w:tc>
          <w:tcPr>
            <w:tcW w:w="5000" w:type="pct"/>
            <w:gridSpan w:val="6"/>
            <w:shd w:val="clear" w:color="auto" w:fill="auto"/>
            <w:vAlign w:val="bottom"/>
          </w:tcPr>
          <w:p w:rsidR="006F00EE" w:rsidRPr="006F00EE" w:rsidRDefault="006F00EE" w:rsidP="00791EC7">
            <w:pPr>
              <w:pStyle w:val="Tabletext"/>
              <w:rPr>
                <w:b/>
              </w:rPr>
            </w:pPr>
            <w:r w:rsidRPr="006F00EE">
              <w:rPr>
                <w:b/>
              </w:rPr>
              <w:t>Conventional cytology services due to other follow-up investigations</w:t>
            </w:r>
          </w:p>
        </w:tc>
      </w:tr>
      <w:tr w:rsidR="00C8491F" w:rsidRPr="00536CA0" w:rsidTr="00C8491F">
        <w:tc>
          <w:tcPr>
            <w:tcW w:w="1379" w:type="pct"/>
            <w:shd w:val="clear" w:color="auto" w:fill="auto"/>
            <w:vAlign w:val="center"/>
          </w:tcPr>
          <w:p w:rsidR="00C8491F" w:rsidRPr="00536CA0" w:rsidRDefault="00C8491F" w:rsidP="00791EC7">
            <w:pPr>
              <w:pStyle w:val="Tabletext"/>
            </w:pPr>
            <w:r>
              <w:t>Services</w:t>
            </w:r>
          </w:p>
        </w:tc>
        <w:tc>
          <w:tcPr>
            <w:tcW w:w="713" w:type="pct"/>
            <w:shd w:val="clear" w:color="auto" w:fill="auto"/>
          </w:tcPr>
          <w:p w:rsidR="00C8491F" w:rsidRPr="003427C7" w:rsidRDefault="00C8491F" w:rsidP="00C8491F">
            <w:pPr>
              <w:pStyle w:val="Tabletext"/>
            </w:pPr>
            <w:r w:rsidRPr="003427C7">
              <w:t>230,441</w:t>
            </w:r>
          </w:p>
        </w:tc>
        <w:tc>
          <w:tcPr>
            <w:tcW w:w="729" w:type="pct"/>
            <w:shd w:val="clear" w:color="auto" w:fill="auto"/>
          </w:tcPr>
          <w:p w:rsidR="00C8491F" w:rsidRPr="003427C7" w:rsidRDefault="00C8491F" w:rsidP="00C8491F">
            <w:pPr>
              <w:pStyle w:val="Tabletext"/>
            </w:pPr>
            <w:r w:rsidRPr="003427C7">
              <w:t>230,213</w:t>
            </w:r>
          </w:p>
        </w:tc>
        <w:tc>
          <w:tcPr>
            <w:tcW w:w="724" w:type="pct"/>
            <w:shd w:val="clear" w:color="auto" w:fill="auto"/>
          </w:tcPr>
          <w:p w:rsidR="00C8491F" w:rsidRPr="003427C7" w:rsidRDefault="00C8491F" w:rsidP="00C8491F">
            <w:pPr>
              <w:pStyle w:val="Tabletext"/>
            </w:pPr>
            <w:r w:rsidRPr="003427C7">
              <w:t>229,986</w:t>
            </w:r>
          </w:p>
        </w:tc>
        <w:tc>
          <w:tcPr>
            <w:tcW w:w="727" w:type="pct"/>
            <w:shd w:val="clear" w:color="auto" w:fill="auto"/>
          </w:tcPr>
          <w:p w:rsidR="00C8491F" w:rsidRPr="003427C7" w:rsidRDefault="00C8491F" w:rsidP="00C8491F">
            <w:pPr>
              <w:pStyle w:val="Tabletext"/>
            </w:pPr>
            <w:r w:rsidRPr="003427C7">
              <w:t>229,758</w:t>
            </w:r>
          </w:p>
        </w:tc>
        <w:tc>
          <w:tcPr>
            <w:tcW w:w="728" w:type="pct"/>
            <w:shd w:val="clear" w:color="auto" w:fill="auto"/>
          </w:tcPr>
          <w:p w:rsidR="00C8491F" w:rsidRPr="003427C7" w:rsidRDefault="00C8491F" w:rsidP="00C8491F">
            <w:pPr>
              <w:pStyle w:val="Tabletext"/>
            </w:pPr>
            <w:r w:rsidRPr="003427C7">
              <w:t>229,530</w:t>
            </w:r>
          </w:p>
        </w:tc>
      </w:tr>
      <w:tr w:rsidR="00C8491F" w:rsidRPr="00536CA0" w:rsidTr="00C8491F">
        <w:tc>
          <w:tcPr>
            <w:tcW w:w="1379" w:type="pct"/>
            <w:shd w:val="clear" w:color="auto" w:fill="auto"/>
            <w:vAlign w:val="center"/>
          </w:tcPr>
          <w:p w:rsidR="00C8491F" w:rsidRPr="00536CA0" w:rsidRDefault="00C8491F" w:rsidP="00791EC7">
            <w:pPr>
              <w:pStyle w:val="Tabletext"/>
            </w:pPr>
            <w:r>
              <w:t>Total MBS costs (at $19.60 per test)</w:t>
            </w:r>
          </w:p>
        </w:tc>
        <w:tc>
          <w:tcPr>
            <w:tcW w:w="713" w:type="pct"/>
            <w:shd w:val="clear" w:color="auto" w:fill="auto"/>
          </w:tcPr>
          <w:p w:rsidR="00C8491F" w:rsidRPr="003427C7" w:rsidRDefault="00C8491F" w:rsidP="00C8491F">
            <w:pPr>
              <w:pStyle w:val="Tabletext"/>
            </w:pPr>
            <w:r w:rsidRPr="003427C7">
              <w:t>$4,516,646</w:t>
            </w:r>
          </w:p>
        </w:tc>
        <w:tc>
          <w:tcPr>
            <w:tcW w:w="729" w:type="pct"/>
            <w:shd w:val="clear" w:color="auto" w:fill="auto"/>
          </w:tcPr>
          <w:p w:rsidR="00C8491F" w:rsidRPr="003427C7" w:rsidRDefault="00C8491F" w:rsidP="00C8491F">
            <w:pPr>
              <w:pStyle w:val="Tabletext"/>
            </w:pPr>
            <w:r w:rsidRPr="003427C7">
              <w:t>$4,512,182</w:t>
            </w:r>
          </w:p>
        </w:tc>
        <w:tc>
          <w:tcPr>
            <w:tcW w:w="724" w:type="pct"/>
            <w:shd w:val="clear" w:color="auto" w:fill="auto"/>
          </w:tcPr>
          <w:p w:rsidR="00C8491F" w:rsidRPr="003427C7" w:rsidRDefault="00C8491F" w:rsidP="00C8491F">
            <w:pPr>
              <w:pStyle w:val="Tabletext"/>
            </w:pPr>
            <w:r w:rsidRPr="003427C7">
              <w:t>$4,507,717</w:t>
            </w:r>
          </w:p>
        </w:tc>
        <w:tc>
          <w:tcPr>
            <w:tcW w:w="727" w:type="pct"/>
            <w:shd w:val="clear" w:color="auto" w:fill="auto"/>
          </w:tcPr>
          <w:p w:rsidR="00C8491F" w:rsidRPr="003427C7" w:rsidRDefault="00C8491F" w:rsidP="00C8491F">
            <w:pPr>
              <w:pStyle w:val="Tabletext"/>
            </w:pPr>
            <w:r w:rsidRPr="003427C7">
              <w:t>$4,503,252</w:t>
            </w:r>
          </w:p>
        </w:tc>
        <w:tc>
          <w:tcPr>
            <w:tcW w:w="728" w:type="pct"/>
            <w:shd w:val="clear" w:color="auto" w:fill="auto"/>
          </w:tcPr>
          <w:p w:rsidR="00C8491F" w:rsidRPr="003427C7" w:rsidRDefault="00C8491F" w:rsidP="00C8491F">
            <w:pPr>
              <w:pStyle w:val="Tabletext"/>
            </w:pPr>
            <w:r w:rsidRPr="003427C7">
              <w:t>$4,498,788</w:t>
            </w:r>
          </w:p>
        </w:tc>
      </w:tr>
      <w:tr w:rsidR="00C8491F" w:rsidRPr="00536CA0" w:rsidTr="00C8491F">
        <w:tc>
          <w:tcPr>
            <w:tcW w:w="1379" w:type="pct"/>
            <w:shd w:val="clear" w:color="auto" w:fill="auto"/>
            <w:vAlign w:val="center"/>
          </w:tcPr>
          <w:p w:rsidR="00C8491F" w:rsidRPr="00B57E5C" w:rsidRDefault="00C8491F" w:rsidP="00791EC7">
            <w:pPr>
              <w:pStyle w:val="Tabletext"/>
            </w:pPr>
            <w:r>
              <w:t>Total benefits (at 85% benefit)</w:t>
            </w:r>
          </w:p>
        </w:tc>
        <w:tc>
          <w:tcPr>
            <w:tcW w:w="713" w:type="pct"/>
            <w:shd w:val="clear" w:color="auto" w:fill="auto"/>
          </w:tcPr>
          <w:p w:rsidR="00C8491F" w:rsidRPr="003427C7" w:rsidRDefault="00C8491F" w:rsidP="00C8491F">
            <w:pPr>
              <w:pStyle w:val="Tabletext"/>
            </w:pPr>
            <w:r w:rsidRPr="003427C7">
              <w:t>$3,848,367</w:t>
            </w:r>
          </w:p>
        </w:tc>
        <w:tc>
          <w:tcPr>
            <w:tcW w:w="729" w:type="pct"/>
            <w:shd w:val="clear" w:color="auto" w:fill="auto"/>
          </w:tcPr>
          <w:p w:rsidR="00C8491F" w:rsidRPr="003427C7" w:rsidRDefault="00C8491F" w:rsidP="00C8491F">
            <w:pPr>
              <w:pStyle w:val="Tabletext"/>
            </w:pPr>
            <w:r w:rsidRPr="003427C7">
              <w:t>$3,844,563</w:t>
            </w:r>
          </w:p>
        </w:tc>
        <w:tc>
          <w:tcPr>
            <w:tcW w:w="724" w:type="pct"/>
            <w:shd w:val="clear" w:color="auto" w:fill="auto"/>
          </w:tcPr>
          <w:p w:rsidR="00C8491F" w:rsidRPr="003427C7" w:rsidRDefault="00C8491F" w:rsidP="00C8491F">
            <w:pPr>
              <w:pStyle w:val="Tabletext"/>
            </w:pPr>
            <w:r w:rsidRPr="003427C7">
              <w:t>$3,840,759</w:t>
            </w:r>
          </w:p>
        </w:tc>
        <w:tc>
          <w:tcPr>
            <w:tcW w:w="727" w:type="pct"/>
            <w:shd w:val="clear" w:color="auto" w:fill="auto"/>
          </w:tcPr>
          <w:p w:rsidR="00C8491F" w:rsidRPr="003427C7" w:rsidRDefault="00C8491F" w:rsidP="00C8491F">
            <w:pPr>
              <w:pStyle w:val="Tabletext"/>
            </w:pPr>
            <w:r w:rsidRPr="003427C7">
              <w:t>$3,836,955</w:t>
            </w:r>
          </w:p>
        </w:tc>
        <w:tc>
          <w:tcPr>
            <w:tcW w:w="728" w:type="pct"/>
            <w:shd w:val="clear" w:color="auto" w:fill="auto"/>
          </w:tcPr>
          <w:p w:rsidR="00C8491F" w:rsidRDefault="00C8491F" w:rsidP="00C8491F">
            <w:pPr>
              <w:pStyle w:val="Tabletext"/>
            </w:pPr>
            <w:r w:rsidRPr="003427C7">
              <w:t>$3,833,151</w:t>
            </w:r>
          </w:p>
        </w:tc>
      </w:tr>
      <w:tr w:rsidR="006F00EE" w:rsidRPr="00536CA0" w:rsidTr="006F00EE">
        <w:tc>
          <w:tcPr>
            <w:tcW w:w="5000" w:type="pct"/>
            <w:gridSpan w:val="6"/>
            <w:shd w:val="clear" w:color="auto" w:fill="auto"/>
            <w:vAlign w:val="bottom"/>
          </w:tcPr>
          <w:p w:rsidR="006F00EE" w:rsidRPr="006F00EE" w:rsidRDefault="006F00EE" w:rsidP="00791EC7">
            <w:pPr>
              <w:pStyle w:val="Tabletext"/>
              <w:rPr>
                <w:b/>
              </w:rPr>
            </w:pPr>
            <w:r w:rsidRPr="006F00EE">
              <w:rPr>
                <w:b/>
              </w:rPr>
              <w:t>Total–conventional cytology</w:t>
            </w:r>
          </w:p>
        </w:tc>
      </w:tr>
      <w:tr w:rsidR="00C8491F" w:rsidRPr="00536CA0" w:rsidTr="00C8491F">
        <w:tc>
          <w:tcPr>
            <w:tcW w:w="1379" w:type="pct"/>
            <w:shd w:val="clear" w:color="auto" w:fill="auto"/>
            <w:vAlign w:val="center"/>
          </w:tcPr>
          <w:p w:rsidR="00C8491F" w:rsidRPr="00536CA0" w:rsidRDefault="00C8491F" w:rsidP="00791EC7">
            <w:pPr>
              <w:pStyle w:val="Tabletext"/>
            </w:pPr>
            <w:r>
              <w:t>Services</w:t>
            </w:r>
          </w:p>
        </w:tc>
        <w:tc>
          <w:tcPr>
            <w:tcW w:w="713" w:type="pct"/>
            <w:shd w:val="clear" w:color="auto" w:fill="auto"/>
          </w:tcPr>
          <w:p w:rsidR="00C8491F" w:rsidRPr="00B13F0B" w:rsidRDefault="00C8491F" w:rsidP="00C8491F">
            <w:pPr>
              <w:pStyle w:val="Tabletext"/>
            </w:pPr>
            <w:r w:rsidRPr="00B13F0B">
              <w:t>1,698,776</w:t>
            </w:r>
          </w:p>
        </w:tc>
        <w:tc>
          <w:tcPr>
            <w:tcW w:w="729" w:type="pct"/>
            <w:shd w:val="clear" w:color="auto" w:fill="auto"/>
          </w:tcPr>
          <w:p w:rsidR="00C8491F" w:rsidRPr="00B13F0B" w:rsidRDefault="00C8491F" w:rsidP="00C8491F">
            <w:pPr>
              <w:pStyle w:val="Tabletext"/>
            </w:pPr>
            <w:r w:rsidRPr="00B13F0B">
              <w:t>1,703,192</w:t>
            </w:r>
          </w:p>
        </w:tc>
        <w:tc>
          <w:tcPr>
            <w:tcW w:w="724" w:type="pct"/>
            <w:shd w:val="clear" w:color="auto" w:fill="auto"/>
          </w:tcPr>
          <w:p w:rsidR="00C8491F" w:rsidRPr="00B13F0B" w:rsidRDefault="00C8491F" w:rsidP="00C8491F">
            <w:pPr>
              <w:pStyle w:val="Tabletext"/>
            </w:pPr>
            <w:r w:rsidRPr="00B13F0B">
              <w:t>1,707,608</w:t>
            </w:r>
          </w:p>
        </w:tc>
        <w:tc>
          <w:tcPr>
            <w:tcW w:w="727" w:type="pct"/>
            <w:shd w:val="clear" w:color="auto" w:fill="auto"/>
          </w:tcPr>
          <w:p w:rsidR="00C8491F" w:rsidRPr="00B13F0B" w:rsidRDefault="00C8491F" w:rsidP="00C8491F">
            <w:pPr>
              <w:pStyle w:val="Tabletext"/>
            </w:pPr>
            <w:r w:rsidRPr="00B13F0B">
              <w:t>1,712,024</w:t>
            </w:r>
          </w:p>
        </w:tc>
        <w:tc>
          <w:tcPr>
            <w:tcW w:w="728" w:type="pct"/>
            <w:shd w:val="clear" w:color="auto" w:fill="auto"/>
          </w:tcPr>
          <w:p w:rsidR="00C8491F" w:rsidRPr="00B13F0B" w:rsidRDefault="00C8491F" w:rsidP="00C8491F">
            <w:pPr>
              <w:pStyle w:val="Tabletext"/>
            </w:pPr>
            <w:r w:rsidRPr="00B13F0B">
              <w:t>1,716,440</w:t>
            </w:r>
          </w:p>
        </w:tc>
      </w:tr>
      <w:tr w:rsidR="00C8491F" w:rsidRPr="00536CA0" w:rsidTr="00C8491F">
        <w:tc>
          <w:tcPr>
            <w:tcW w:w="1379" w:type="pct"/>
            <w:shd w:val="clear" w:color="auto" w:fill="auto"/>
            <w:vAlign w:val="center"/>
          </w:tcPr>
          <w:p w:rsidR="00C8491F" w:rsidRPr="00536CA0" w:rsidRDefault="00C8491F" w:rsidP="00791EC7">
            <w:pPr>
              <w:pStyle w:val="Tabletext"/>
            </w:pPr>
            <w:r>
              <w:t>Total MBS costs (at $19.60 per test)</w:t>
            </w:r>
          </w:p>
        </w:tc>
        <w:tc>
          <w:tcPr>
            <w:tcW w:w="713" w:type="pct"/>
            <w:shd w:val="clear" w:color="auto" w:fill="auto"/>
          </w:tcPr>
          <w:p w:rsidR="00C8491F" w:rsidRPr="00B13F0B" w:rsidRDefault="00C8491F" w:rsidP="00C8491F">
            <w:pPr>
              <w:pStyle w:val="Tabletext"/>
            </w:pPr>
            <w:r w:rsidRPr="00B13F0B">
              <w:t>$33,296,010</w:t>
            </w:r>
          </w:p>
        </w:tc>
        <w:tc>
          <w:tcPr>
            <w:tcW w:w="729" w:type="pct"/>
            <w:shd w:val="clear" w:color="auto" w:fill="auto"/>
          </w:tcPr>
          <w:p w:rsidR="00C8491F" w:rsidRPr="00B13F0B" w:rsidRDefault="00C8491F" w:rsidP="00C8491F">
            <w:pPr>
              <w:pStyle w:val="Tabletext"/>
            </w:pPr>
            <w:r w:rsidRPr="00B13F0B">
              <w:t>$33,382,563</w:t>
            </w:r>
          </w:p>
        </w:tc>
        <w:tc>
          <w:tcPr>
            <w:tcW w:w="724" w:type="pct"/>
            <w:shd w:val="clear" w:color="auto" w:fill="auto"/>
          </w:tcPr>
          <w:p w:rsidR="00C8491F" w:rsidRPr="00B13F0B" w:rsidRDefault="00C8491F" w:rsidP="00C8491F">
            <w:pPr>
              <w:pStyle w:val="Tabletext"/>
            </w:pPr>
            <w:r w:rsidRPr="00B13F0B">
              <w:t>$33,469,117</w:t>
            </w:r>
          </w:p>
        </w:tc>
        <w:tc>
          <w:tcPr>
            <w:tcW w:w="727" w:type="pct"/>
            <w:shd w:val="clear" w:color="auto" w:fill="auto"/>
          </w:tcPr>
          <w:p w:rsidR="00C8491F" w:rsidRPr="00B13F0B" w:rsidRDefault="00C8491F" w:rsidP="00C8491F">
            <w:pPr>
              <w:pStyle w:val="Tabletext"/>
            </w:pPr>
            <w:r w:rsidRPr="00B13F0B">
              <w:t>$33,555,670</w:t>
            </w:r>
          </w:p>
        </w:tc>
        <w:tc>
          <w:tcPr>
            <w:tcW w:w="728" w:type="pct"/>
            <w:shd w:val="clear" w:color="auto" w:fill="auto"/>
          </w:tcPr>
          <w:p w:rsidR="00C8491F" w:rsidRPr="00B13F0B" w:rsidRDefault="00C8491F" w:rsidP="00C8491F">
            <w:pPr>
              <w:pStyle w:val="Tabletext"/>
            </w:pPr>
            <w:r w:rsidRPr="00B13F0B">
              <w:t>$33,642,224</w:t>
            </w:r>
          </w:p>
        </w:tc>
      </w:tr>
      <w:tr w:rsidR="00C8491F" w:rsidRPr="00536CA0" w:rsidTr="00C8491F">
        <w:tc>
          <w:tcPr>
            <w:tcW w:w="1379" w:type="pct"/>
            <w:shd w:val="clear" w:color="auto" w:fill="auto"/>
            <w:vAlign w:val="center"/>
          </w:tcPr>
          <w:p w:rsidR="00C8491F" w:rsidRPr="00B57E5C" w:rsidRDefault="00C8491F" w:rsidP="00791EC7">
            <w:pPr>
              <w:pStyle w:val="Tabletext"/>
            </w:pPr>
            <w:r>
              <w:t>Total benefits (at 85% benefit)</w:t>
            </w:r>
          </w:p>
        </w:tc>
        <w:tc>
          <w:tcPr>
            <w:tcW w:w="713" w:type="pct"/>
            <w:shd w:val="clear" w:color="auto" w:fill="auto"/>
          </w:tcPr>
          <w:p w:rsidR="00C8491F" w:rsidRPr="00B13F0B" w:rsidRDefault="00C8491F" w:rsidP="00C8491F">
            <w:pPr>
              <w:pStyle w:val="Tabletext"/>
            </w:pPr>
            <w:r w:rsidRPr="00B13F0B">
              <w:t>$28,369,559</w:t>
            </w:r>
          </w:p>
        </w:tc>
        <w:tc>
          <w:tcPr>
            <w:tcW w:w="729" w:type="pct"/>
            <w:shd w:val="clear" w:color="auto" w:fill="auto"/>
          </w:tcPr>
          <w:p w:rsidR="00C8491F" w:rsidRPr="00B13F0B" w:rsidRDefault="00C8491F" w:rsidP="00C8491F">
            <w:pPr>
              <w:pStyle w:val="Tabletext"/>
            </w:pPr>
            <w:r w:rsidRPr="00B13F0B">
              <w:t>$28,443,306</w:t>
            </w:r>
          </w:p>
        </w:tc>
        <w:tc>
          <w:tcPr>
            <w:tcW w:w="724" w:type="pct"/>
            <w:shd w:val="clear" w:color="auto" w:fill="auto"/>
          </w:tcPr>
          <w:p w:rsidR="00C8491F" w:rsidRPr="00B13F0B" w:rsidRDefault="00C8491F" w:rsidP="00C8491F">
            <w:pPr>
              <w:pStyle w:val="Tabletext"/>
            </w:pPr>
            <w:r w:rsidRPr="00B13F0B">
              <w:t>$28,517,054</w:t>
            </w:r>
          </w:p>
        </w:tc>
        <w:tc>
          <w:tcPr>
            <w:tcW w:w="727" w:type="pct"/>
            <w:shd w:val="clear" w:color="auto" w:fill="auto"/>
          </w:tcPr>
          <w:p w:rsidR="00C8491F" w:rsidRPr="00B13F0B" w:rsidRDefault="00C8491F" w:rsidP="00C8491F">
            <w:pPr>
              <w:pStyle w:val="Tabletext"/>
            </w:pPr>
            <w:r w:rsidRPr="00B13F0B">
              <w:t>$28,590,801</w:t>
            </w:r>
          </w:p>
        </w:tc>
        <w:tc>
          <w:tcPr>
            <w:tcW w:w="728" w:type="pct"/>
            <w:shd w:val="clear" w:color="auto" w:fill="auto"/>
          </w:tcPr>
          <w:p w:rsidR="00C8491F" w:rsidRDefault="00C8491F" w:rsidP="00C8491F">
            <w:pPr>
              <w:pStyle w:val="Tabletext"/>
            </w:pPr>
            <w:r w:rsidRPr="00B13F0B">
              <w:t>$28,664,548</w:t>
            </w:r>
          </w:p>
        </w:tc>
      </w:tr>
    </w:tbl>
    <w:p w:rsidR="00C5321C" w:rsidRDefault="00C5321C" w:rsidP="00C5321C"/>
    <w:p w:rsidR="00C5321C" w:rsidRDefault="00C5321C" w:rsidP="00C5321C">
      <w:pPr>
        <w:pStyle w:val="Heading20"/>
      </w:pPr>
      <w:bookmarkStart w:id="628" w:name="_Toc337546932"/>
      <w:r>
        <w:t>E.4</w:t>
      </w:r>
      <w:r>
        <w:tab/>
        <w:t>Net financial implications to the MBS</w:t>
      </w:r>
      <w:bookmarkEnd w:id="628"/>
      <w:r>
        <w:t xml:space="preserve"> </w:t>
      </w:r>
    </w:p>
    <w:p w:rsidR="00C5321C" w:rsidRDefault="00086C77" w:rsidP="00C5321C">
      <w:r>
        <w:fldChar w:fldCharType="begin"/>
      </w:r>
      <w:r w:rsidR="00C5321C">
        <w:instrText xml:space="preserve"> REF _Ref334455300 \h </w:instrText>
      </w:r>
      <w:r>
        <w:fldChar w:fldCharType="separate"/>
      </w:r>
      <w:r w:rsidR="003361A8" w:rsidRPr="009C1F99">
        <w:t xml:space="preserve">Table </w:t>
      </w:r>
      <w:r w:rsidR="003361A8">
        <w:rPr>
          <w:noProof/>
        </w:rPr>
        <w:t>98</w:t>
      </w:r>
      <w:r>
        <w:fldChar w:fldCharType="end"/>
      </w:r>
      <w:r w:rsidR="00C5321C">
        <w:t xml:space="preserve"> presents the estimated net financial implications to the MBS of adding </w:t>
      </w:r>
      <w:r w:rsidR="002E19A8">
        <w:t>cell enrichment</w:t>
      </w:r>
      <w:r w:rsidR="002E19A8" w:rsidRPr="00902506">
        <w:t xml:space="preserve"> LBC</w:t>
      </w:r>
      <w:r w:rsidR="00C5321C">
        <w:t>. It is estimated that the net financial implications to the MBS would b</w:t>
      </w:r>
      <w:r w:rsidR="00C8491F">
        <w:t>e a saving of approximately $115</w:t>
      </w:r>
      <w:r w:rsidR="00C5321C">
        <w:t xml:space="preserve">,000 each year. </w:t>
      </w:r>
    </w:p>
    <w:p w:rsidR="00C5321C" w:rsidRDefault="006F00EE" w:rsidP="00C5321C">
      <w:r>
        <w:t>When the 50% up</w:t>
      </w:r>
      <w:r w:rsidR="00C5321C">
        <w:t xml:space="preserve">take assumption is applied, as expected, the net costs to the MBS are also roughly halved, as shown in </w:t>
      </w:r>
      <w:r w:rsidR="00086C77">
        <w:fldChar w:fldCharType="begin"/>
      </w:r>
      <w:r w:rsidR="00C5321C">
        <w:instrText xml:space="preserve"> REF _Ref334520295 \h </w:instrText>
      </w:r>
      <w:r w:rsidR="00086C77">
        <w:fldChar w:fldCharType="separate"/>
      </w:r>
      <w:r w:rsidR="003361A8" w:rsidRPr="009C1F99">
        <w:t xml:space="preserve">Table </w:t>
      </w:r>
      <w:r w:rsidR="003361A8">
        <w:rPr>
          <w:noProof/>
        </w:rPr>
        <w:t>99</w:t>
      </w:r>
      <w:r w:rsidR="00086C77">
        <w:fldChar w:fldCharType="end"/>
      </w:r>
      <w:r w:rsidR="00C5321C">
        <w:t xml:space="preserve">. </w:t>
      </w:r>
    </w:p>
    <w:p w:rsidR="00C5321C" w:rsidRDefault="00C5321C" w:rsidP="00C5321C">
      <w:r>
        <w:lastRenderedPageBreak/>
        <w:t xml:space="preserve">It is shown that cost savings offered </w:t>
      </w:r>
      <w:r w:rsidR="002E19A8">
        <w:t>cell enrichment</w:t>
      </w:r>
      <w:r w:rsidR="002E19A8" w:rsidRPr="00902506">
        <w:t xml:space="preserve"> LBC </w:t>
      </w:r>
      <w:r>
        <w:t xml:space="preserve">are due to the lower rate of unsatisfactory smear given by </w:t>
      </w:r>
      <w:r w:rsidR="002E19A8">
        <w:t>cell enrichment</w:t>
      </w:r>
      <w:r w:rsidR="002E19A8" w:rsidRPr="00902506">
        <w:t xml:space="preserve"> LBC</w:t>
      </w:r>
      <w:r>
        <w:t>, offsetting the additional follow-up costs (reflecting its higher sensitivity for pLSIL than conventional cytology).</w:t>
      </w:r>
    </w:p>
    <w:p w:rsidR="00C5321C" w:rsidRPr="009C1F99" w:rsidRDefault="00C5321C" w:rsidP="00C5321C">
      <w:pPr>
        <w:pStyle w:val="Tablecaption"/>
      </w:pPr>
      <w:bookmarkStart w:id="629" w:name="_Ref334455300"/>
      <w:bookmarkStart w:id="630" w:name="_Toc335666071"/>
      <w:bookmarkStart w:id="631" w:name="_Toc337547038"/>
      <w:r w:rsidRPr="009C1F99">
        <w:t xml:space="preserve">Table </w:t>
      </w:r>
      <w:fldSimple w:instr=" SEQ Table \* ARABIC ">
        <w:r w:rsidR="003361A8">
          <w:rPr>
            <w:noProof/>
          </w:rPr>
          <w:t>98</w:t>
        </w:r>
      </w:fldSimple>
      <w:bookmarkEnd w:id="629"/>
      <w:r w:rsidRPr="009C1F99">
        <w:tab/>
      </w:r>
      <w:r>
        <w:t>Estimated</w:t>
      </w:r>
      <w:r w:rsidRPr="009C1F99">
        <w:t xml:space="preserve"> </w:t>
      </w:r>
      <w:r>
        <w:t>net financial implications of a</w:t>
      </w:r>
      <w:r w:rsidR="00D71B86">
        <w:t xml:space="preserve">dding </w:t>
      </w:r>
      <w:r w:rsidR="002E19A8" w:rsidRPr="002E19A8">
        <w:t xml:space="preserve">cell enrichment LBC </w:t>
      </w:r>
      <w:r w:rsidR="00D71B86">
        <w:t>to the MBS:</w:t>
      </w:r>
      <w:r>
        <w:t xml:space="preserve"> 100% </w:t>
      </w:r>
      <w:r w:rsidR="006F00EE">
        <w:t>uptake</w:t>
      </w:r>
      <w:r>
        <w:t xml:space="preserve"> scenario</w:t>
      </w:r>
      <w:bookmarkEnd w:id="630"/>
      <w:bookmarkEnd w:id="631"/>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9"/>
        <w:gridCol w:w="1447"/>
        <w:gridCol w:w="1126"/>
        <w:gridCol w:w="1126"/>
        <w:gridCol w:w="1126"/>
        <w:gridCol w:w="1127"/>
      </w:tblGrid>
      <w:tr w:rsidR="00C5321C" w:rsidRPr="0077649A" w:rsidTr="00C8491F">
        <w:tc>
          <w:tcPr>
            <w:tcW w:w="1653" w:type="pct"/>
            <w:shd w:val="clear" w:color="auto" w:fill="auto"/>
          </w:tcPr>
          <w:p w:rsidR="00C5321C" w:rsidRPr="0077649A" w:rsidRDefault="00C5321C" w:rsidP="00791EC7">
            <w:pPr>
              <w:pStyle w:val="Tableheading"/>
            </w:pPr>
            <w:r w:rsidRPr="0077649A">
              <w:t>Year</w:t>
            </w:r>
          </w:p>
        </w:tc>
        <w:tc>
          <w:tcPr>
            <w:tcW w:w="814" w:type="pct"/>
            <w:shd w:val="clear" w:color="auto" w:fill="auto"/>
          </w:tcPr>
          <w:p w:rsidR="00C5321C" w:rsidRPr="00A638A4" w:rsidRDefault="00C5321C" w:rsidP="00791EC7">
            <w:pPr>
              <w:pStyle w:val="Tableheading"/>
              <w:jc w:val="center"/>
            </w:pPr>
            <w:r>
              <w:t>Year 1 (2013)</w:t>
            </w:r>
          </w:p>
        </w:tc>
        <w:tc>
          <w:tcPr>
            <w:tcW w:w="633" w:type="pct"/>
            <w:shd w:val="clear" w:color="auto" w:fill="auto"/>
          </w:tcPr>
          <w:p w:rsidR="00C5321C" w:rsidRPr="00A638A4" w:rsidRDefault="00C5321C" w:rsidP="00791EC7">
            <w:pPr>
              <w:pStyle w:val="Tableheading"/>
              <w:jc w:val="center"/>
            </w:pPr>
            <w:r>
              <w:t>Year 2</w:t>
            </w:r>
          </w:p>
        </w:tc>
        <w:tc>
          <w:tcPr>
            <w:tcW w:w="633" w:type="pct"/>
            <w:shd w:val="clear" w:color="auto" w:fill="auto"/>
          </w:tcPr>
          <w:p w:rsidR="00C5321C" w:rsidRPr="00A638A4" w:rsidRDefault="00C5321C" w:rsidP="00791EC7">
            <w:pPr>
              <w:pStyle w:val="Tableheading"/>
              <w:jc w:val="center"/>
            </w:pPr>
            <w:r>
              <w:t>Year 3</w:t>
            </w:r>
          </w:p>
        </w:tc>
        <w:tc>
          <w:tcPr>
            <w:tcW w:w="633" w:type="pct"/>
            <w:shd w:val="clear" w:color="auto" w:fill="auto"/>
          </w:tcPr>
          <w:p w:rsidR="00C5321C" w:rsidRPr="00A638A4" w:rsidRDefault="00C5321C" w:rsidP="00791EC7">
            <w:pPr>
              <w:pStyle w:val="Tableheading"/>
              <w:jc w:val="center"/>
            </w:pPr>
            <w:r>
              <w:t>Year 4</w:t>
            </w:r>
          </w:p>
        </w:tc>
        <w:tc>
          <w:tcPr>
            <w:tcW w:w="634" w:type="pct"/>
            <w:shd w:val="clear" w:color="auto" w:fill="auto"/>
          </w:tcPr>
          <w:p w:rsidR="00C5321C" w:rsidRDefault="00C5321C" w:rsidP="00791EC7">
            <w:pPr>
              <w:pStyle w:val="Tableheading"/>
              <w:jc w:val="center"/>
            </w:pPr>
            <w:r>
              <w:t>Year 5</w:t>
            </w:r>
          </w:p>
        </w:tc>
      </w:tr>
      <w:tr w:rsidR="006F00EE" w:rsidRPr="00536CA0" w:rsidTr="0032266E">
        <w:tc>
          <w:tcPr>
            <w:tcW w:w="5000" w:type="pct"/>
            <w:gridSpan w:val="6"/>
            <w:shd w:val="clear" w:color="auto" w:fill="auto"/>
            <w:vAlign w:val="center"/>
          </w:tcPr>
          <w:p w:rsidR="006F00EE" w:rsidRPr="006F00EE" w:rsidRDefault="006F00EE" w:rsidP="00791EC7">
            <w:pPr>
              <w:pStyle w:val="Tabletext"/>
              <w:rPr>
                <w:b/>
              </w:rPr>
            </w:pPr>
            <w:r w:rsidRPr="006F00EE">
              <w:rPr>
                <w:b/>
              </w:rPr>
              <w:t xml:space="preserve">Services due to initial screening test </w:t>
            </w:r>
          </w:p>
        </w:tc>
      </w:tr>
      <w:tr w:rsidR="00C5321C" w:rsidRPr="00536CA0" w:rsidTr="00C8491F">
        <w:tc>
          <w:tcPr>
            <w:tcW w:w="1653" w:type="pct"/>
            <w:shd w:val="clear" w:color="auto" w:fill="auto"/>
            <w:vAlign w:val="center"/>
          </w:tcPr>
          <w:p w:rsidR="00C5321C" w:rsidRPr="00536CA0" w:rsidRDefault="00C5321C" w:rsidP="00791EC7">
            <w:pPr>
              <w:pStyle w:val="Tabletext"/>
            </w:pPr>
            <w:r>
              <w:t xml:space="preserve">Total benefits (at 100% benefit) </w:t>
            </w:r>
          </w:p>
        </w:tc>
        <w:tc>
          <w:tcPr>
            <w:tcW w:w="814"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4" w:type="pct"/>
            <w:shd w:val="clear" w:color="auto" w:fill="auto"/>
          </w:tcPr>
          <w:p w:rsidR="00C5321C" w:rsidRPr="00A55ADA" w:rsidRDefault="00C5321C" w:rsidP="00791EC7">
            <w:pPr>
              <w:pStyle w:val="Tabletext"/>
            </w:pPr>
            <w:r w:rsidRPr="00A55ADA">
              <w:t>$0</w:t>
            </w:r>
          </w:p>
        </w:tc>
      </w:tr>
      <w:tr w:rsidR="00C5321C" w:rsidRPr="00536CA0" w:rsidTr="00C8491F">
        <w:tc>
          <w:tcPr>
            <w:tcW w:w="1653" w:type="pct"/>
            <w:shd w:val="clear" w:color="auto" w:fill="auto"/>
            <w:vAlign w:val="center"/>
          </w:tcPr>
          <w:p w:rsidR="00C5321C" w:rsidRPr="00B57E5C" w:rsidRDefault="00C5321C" w:rsidP="00791EC7">
            <w:pPr>
              <w:pStyle w:val="Tabletext"/>
            </w:pPr>
            <w:r>
              <w:t>Total benefits (at 85% benefit)</w:t>
            </w:r>
          </w:p>
        </w:tc>
        <w:tc>
          <w:tcPr>
            <w:tcW w:w="814"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4" w:type="pct"/>
            <w:shd w:val="clear" w:color="auto" w:fill="auto"/>
          </w:tcPr>
          <w:p w:rsidR="00C5321C" w:rsidRPr="00A55ADA" w:rsidRDefault="00C5321C" w:rsidP="00791EC7">
            <w:pPr>
              <w:pStyle w:val="Tabletext"/>
            </w:pPr>
            <w:r w:rsidRPr="00A55ADA">
              <w:t>$0</w:t>
            </w:r>
          </w:p>
        </w:tc>
      </w:tr>
      <w:tr w:rsidR="006F00EE" w:rsidRPr="00536CA0" w:rsidTr="0032266E">
        <w:tc>
          <w:tcPr>
            <w:tcW w:w="5000" w:type="pct"/>
            <w:gridSpan w:val="6"/>
            <w:shd w:val="clear" w:color="auto" w:fill="auto"/>
            <w:vAlign w:val="center"/>
          </w:tcPr>
          <w:p w:rsidR="006F00EE" w:rsidRPr="006F00EE" w:rsidRDefault="006F00EE" w:rsidP="00791EC7">
            <w:pPr>
              <w:pStyle w:val="Tabletext"/>
              <w:rPr>
                <w:b/>
              </w:rPr>
            </w:pPr>
            <w:r w:rsidRPr="006F00EE">
              <w:rPr>
                <w:b/>
              </w:rPr>
              <w:t>Services due to unsatisfactory smear</w:t>
            </w:r>
          </w:p>
        </w:tc>
      </w:tr>
      <w:tr w:rsidR="00C8491F" w:rsidRPr="00536CA0" w:rsidTr="00C8491F">
        <w:tc>
          <w:tcPr>
            <w:tcW w:w="1653" w:type="pct"/>
            <w:shd w:val="clear" w:color="auto" w:fill="auto"/>
            <w:vAlign w:val="center"/>
          </w:tcPr>
          <w:p w:rsidR="00C8491F" w:rsidRPr="00536CA0" w:rsidRDefault="00C8491F" w:rsidP="00791EC7">
            <w:pPr>
              <w:pStyle w:val="Tabletext"/>
            </w:pPr>
            <w:r>
              <w:t xml:space="preserve">Total benefits (at 100% benefit) </w:t>
            </w:r>
          </w:p>
        </w:tc>
        <w:tc>
          <w:tcPr>
            <w:tcW w:w="814" w:type="pct"/>
            <w:shd w:val="clear" w:color="auto" w:fill="auto"/>
          </w:tcPr>
          <w:p w:rsidR="00C8491F" w:rsidRPr="007661CE" w:rsidRDefault="00C8491F" w:rsidP="00C8491F">
            <w:pPr>
              <w:pStyle w:val="Tabletext"/>
            </w:pPr>
            <w:r w:rsidRPr="007661CE">
              <w:t>-$271,214</w:t>
            </w:r>
          </w:p>
        </w:tc>
        <w:tc>
          <w:tcPr>
            <w:tcW w:w="633" w:type="pct"/>
            <w:shd w:val="clear" w:color="auto" w:fill="auto"/>
          </w:tcPr>
          <w:p w:rsidR="00C8491F" w:rsidRPr="007661CE" w:rsidRDefault="00C8491F" w:rsidP="00C8491F">
            <w:pPr>
              <w:pStyle w:val="Tabletext"/>
            </w:pPr>
            <w:r w:rsidRPr="007661CE">
              <w:t>-$272,072</w:t>
            </w:r>
          </w:p>
        </w:tc>
        <w:tc>
          <w:tcPr>
            <w:tcW w:w="633" w:type="pct"/>
            <w:shd w:val="clear" w:color="auto" w:fill="auto"/>
          </w:tcPr>
          <w:p w:rsidR="00C8491F" w:rsidRPr="007661CE" w:rsidRDefault="00C8491F" w:rsidP="00C8491F">
            <w:pPr>
              <w:pStyle w:val="Tabletext"/>
            </w:pPr>
            <w:r w:rsidRPr="007661CE">
              <w:t>-$272,930</w:t>
            </w:r>
          </w:p>
        </w:tc>
        <w:tc>
          <w:tcPr>
            <w:tcW w:w="633" w:type="pct"/>
            <w:shd w:val="clear" w:color="auto" w:fill="auto"/>
          </w:tcPr>
          <w:p w:rsidR="00C8491F" w:rsidRPr="007661CE" w:rsidRDefault="00C8491F" w:rsidP="00C8491F">
            <w:pPr>
              <w:pStyle w:val="Tabletext"/>
            </w:pPr>
            <w:r w:rsidRPr="007661CE">
              <w:t>-$273,787</w:t>
            </w:r>
          </w:p>
        </w:tc>
        <w:tc>
          <w:tcPr>
            <w:tcW w:w="634" w:type="pct"/>
            <w:shd w:val="clear" w:color="auto" w:fill="auto"/>
          </w:tcPr>
          <w:p w:rsidR="00C8491F" w:rsidRPr="007661CE" w:rsidRDefault="00C8491F" w:rsidP="00C8491F">
            <w:pPr>
              <w:pStyle w:val="Tabletext"/>
            </w:pPr>
            <w:r w:rsidRPr="007661CE">
              <w:t>-$274,645</w:t>
            </w:r>
          </w:p>
        </w:tc>
      </w:tr>
      <w:tr w:rsidR="00C8491F" w:rsidRPr="00536CA0" w:rsidTr="00C8491F">
        <w:tc>
          <w:tcPr>
            <w:tcW w:w="1653" w:type="pct"/>
            <w:shd w:val="clear" w:color="auto" w:fill="auto"/>
            <w:vAlign w:val="center"/>
          </w:tcPr>
          <w:p w:rsidR="00C8491F" w:rsidRPr="00B57E5C" w:rsidRDefault="00C8491F" w:rsidP="00791EC7">
            <w:pPr>
              <w:pStyle w:val="Tabletext"/>
            </w:pPr>
            <w:r>
              <w:t>Total benefits (at 85% benefit)</w:t>
            </w:r>
          </w:p>
        </w:tc>
        <w:tc>
          <w:tcPr>
            <w:tcW w:w="814" w:type="pct"/>
            <w:shd w:val="clear" w:color="auto" w:fill="auto"/>
          </w:tcPr>
          <w:p w:rsidR="00C8491F" w:rsidRPr="007661CE" w:rsidRDefault="00C8491F" w:rsidP="00C8491F">
            <w:pPr>
              <w:pStyle w:val="Tabletext"/>
            </w:pPr>
            <w:r w:rsidRPr="007661CE">
              <w:t>-$231,085</w:t>
            </w:r>
          </w:p>
        </w:tc>
        <w:tc>
          <w:tcPr>
            <w:tcW w:w="633" w:type="pct"/>
            <w:shd w:val="clear" w:color="auto" w:fill="auto"/>
          </w:tcPr>
          <w:p w:rsidR="00C8491F" w:rsidRPr="007661CE" w:rsidRDefault="00C8491F" w:rsidP="00C8491F">
            <w:pPr>
              <w:pStyle w:val="Tabletext"/>
            </w:pPr>
            <w:r w:rsidRPr="007661CE">
              <w:t>-$231,816</w:t>
            </w:r>
          </w:p>
        </w:tc>
        <w:tc>
          <w:tcPr>
            <w:tcW w:w="633" w:type="pct"/>
            <w:shd w:val="clear" w:color="auto" w:fill="auto"/>
          </w:tcPr>
          <w:p w:rsidR="00C8491F" w:rsidRPr="007661CE" w:rsidRDefault="00C8491F" w:rsidP="00C8491F">
            <w:pPr>
              <w:pStyle w:val="Tabletext"/>
            </w:pPr>
            <w:r w:rsidRPr="007661CE">
              <w:t>-$232,547</w:t>
            </w:r>
          </w:p>
        </w:tc>
        <w:tc>
          <w:tcPr>
            <w:tcW w:w="633" w:type="pct"/>
            <w:shd w:val="clear" w:color="auto" w:fill="auto"/>
          </w:tcPr>
          <w:p w:rsidR="00C8491F" w:rsidRPr="007661CE" w:rsidRDefault="00C8491F" w:rsidP="00C8491F">
            <w:pPr>
              <w:pStyle w:val="Tabletext"/>
            </w:pPr>
            <w:r w:rsidRPr="007661CE">
              <w:t>-$233,278</w:t>
            </w:r>
          </w:p>
        </w:tc>
        <w:tc>
          <w:tcPr>
            <w:tcW w:w="634" w:type="pct"/>
            <w:shd w:val="clear" w:color="auto" w:fill="auto"/>
          </w:tcPr>
          <w:p w:rsidR="00C8491F" w:rsidRDefault="00C8491F" w:rsidP="00C8491F">
            <w:pPr>
              <w:pStyle w:val="Tabletext"/>
            </w:pPr>
            <w:r w:rsidRPr="007661CE">
              <w:t>-$234,009</w:t>
            </w:r>
          </w:p>
        </w:tc>
      </w:tr>
      <w:tr w:rsidR="006F00EE" w:rsidRPr="00536CA0" w:rsidTr="0032266E">
        <w:tc>
          <w:tcPr>
            <w:tcW w:w="5000" w:type="pct"/>
            <w:gridSpan w:val="6"/>
            <w:shd w:val="clear" w:color="auto" w:fill="auto"/>
            <w:vAlign w:val="center"/>
          </w:tcPr>
          <w:p w:rsidR="006F00EE" w:rsidRPr="006F00EE" w:rsidRDefault="006F00EE" w:rsidP="00791EC7">
            <w:pPr>
              <w:pStyle w:val="Tabletext"/>
              <w:rPr>
                <w:b/>
              </w:rPr>
            </w:pPr>
            <w:r w:rsidRPr="006F00EE">
              <w:rPr>
                <w:b/>
              </w:rPr>
              <w:t>Services due to follow-up tests after a positive result</w:t>
            </w:r>
          </w:p>
        </w:tc>
      </w:tr>
      <w:tr w:rsidR="00C8491F" w:rsidRPr="00536CA0" w:rsidTr="00C8491F">
        <w:tc>
          <w:tcPr>
            <w:tcW w:w="1653" w:type="pct"/>
            <w:shd w:val="clear" w:color="auto" w:fill="auto"/>
            <w:vAlign w:val="center"/>
          </w:tcPr>
          <w:p w:rsidR="00C8491F" w:rsidRPr="00536CA0" w:rsidRDefault="00C8491F" w:rsidP="00791EC7">
            <w:pPr>
              <w:pStyle w:val="Tabletext"/>
            </w:pPr>
            <w:r>
              <w:t xml:space="preserve">Total benefits (at 100% benefit) </w:t>
            </w:r>
          </w:p>
        </w:tc>
        <w:tc>
          <w:tcPr>
            <w:tcW w:w="814" w:type="pct"/>
            <w:shd w:val="clear" w:color="auto" w:fill="auto"/>
          </w:tcPr>
          <w:p w:rsidR="00C8491F" w:rsidRPr="00D566F1" w:rsidRDefault="00C8491F" w:rsidP="00C8491F">
            <w:pPr>
              <w:pStyle w:val="Tabletext"/>
            </w:pPr>
            <w:r w:rsidRPr="00D566F1">
              <w:t>$156,519</w:t>
            </w:r>
          </w:p>
        </w:tc>
        <w:tc>
          <w:tcPr>
            <w:tcW w:w="633" w:type="pct"/>
            <w:shd w:val="clear" w:color="auto" w:fill="auto"/>
          </w:tcPr>
          <w:p w:rsidR="00C8491F" w:rsidRPr="00D566F1" w:rsidRDefault="00C8491F" w:rsidP="00C8491F">
            <w:pPr>
              <w:pStyle w:val="Tabletext"/>
            </w:pPr>
            <w:r w:rsidRPr="00D566F1">
              <w:t>$157,014</w:t>
            </w:r>
          </w:p>
        </w:tc>
        <w:tc>
          <w:tcPr>
            <w:tcW w:w="633" w:type="pct"/>
            <w:shd w:val="clear" w:color="auto" w:fill="auto"/>
          </w:tcPr>
          <w:p w:rsidR="00C8491F" w:rsidRPr="00D566F1" w:rsidRDefault="00C8491F" w:rsidP="00C8491F">
            <w:pPr>
              <w:pStyle w:val="Tabletext"/>
            </w:pPr>
            <w:r w:rsidRPr="00D566F1">
              <w:t>$157,509</w:t>
            </w:r>
          </w:p>
        </w:tc>
        <w:tc>
          <w:tcPr>
            <w:tcW w:w="633" w:type="pct"/>
            <w:shd w:val="clear" w:color="auto" w:fill="auto"/>
          </w:tcPr>
          <w:p w:rsidR="00C8491F" w:rsidRPr="00D566F1" w:rsidRDefault="00C8491F" w:rsidP="00C8491F">
            <w:pPr>
              <w:pStyle w:val="Tabletext"/>
            </w:pPr>
            <w:r w:rsidRPr="00D566F1">
              <w:t>$158,004</w:t>
            </w:r>
          </w:p>
        </w:tc>
        <w:tc>
          <w:tcPr>
            <w:tcW w:w="634" w:type="pct"/>
            <w:shd w:val="clear" w:color="auto" w:fill="auto"/>
          </w:tcPr>
          <w:p w:rsidR="00C8491F" w:rsidRPr="00D566F1" w:rsidRDefault="00C8491F" w:rsidP="00C8491F">
            <w:pPr>
              <w:pStyle w:val="Tabletext"/>
            </w:pPr>
            <w:r w:rsidRPr="00D566F1">
              <w:t>$158,499</w:t>
            </w:r>
          </w:p>
        </w:tc>
      </w:tr>
      <w:tr w:rsidR="00C8491F" w:rsidRPr="00536CA0" w:rsidTr="00C8491F">
        <w:tc>
          <w:tcPr>
            <w:tcW w:w="1653" w:type="pct"/>
            <w:shd w:val="clear" w:color="auto" w:fill="auto"/>
            <w:vAlign w:val="center"/>
          </w:tcPr>
          <w:p w:rsidR="00C8491F" w:rsidRPr="00B57E5C" w:rsidRDefault="00C8491F" w:rsidP="00791EC7">
            <w:pPr>
              <w:pStyle w:val="Tabletext"/>
            </w:pPr>
            <w:r>
              <w:t>Total benefits (at 85% benefit)</w:t>
            </w:r>
          </w:p>
        </w:tc>
        <w:tc>
          <w:tcPr>
            <w:tcW w:w="814" w:type="pct"/>
            <w:shd w:val="clear" w:color="auto" w:fill="auto"/>
          </w:tcPr>
          <w:p w:rsidR="00C8491F" w:rsidRPr="00D566F1" w:rsidRDefault="00C8491F" w:rsidP="00C8491F">
            <w:pPr>
              <w:pStyle w:val="Tabletext"/>
            </w:pPr>
            <w:r w:rsidRPr="00D566F1">
              <w:t>$133,361</w:t>
            </w:r>
          </w:p>
        </w:tc>
        <w:tc>
          <w:tcPr>
            <w:tcW w:w="633" w:type="pct"/>
            <w:shd w:val="clear" w:color="auto" w:fill="auto"/>
          </w:tcPr>
          <w:p w:rsidR="00C8491F" w:rsidRPr="00D566F1" w:rsidRDefault="00C8491F" w:rsidP="00C8491F">
            <w:pPr>
              <w:pStyle w:val="Tabletext"/>
            </w:pPr>
            <w:r w:rsidRPr="00D566F1">
              <w:t>$133,783</w:t>
            </w:r>
          </w:p>
        </w:tc>
        <w:tc>
          <w:tcPr>
            <w:tcW w:w="633" w:type="pct"/>
            <w:shd w:val="clear" w:color="auto" w:fill="auto"/>
          </w:tcPr>
          <w:p w:rsidR="00C8491F" w:rsidRPr="00D566F1" w:rsidRDefault="00C8491F" w:rsidP="00C8491F">
            <w:pPr>
              <w:pStyle w:val="Tabletext"/>
            </w:pPr>
            <w:r w:rsidRPr="00D566F1">
              <w:t>$134,204</w:t>
            </w:r>
          </w:p>
        </w:tc>
        <w:tc>
          <w:tcPr>
            <w:tcW w:w="633" w:type="pct"/>
            <w:shd w:val="clear" w:color="auto" w:fill="auto"/>
          </w:tcPr>
          <w:p w:rsidR="00C8491F" w:rsidRPr="00D566F1" w:rsidRDefault="00C8491F" w:rsidP="00C8491F">
            <w:pPr>
              <w:pStyle w:val="Tabletext"/>
            </w:pPr>
            <w:r w:rsidRPr="00D566F1">
              <w:t>$134,626</w:t>
            </w:r>
          </w:p>
        </w:tc>
        <w:tc>
          <w:tcPr>
            <w:tcW w:w="634" w:type="pct"/>
            <w:shd w:val="clear" w:color="auto" w:fill="auto"/>
          </w:tcPr>
          <w:p w:rsidR="00C8491F" w:rsidRDefault="00C8491F" w:rsidP="00C8491F">
            <w:pPr>
              <w:pStyle w:val="Tabletext"/>
            </w:pPr>
            <w:r w:rsidRPr="00D566F1">
              <w:t>$135,048</w:t>
            </w:r>
          </w:p>
        </w:tc>
      </w:tr>
      <w:tr w:rsidR="006F00EE" w:rsidRPr="00536CA0" w:rsidTr="0032266E">
        <w:tc>
          <w:tcPr>
            <w:tcW w:w="5000" w:type="pct"/>
            <w:gridSpan w:val="6"/>
            <w:shd w:val="clear" w:color="auto" w:fill="auto"/>
            <w:vAlign w:val="bottom"/>
          </w:tcPr>
          <w:p w:rsidR="006F00EE" w:rsidRPr="006F00EE" w:rsidRDefault="006F00EE" w:rsidP="00791EC7">
            <w:pPr>
              <w:pStyle w:val="Tabletext"/>
              <w:rPr>
                <w:b/>
              </w:rPr>
            </w:pPr>
            <w:r w:rsidRPr="006F00EE">
              <w:rPr>
                <w:b/>
              </w:rPr>
              <w:t>Services due to other follow-up investigations</w:t>
            </w:r>
          </w:p>
        </w:tc>
      </w:tr>
      <w:tr w:rsidR="00C5321C" w:rsidRPr="00536CA0" w:rsidTr="00C8491F">
        <w:tc>
          <w:tcPr>
            <w:tcW w:w="1653" w:type="pct"/>
            <w:shd w:val="clear" w:color="auto" w:fill="auto"/>
            <w:vAlign w:val="center"/>
          </w:tcPr>
          <w:p w:rsidR="00C5321C" w:rsidRPr="00536CA0" w:rsidRDefault="00C5321C" w:rsidP="00791EC7">
            <w:pPr>
              <w:pStyle w:val="Tabletext"/>
            </w:pPr>
            <w:r>
              <w:t xml:space="preserve">Total benefits (at 100% benefit) </w:t>
            </w:r>
          </w:p>
        </w:tc>
        <w:tc>
          <w:tcPr>
            <w:tcW w:w="814"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4" w:type="pct"/>
            <w:shd w:val="clear" w:color="auto" w:fill="auto"/>
          </w:tcPr>
          <w:p w:rsidR="00C5321C" w:rsidRPr="00A55ADA" w:rsidRDefault="00C5321C" w:rsidP="00791EC7">
            <w:pPr>
              <w:pStyle w:val="Tabletext"/>
            </w:pPr>
            <w:r w:rsidRPr="00A55ADA">
              <w:t>$0</w:t>
            </w:r>
          </w:p>
        </w:tc>
      </w:tr>
      <w:tr w:rsidR="00C5321C" w:rsidRPr="00536CA0" w:rsidTr="00C8491F">
        <w:tc>
          <w:tcPr>
            <w:tcW w:w="1653" w:type="pct"/>
            <w:shd w:val="clear" w:color="auto" w:fill="auto"/>
            <w:vAlign w:val="center"/>
          </w:tcPr>
          <w:p w:rsidR="00C5321C" w:rsidRPr="00B57E5C" w:rsidRDefault="00C5321C" w:rsidP="00791EC7">
            <w:pPr>
              <w:pStyle w:val="Tabletext"/>
            </w:pPr>
            <w:r>
              <w:t>Total benefits (at 85% benefit)</w:t>
            </w:r>
          </w:p>
        </w:tc>
        <w:tc>
          <w:tcPr>
            <w:tcW w:w="814"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3" w:type="pct"/>
            <w:shd w:val="clear" w:color="auto" w:fill="auto"/>
          </w:tcPr>
          <w:p w:rsidR="00C5321C" w:rsidRPr="00A55ADA" w:rsidRDefault="00C5321C" w:rsidP="00791EC7">
            <w:pPr>
              <w:pStyle w:val="Tabletext"/>
            </w:pPr>
            <w:r w:rsidRPr="00A55ADA">
              <w:t>$0</w:t>
            </w:r>
          </w:p>
        </w:tc>
        <w:tc>
          <w:tcPr>
            <w:tcW w:w="634" w:type="pct"/>
            <w:shd w:val="clear" w:color="auto" w:fill="auto"/>
          </w:tcPr>
          <w:p w:rsidR="00C5321C" w:rsidRPr="00A55ADA" w:rsidRDefault="00C5321C" w:rsidP="00791EC7">
            <w:pPr>
              <w:pStyle w:val="Tabletext"/>
            </w:pPr>
            <w:r w:rsidRPr="00A55ADA">
              <w:t>$0</w:t>
            </w:r>
          </w:p>
        </w:tc>
      </w:tr>
      <w:tr w:rsidR="006F00EE" w:rsidRPr="00536CA0" w:rsidTr="0032266E">
        <w:tc>
          <w:tcPr>
            <w:tcW w:w="5000" w:type="pct"/>
            <w:gridSpan w:val="6"/>
            <w:shd w:val="clear" w:color="auto" w:fill="auto"/>
            <w:vAlign w:val="bottom"/>
          </w:tcPr>
          <w:p w:rsidR="006F00EE" w:rsidRPr="006F00EE" w:rsidRDefault="006F00EE" w:rsidP="00791EC7">
            <w:pPr>
              <w:pStyle w:val="Tabletext"/>
              <w:rPr>
                <w:b/>
              </w:rPr>
            </w:pPr>
            <w:r w:rsidRPr="006F00EE">
              <w:rPr>
                <w:b/>
              </w:rPr>
              <w:t>Overall</w:t>
            </w:r>
          </w:p>
        </w:tc>
      </w:tr>
      <w:tr w:rsidR="00C8491F" w:rsidRPr="00536CA0" w:rsidTr="00C8491F">
        <w:tc>
          <w:tcPr>
            <w:tcW w:w="1653" w:type="pct"/>
            <w:shd w:val="clear" w:color="auto" w:fill="auto"/>
            <w:vAlign w:val="center"/>
          </w:tcPr>
          <w:p w:rsidR="00C8491F" w:rsidRPr="00536CA0" w:rsidRDefault="00C8491F" w:rsidP="00791EC7">
            <w:pPr>
              <w:pStyle w:val="Tabletext"/>
            </w:pPr>
            <w:r>
              <w:t xml:space="preserve">Total benefits (at 100% benefit) </w:t>
            </w:r>
          </w:p>
        </w:tc>
        <w:tc>
          <w:tcPr>
            <w:tcW w:w="814" w:type="pct"/>
            <w:shd w:val="clear" w:color="auto" w:fill="auto"/>
          </w:tcPr>
          <w:p w:rsidR="00C8491F" w:rsidRPr="00634D6F" w:rsidRDefault="00C8491F" w:rsidP="00C8491F">
            <w:pPr>
              <w:pStyle w:val="Tabletext"/>
            </w:pPr>
            <w:r w:rsidRPr="00634D6F">
              <w:t>-$114,695</w:t>
            </w:r>
          </w:p>
        </w:tc>
        <w:tc>
          <w:tcPr>
            <w:tcW w:w="633" w:type="pct"/>
            <w:shd w:val="clear" w:color="auto" w:fill="auto"/>
          </w:tcPr>
          <w:p w:rsidR="00C8491F" w:rsidRPr="00634D6F" w:rsidRDefault="00C8491F" w:rsidP="00C8491F">
            <w:pPr>
              <w:pStyle w:val="Tabletext"/>
            </w:pPr>
            <w:r w:rsidRPr="00634D6F">
              <w:t>-$115,058</w:t>
            </w:r>
          </w:p>
        </w:tc>
        <w:tc>
          <w:tcPr>
            <w:tcW w:w="633" w:type="pct"/>
            <w:shd w:val="clear" w:color="auto" w:fill="auto"/>
          </w:tcPr>
          <w:p w:rsidR="00C8491F" w:rsidRPr="00634D6F" w:rsidRDefault="00C8491F" w:rsidP="00C8491F">
            <w:pPr>
              <w:pStyle w:val="Tabletext"/>
            </w:pPr>
            <w:r w:rsidRPr="00634D6F">
              <w:t>-$115,420</w:t>
            </w:r>
          </w:p>
        </w:tc>
        <w:tc>
          <w:tcPr>
            <w:tcW w:w="633" w:type="pct"/>
            <w:shd w:val="clear" w:color="auto" w:fill="auto"/>
          </w:tcPr>
          <w:p w:rsidR="00C8491F" w:rsidRPr="00634D6F" w:rsidRDefault="00C8491F" w:rsidP="00C8491F">
            <w:pPr>
              <w:pStyle w:val="Tabletext"/>
            </w:pPr>
            <w:r w:rsidRPr="00634D6F">
              <w:t>-$115,783</w:t>
            </w:r>
          </w:p>
        </w:tc>
        <w:tc>
          <w:tcPr>
            <w:tcW w:w="634" w:type="pct"/>
            <w:shd w:val="clear" w:color="auto" w:fill="auto"/>
          </w:tcPr>
          <w:p w:rsidR="00C8491F" w:rsidRPr="00634D6F" w:rsidRDefault="00C8491F" w:rsidP="00C8491F">
            <w:pPr>
              <w:pStyle w:val="Tabletext"/>
            </w:pPr>
            <w:r w:rsidRPr="00634D6F">
              <w:t>-$116,146</w:t>
            </w:r>
          </w:p>
        </w:tc>
      </w:tr>
      <w:tr w:rsidR="00C8491F" w:rsidRPr="00536CA0" w:rsidTr="00C8491F">
        <w:tc>
          <w:tcPr>
            <w:tcW w:w="1653" w:type="pct"/>
            <w:shd w:val="clear" w:color="auto" w:fill="auto"/>
            <w:vAlign w:val="center"/>
          </w:tcPr>
          <w:p w:rsidR="00C8491F" w:rsidRPr="00B57E5C" w:rsidRDefault="00C8491F" w:rsidP="00791EC7">
            <w:pPr>
              <w:pStyle w:val="Tabletext"/>
            </w:pPr>
            <w:r>
              <w:t>Total benefits (at 85% benefit)</w:t>
            </w:r>
          </w:p>
        </w:tc>
        <w:tc>
          <w:tcPr>
            <w:tcW w:w="814" w:type="pct"/>
            <w:shd w:val="clear" w:color="auto" w:fill="auto"/>
          </w:tcPr>
          <w:p w:rsidR="00C8491F" w:rsidRPr="00634D6F" w:rsidRDefault="00C8491F" w:rsidP="00C8491F">
            <w:pPr>
              <w:pStyle w:val="Tabletext"/>
            </w:pPr>
            <w:r w:rsidRPr="00634D6F">
              <w:t>-$97,725</w:t>
            </w:r>
          </w:p>
        </w:tc>
        <w:tc>
          <w:tcPr>
            <w:tcW w:w="633" w:type="pct"/>
            <w:shd w:val="clear" w:color="auto" w:fill="auto"/>
          </w:tcPr>
          <w:p w:rsidR="00C8491F" w:rsidRPr="00634D6F" w:rsidRDefault="00C8491F" w:rsidP="00C8491F">
            <w:pPr>
              <w:pStyle w:val="Tabletext"/>
            </w:pPr>
            <w:r w:rsidRPr="00634D6F">
              <w:t>-$98,034</w:t>
            </w:r>
          </w:p>
        </w:tc>
        <w:tc>
          <w:tcPr>
            <w:tcW w:w="633" w:type="pct"/>
            <w:shd w:val="clear" w:color="auto" w:fill="auto"/>
          </w:tcPr>
          <w:p w:rsidR="00C8491F" w:rsidRPr="00634D6F" w:rsidRDefault="00C8491F" w:rsidP="00C8491F">
            <w:pPr>
              <w:pStyle w:val="Tabletext"/>
            </w:pPr>
            <w:r w:rsidRPr="00634D6F">
              <w:t>-$98,343</w:t>
            </w:r>
          </w:p>
        </w:tc>
        <w:tc>
          <w:tcPr>
            <w:tcW w:w="633" w:type="pct"/>
            <w:shd w:val="clear" w:color="auto" w:fill="auto"/>
          </w:tcPr>
          <w:p w:rsidR="00C8491F" w:rsidRPr="00634D6F" w:rsidRDefault="00C8491F" w:rsidP="00C8491F">
            <w:pPr>
              <w:pStyle w:val="Tabletext"/>
            </w:pPr>
            <w:r w:rsidRPr="00634D6F">
              <w:t>-$98,652</w:t>
            </w:r>
          </w:p>
        </w:tc>
        <w:tc>
          <w:tcPr>
            <w:tcW w:w="634" w:type="pct"/>
            <w:shd w:val="clear" w:color="auto" w:fill="auto"/>
          </w:tcPr>
          <w:p w:rsidR="00C8491F" w:rsidRDefault="00C8491F" w:rsidP="00C8491F">
            <w:pPr>
              <w:pStyle w:val="Tabletext"/>
            </w:pPr>
            <w:r w:rsidRPr="00634D6F">
              <w:t>-$98,961</w:t>
            </w:r>
          </w:p>
        </w:tc>
      </w:tr>
    </w:tbl>
    <w:p w:rsidR="00C5321C" w:rsidRDefault="00C5321C" w:rsidP="00C5321C"/>
    <w:p w:rsidR="00C5321C" w:rsidRDefault="00C5321C" w:rsidP="00C5321C">
      <w:r>
        <w:t xml:space="preserve">A scenario where the assumption of full </w:t>
      </w:r>
      <w:r w:rsidR="006F00EE">
        <w:t>uptake</w:t>
      </w:r>
      <w:r>
        <w:t xml:space="preserve"> is relaxed to a 50% </w:t>
      </w:r>
      <w:r w:rsidR="006F00EE">
        <w:t>uptake</w:t>
      </w:r>
      <w:r>
        <w:t xml:space="preserve"> (i.e</w:t>
      </w:r>
      <w:r w:rsidR="00195600">
        <w:t>.</w:t>
      </w:r>
      <w:r>
        <w:t xml:space="preserve"> half of screening tests will be conducted using </w:t>
      </w:r>
      <w:r w:rsidR="002E19A8">
        <w:t>cell enrichment LBC</w:t>
      </w:r>
      <w:r w:rsidR="006F00EE">
        <w:t xml:space="preserve">) is presented in </w:t>
      </w:r>
      <w:r w:rsidR="00086C77">
        <w:fldChar w:fldCharType="begin"/>
      </w:r>
      <w:r w:rsidR="006F00EE">
        <w:instrText xml:space="preserve"> REF _Ref334520295 \h </w:instrText>
      </w:r>
      <w:r w:rsidR="00086C77">
        <w:fldChar w:fldCharType="separate"/>
      </w:r>
      <w:r w:rsidR="003361A8" w:rsidRPr="009C1F99">
        <w:t xml:space="preserve">Table </w:t>
      </w:r>
      <w:r w:rsidR="003361A8">
        <w:rPr>
          <w:noProof/>
        </w:rPr>
        <w:t>99</w:t>
      </w:r>
      <w:r w:rsidR="00086C77">
        <w:fldChar w:fldCharType="end"/>
      </w:r>
      <w:r>
        <w:t>.</w:t>
      </w:r>
    </w:p>
    <w:p w:rsidR="00C5321C" w:rsidRPr="009C1F99" w:rsidRDefault="00C5321C" w:rsidP="00C5321C">
      <w:pPr>
        <w:pStyle w:val="Tablecaption"/>
      </w:pPr>
      <w:bookmarkStart w:id="632" w:name="_Ref334520295"/>
      <w:bookmarkStart w:id="633" w:name="_Toc335666072"/>
      <w:bookmarkStart w:id="634" w:name="_Toc337547039"/>
      <w:r w:rsidRPr="009C1F99">
        <w:lastRenderedPageBreak/>
        <w:t xml:space="preserve">Table </w:t>
      </w:r>
      <w:fldSimple w:instr=" SEQ Table \* ARABIC ">
        <w:r w:rsidR="003361A8">
          <w:rPr>
            <w:noProof/>
          </w:rPr>
          <w:t>99</w:t>
        </w:r>
      </w:fldSimple>
      <w:bookmarkEnd w:id="632"/>
      <w:r w:rsidRPr="009C1F99">
        <w:tab/>
      </w:r>
      <w:r>
        <w:t>Estimated</w:t>
      </w:r>
      <w:r w:rsidRPr="009C1F99">
        <w:t xml:space="preserve"> </w:t>
      </w:r>
      <w:r>
        <w:t>net financial implications of a</w:t>
      </w:r>
      <w:r w:rsidR="00D71B86">
        <w:t xml:space="preserve">dding </w:t>
      </w:r>
      <w:r w:rsidR="002E19A8" w:rsidRPr="002E19A8">
        <w:t xml:space="preserve">cell enrichment LBC </w:t>
      </w:r>
      <w:r w:rsidR="00D71B86">
        <w:t>to the MBS:</w:t>
      </w:r>
      <w:r>
        <w:t xml:space="preserve"> 50% </w:t>
      </w:r>
      <w:r w:rsidR="006F00EE">
        <w:t>uptake</w:t>
      </w:r>
      <w:r>
        <w:t xml:space="preserve"> scenario</w:t>
      </w:r>
      <w:bookmarkEnd w:id="633"/>
      <w:bookmarkEnd w:id="634"/>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9"/>
        <w:gridCol w:w="1447"/>
        <w:gridCol w:w="1126"/>
        <w:gridCol w:w="1126"/>
        <w:gridCol w:w="1126"/>
        <w:gridCol w:w="1127"/>
      </w:tblGrid>
      <w:tr w:rsidR="00C5321C" w:rsidRPr="0077649A" w:rsidTr="00C8491F">
        <w:tc>
          <w:tcPr>
            <w:tcW w:w="1653" w:type="pct"/>
            <w:shd w:val="clear" w:color="auto" w:fill="auto"/>
          </w:tcPr>
          <w:p w:rsidR="00C5321C" w:rsidRPr="0077649A" w:rsidRDefault="00C5321C" w:rsidP="00791EC7">
            <w:pPr>
              <w:pStyle w:val="Tableheading"/>
            </w:pPr>
            <w:r w:rsidRPr="0077649A">
              <w:t>Year</w:t>
            </w:r>
          </w:p>
        </w:tc>
        <w:tc>
          <w:tcPr>
            <w:tcW w:w="814" w:type="pct"/>
            <w:shd w:val="clear" w:color="auto" w:fill="auto"/>
          </w:tcPr>
          <w:p w:rsidR="00C5321C" w:rsidRPr="00A638A4" w:rsidRDefault="00C5321C" w:rsidP="00791EC7">
            <w:pPr>
              <w:pStyle w:val="Tableheading"/>
              <w:jc w:val="center"/>
            </w:pPr>
            <w:r>
              <w:t>Year 1 (2013)</w:t>
            </w:r>
          </w:p>
        </w:tc>
        <w:tc>
          <w:tcPr>
            <w:tcW w:w="633" w:type="pct"/>
            <w:shd w:val="clear" w:color="auto" w:fill="auto"/>
          </w:tcPr>
          <w:p w:rsidR="00C5321C" w:rsidRPr="00A638A4" w:rsidRDefault="00C5321C" w:rsidP="00791EC7">
            <w:pPr>
              <w:pStyle w:val="Tableheading"/>
              <w:jc w:val="center"/>
            </w:pPr>
            <w:r>
              <w:t>Year 2</w:t>
            </w:r>
          </w:p>
        </w:tc>
        <w:tc>
          <w:tcPr>
            <w:tcW w:w="633" w:type="pct"/>
            <w:shd w:val="clear" w:color="auto" w:fill="auto"/>
          </w:tcPr>
          <w:p w:rsidR="00C5321C" w:rsidRPr="00A638A4" w:rsidRDefault="00C5321C" w:rsidP="00791EC7">
            <w:pPr>
              <w:pStyle w:val="Tableheading"/>
              <w:jc w:val="center"/>
            </w:pPr>
            <w:r>
              <w:t>Year 3</w:t>
            </w:r>
          </w:p>
        </w:tc>
        <w:tc>
          <w:tcPr>
            <w:tcW w:w="633" w:type="pct"/>
            <w:shd w:val="clear" w:color="auto" w:fill="auto"/>
          </w:tcPr>
          <w:p w:rsidR="00C5321C" w:rsidRPr="00A638A4" w:rsidRDefault="00C5321C" w:rsidP="00791EC7">
            <w:pPr>
              <w:pStyle w:val="Tableheading"/>
              <w:jc w:val="center"/>
            </w:pPr>
            <w:r>
              <w:t>Year 4</w:t>
            </w:r>
          </w:p>
        </w:tc>
        <w:tc>
          <w:tcPr>
            <w:tcW w:w="634" w:type="pct"/>
            <w:shd w:val="clear" w:color="auto" w:fill="auto"/>
          </w:tcPr>
          <w:p w:rsidR="00C5321C" w:rsidRDefault="00C5321C" w:rsidP="00791EC7">
            <w:pPr>
              <w:pStyle w:val="Tableheading"/>
              <w:jc w:val="center"/>
            </w:pPr>
            <w:r>
              <w:t>Year 5</w:t>
            </w:r>
          </w:p>
        </w:tc>
      </w:tr>
      <w:tr w:rsidR="006F00EE" w:rsidRPr="00536CA0" w:rsidTr="006F00EE">
        <w:tc>
          <w:tcPr>
            <w:tcW w:w="5000" w:type="pct"/>
            <w:gridSpan w:val="6"/>
            <w:shd w:val="clear" w:color="auto" w:fill="auto"/>
            <w:vAlign w:val="center"/>
          </w:tcPr>
          <w:p w:rsidR="006F00EE" w:rsidRPr="006F00EE" w:rsidRDefault="006F00EE" w:rsidP="00791EC7">
            <w:pPr>
              <w:pStyle w:val="Tabletext"/>
              <w:rPr>
                <w:b/>
              </w:rPr>
            </w:pPr>
            <w:r w:rsidRPr="006F00EE">
              <w:rPr>
                <w:b/>
              </w:rPr>
              <w:t xml:space="preserve">Services due to initial screening test </w:t>
            </w:r>
          </w:p>
        </w:tc>
      </w:tr>
      <w:tr w:rsidR="00C5321C" w:rsidRPr="00536CA0" w:rsidTr="00C8491F">
        <w:tc>
          <w:tcPr>
            <w:tcW w:w="1653" w:type="pct"/>
            <w:shd w:val="clear" w:color="auto" w:fill="auto"/>
            <w:vAlign w:val="center"/>
          </w:tcPr>
          <w:p w:rsidR="00C5321C" w:rsidRPr="00536CA0" w:rsidRDefault="00C5321C" w:rsidP="00791EC7">
            <w:pPr>
              <w:pStyle w:val="Tabletext"/>
            </w:pPr>
            <w:r>
              <w:t xml:space="preserve">Total benefits (at 100% benefit) </w:t>
            </w:r>
          </w:p>
        </w:tc>
        <w:tc>
          <w:tcPr>
            <w:tcW w:w="814"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4" w:type="pct"/>
            <w:shd w:val="clear" w:color="auto" w:fill="auto"/>
            <w:vAlign w:val="bottom"/>
          </w:tcPr>
          <w:p w:rsidR="00C5321C" w:rsidRPr="00140B81" w:rsidRDefault="00C5321C" w:rsidP="00791EC7">
            <w:pPr>
              <w:pStyle w:val="Tabletext"/>
            </w:pPr>
            <w:r w:rsidRPr="00140B81">
              <w:t>$0</w:t>
            </w:r>
          </w:p>
        </w:tc>
      </w:tr>
      <w:tr w:rsidR="00C5321C" w:rsidRPr="00536CA0" w:rsidTr="00C8491F">
        <w:tc>
          <w:tcPr>
            <w:tcW w:w="1653" w:type="pct"/>
            <w:shd w:val="clear" w:color="auto" w:fill="auto"/>
            <w:vAlign w:val="center"/>
          </w:tcPr>
          <w:p w:rsidR="00C5321C" w:rsidRPr="00B57E5C" w:rsidRDefault="00C5321C" w:rsidP="00791EC7">
            <w:pPr>
              <w:pStyle w:val="Tabletext"/>
            </w:pPr>
            <w:r>
              <w:t>Total benefits (at 85% benefit)</w:t>
            </w:r>
          </w:p>
        </w:tc>
        <w:tc>
          <w:tcPr>
            <w:tcW w:w="814"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4" w:type="pct"/>
            <w:shd w:val="clear" w:color="auto" w:fill="auto"/>
            <w:vAlign w:val="bottom"/>
          </w:tcPr>
          <w:p w:rsidR="00C5321C" w:rsidRPr="00140B81" w:rsidRDefault="00C5321C" w:rsidP="00791EC7">
            <w:pPr>
              <w:pStyle w:val="Tabletext"/>
            </w:pPr>
            <w:r w:rsidRPr="00140B81">
              <w:t>$0</w:t>
            </w:r>
          </w:p>
        </w:tc>
      </w:tr>
      <w:tr w:rsidR="006F00EE" w:rsidRPr="00536CA0" w:rsidTr="006F00EE">
        <w:tc>
          <w:tcPr>
            <w:tcW w:w="5000" w:type="pct"/>
            <w:gridSpan w:val="6"/>
            <w:shd w:val="clear" w:color="auto" w:fill="auto"/>
            <w:vAlign w:val="center"/>
          </w:tcPr>
          <w:p w:rsidR="006F00EE" w:rsidRPr="006F00EE" w:rsidRDefault="006F00EE" w:rsidP="00791EC7">
            <w:pPr>
              <w:pStyle w:val="Tabletext"/>
              <w:rPr>
                <w:b/>
              </w:rPr>
            </w:pPr>
            <w:r w:rsidRPr="006F00EE">
              <w:rPr>
                <w:b/>
              </w:rPr>
              <w:t>Services due to unsatisfactory smear</w:t>
            </w:r>
          </w:p>
        </w:tc>
      </w:tr>
      <w:tr w:rsidR="00C8491F" w:rsidRPr="00536CA0" w:rsidTr="00C8491F">
        <w:tc>
          <w:tcPr>
            <w:tcW w:w="1653" w:type="pct"/>
            <w:shd w:val="clear" w:color="auto" w:fill="auto"/>
            <w:vAlign w:val="center"/>
          </w:tcPr>
          <w:p w:rsidR="00C8491F" w:rsidRPr="00536CA0" w:rsidRDefault="00C8491F" w:rsidP="00791EC7">
            <w:pPr>
              <w:pStyle w:val="Tabletext"/>
            </w:pPr>
            <w:r>
              <w:t xml:space="preserve">Total benefits (at 100% benefit) </w:t>
            </w:r>
          </w:p>
        </w:tc>
        <w:tc>
          <w:tcPr>
            <w:tcW w:w="814" w:type="pct"/>
            <w:shd w:val="clear" w:color="auto" w:fill="auto"/>
          </w:tcPr>
          <w:p w:rsidR="00C8491F" w:rsidRPr="004570ED" w:rsidRDefault="00C8491F" w:rsidP="00C8491F">
            <w:pPr>
              <w:pStyle w:val="Tabletext"/>
            </w:pPr>
            <w:r w:rsidRPr="004570ED">
              <w:t>-$135,607</w:t>
            </w:r>
          </w:p>
        </w:tc>
        <w:tc>
          <w:tcPr>
            <w:tcW w:w="633" w:type="pct"/>
            <w:shd w:val="clear" w:color="auto" w:fill="auto"/>
          </w:tcPr>
          <w:p w:rsidR="00C8491F" w:rsidRPr="004570ED" w:rsidRDefault="00C8491F" w:rsidP="00C8491F">
            <w:pPr>
              <w:pStyle w:val="Tabletext"/>
            </w:pPr>
            <w:r w:rsidRPr="004570ED">
              <w:t>-$136,036</w:t>
            </w:r>
          </w:p>
        </w:tc>
        <w:tc>
          <w:tcPr>
            <w:tcW w:w="633" w:type="pct"/>
            <w:shd w:val="clear" w:color="auto" w:fill="auto"/>
          </w:tcPr>
          <w:p w:rsidR="00C8491F" w:rsidRPr="004570ED" w:rsidRDefault="00C8491F" w:rsidP="00C8491F">
            <w:pPr>
              <w:pStyle w:val="Tabletext"/>
            </w:pPr>
            <w:r w:rsidRPr="004570ED">
              <w:t>-$136,465</w:t>
            </w:r>
          </w:p>
        </w:tc>
        <w:tc>
          <w:tcPr>
            <w:tcW w:w="633" w:type="pct"/>
            <w:shd w:val="clear" w:color="auto" w:fill="auto"/>
          </w:tcPr>
          <w:p w:rsidR="00C8491F" w:rsidRPr="004570ED" w:rsidRDefault="00C8491F" w:rsidP="00C8491F">
            <w:pPr>
              <w:pStyle w:val="Tabletext"/>
            </w:pPr>
            <w:r w:rsidRPr="004570ED">
              <w:t>-$136,894</w:t>
            </w:r>
          </w:p>
        </w:tc>
        <w:tc>
          <w:tcPr>
            <w:tcW w:w="634" w:type="pct"/>
            <w:shd w:val="clear" w:color="auto" w:fill="auto"/>
          </w:tcPr>
          <w:p w:rsidR="00C8491F" w:rsidRPr="004570ED" w:rsidRDefault="00C8491F" w:rsidP="00C8491F">
            <w:pPr>
              <w:pStyle w:val="Tabletext"/>
            </w:pPr>
            <w:r w:rsidRPr="004570ED">
              <w:t>-$137,323</w:t>
            </w:r>
          </w:p>
        </w:tc>
      </w:tr>
      <w:tr w:rsidR="00C8491F" w:rsidRPr="00536CA0" w:rsidTr="00C8491F">
        <w:tc>
          <w:tcPr>
            <w:tcW w:w="1653" w:type="pct"/>
            <w:shd w:val="clear" w:color="auto" w:fill="auto"/>
            <w:vAlign w:val="center"/>
          </w:tcPr>
          <w:p w:rsidR="00C8491F" w:rsidRPr="00B57E5C" w:rsidRDefault="00C8491F" w:rsidP="00791EC7">
            <w:pPr>
              <w:pStyle w:val="Tabletext"/>
            </w:pPr>
            <w:r>
              <w:t>Total benefits (at 85% benefit)</w:t>
            </w:r>
          </w:p>
        </w:tc>
        <w:tc>
          <w:tcPr>
            <w:tcW w:w="814" w:type="pct"/>
            <w:shd w:val="clear" w:color="auto" w:fill="auto"/>
          </w:tcPr>
          <w:p w:rsidR="00C8491F" w:rsidRPr="004570ED" w:rsidRDefault="00C8491F" w:rsidP="00C8491F">
            <w:pPr>
              <w:pStyle w:val="Tabletext"/>
            </w:pPr>
            <w:r w:rsidRPr="004570ED">
              <w:t>-$115,543</w:t>
            </w:r>
          </w:p>
        </w:tc>
        <w:tc>
          <w:tcPr>
            <w:tcW w:w="633" w:type="pct"/>
            <w:shd w:val="clear" w:color="auto" w:fill="auto"/>
          </w:tcPr>
          <w:p w:rsidR="00C8491F" w:rsidRPr="004570ED" w:rsidRDefault="00C8491F" w:rsidP="00C8491F">
            <w:pPr>
              <w:pStyle w:val="Tabletext"/>
            </w:pPr>
            <w:r w:rsidRPr="004570ED">
              <w:t>-$115,908</w:t>
            </w:r>
          </w:p>
        </w:tc>
        <w:tc>
          <w:tcPr>
            <w:tcW w:w="633" w:type="pct"/>
            <w:shd w:val="clear" w:color="auto" w:fill="auto"/>
          </w:tcPr>
          <w:p w:rsidR="00C8491F" w:rsidRPr="004570ED" w:rsidRDefault="00C8491F" w:rsidP="00C8491F">
            <w:pPr>
              <w:pStyle w:val="Tabletext"/>
            </w:pPr>
            <w:r w:rsidRPr="004570ED">
              <w:t>-$116,274</w:t>
            </w:r>
          </w:p>
        </w:tc>
        <w:tc>
          <w:tcPr>
            <w:tcW w:w="633" w:type="pct"/>
            <w:shd w:val="clear" w:color="auto" w:fill="auto"/>
          </w:tcPr>
          <w:p w:rsidR="00C8491F" w:rsidRPr="004570ED" w:rsidRDefault="00C8491F" w:rsidP="00C8491F">
            <w:pPr>
              <w:pStyle w:val="Tabletext"/>
            </w:pPr>
            <w:r w:rsidRPr="004570ED">
              <w:t>-$116,639</w:t>
            </w:r>
          </w:p>
        </w:tc>
        <w:tc>
          <w:tcPr>
            <w:tcW w:w="634" w:type="pct"/>
            <w:shd w:val="clear" w:color="auto" w:fill="auto"/>
          </w:tcPr>
          <w:p w:rsidR="00C8491F" w:rsidRDefault="00C8491F" w:rsidP="00C8491F">
            <w:pPr>
              <w:pStyle w:val="Tabletext"/>
            </w:pPr>
            <w:r w:rsidRPr="004570ED">
              <w:t>-$117,004</w:t>
            </w:r>
          </w:p>
        </w:tc>
      </w:tr>
      <w:tr w:rsidR="006F00EE" w:rsidRPr="00536CA0" w:rsidTr="006F00EE">
        <w:tc>
          <w:tcPr>
            <w:tcW w:w="5000" w:type="pct"/>
            <w:gridSpan w:val="6"/>
            <w:shd w:val="clear" w:color="auto" w:fill="auto"/>
            <w:vAlign w:val="center"/>
          </w:tcPr>
          <w:p w:rsidR="006F00EE" w:rsidRPr="006F00EE" w:rsidRDefault="006F00EE" w:rsidP="00791EC7">
            <w:pPr>
              <w:pStyle w:val="Tabletext"/>
              <w:rPr>
                <w:b/>
              </w:rPr>
            </w:pPr>
            <w:r w:rsidRPr="006F00EE">
              <w:rPr>
                <w:b/>
              </w:rPr>
              <w:t>Services due to follow-up tests after a positive result</w:t>
            </w:r>
          </w:p>
        </w:tc>
      </w:tr>
      <w:tr w:rsidR="00C8491F" w:rsidRPr="00536CA0" w:rsidTr="00C8491F">
        <w:tc>
          <w:tcPr>
            <w:tcW w:w="1653" w:type="pct"/>
            <w:shd w:val="clear" w:color="auto" w:fill="auto"/>
            <w:vAlign w:val="center"/>
          </w:tcPr>
          <w:p w:rsidR="00C8491F" w:rsidRPr="00536CA0" w:rsidRDefault="00C8491F" w:rsidP="00791EC7">
            <w:pPr>
              <w:pStyle w:val="Tabletext"/>
            </w:pPr>
            <w:r>
              <w:t xml:space="preserve">Total benefits (at 100% benefit) </w:t>
            </w:r>
          </w:p>
        </w:tc>
        <w:tc>
          <w:tcPr>
            <w:tcW w:w="814" w:type="pct"/>
            <w:shd w:val="clear" w:color="auto" w:fill="auto"/>
          </w:tcPr>
          <w:p w:rsidR="00C8491F" w:rsidRPr="009C22C0" w:rsidRDefault="00C8491F" w:rsidP="00C8491F">
            <w:pPr>
              <w:pStyle w:val="Tabletext"/>
            </w:pPr>
            <w:r w:rsidRPr="009C22C0">
              <w:t>$78,260</w:t>
            </w:r>
          </w:p>
        </w:tc>
        <w:tc>
          <w:tcPr>
            <w:tcW w:w="633" w:type="pct"/>
            <w:shd w:val="clear" w:color="auto" w:fill="auto"/>
          </w:tcPr>
          <w:p w:rsidR="00C8491F" w:rsidRPr="009C22C0" w:rsidRDefault="00C8491F" w:rsidP="00C8491F">
            <w:pPr>
              <w:pStyle w:val="Tabletext"/>
            </w:pPr>
            <w:r w:rsidRPr="009C22C0">
              <w:t>$78,507</w:t>
            </w:r>
          </w:p>
        </w:tc>
        <w:tc>
          <w:tcPr>
            <w:tcW w:w="633" w:type="pct"/>
            <w:shd w:val="clear" w:color="auto" w:fill="auto"/>
          </w:tcPr>
          <w:p w:rsidR="00C8491F" w:rsidRPr="009C22C0" w:rsidRDefault="00C8491F" w:rsidP="00C8491F">
            <w:pPr>
              <w:pStyle w:val="Tabletext"/>
            </w:pPr>
            <w:r w:rsidRPr="009C22C0">
              <w:t>$78,755</w:t>
            </w:r>
          </w:p>
        </w:tc>
        <w:tc>
          <w:tcPr>
            <w:tcW w:w="633" w:type="pct"/>
            <w:shd w:val="clear" w:color="auto" w:fill="auto"/>
          </w:tcPr>
          <w:p w:rsidR="00C8491F" w:rsidRPr="009C22C0" w:rsidRDefault="00C8491F" w:rsidP="00C8491F">
            <w:pPr>
              <w:pStyle w:val="Tabletext"/>
            </w:pPr>
            <w:r w:rsidRPr="009C22C0">
              <w:t>$79,002</w:t>
            </w:r>
          </w:p>
        </w:tc>
        <w:tc>
          <w:tcPr>
            <w:tcW w:w="634" w:type="pct"/>
            <w:shd w:val="clear" w:color="auto" w:fill="auto"/>
          </w:tcPr>
          <w:p w:rsidR="00C8491F" w:rsidRPr="009C22C0" w:rsidRDefault="00C8491F" w:rsidP="00C8491F">
            <w:pPr>
              <w:pStyle w:val="Tabletext"/>
            </w:pPr>
            <w:r w:rsidRPr="009C22C0">
              <w:t>$79,250</w:t>
            </w:r>
          </w:p>
        </w:tc>
      </w:tr>
      <w:tr w:rsidR="00C8491F" w:rsidRPr="00536CA0" w:rsidTr="00C8491F">
        <w:tc>
          <w:tcPr>
            <w:tcW w:w="1653" w:type="pct"/>
            <w:shd w:val="clear" w:color="auto" w:fill="auto"/>
            <w:vAlign w:val="center"/>
          </w:tcPr>
          <w:p w:rsidR="00C8491F" w:rsidRPr="00B57E5C" w:rsidRDefault="00C8491F" w:rsidP="00791EC7">
            <w:pPr>
              <w:pStyle w:val="Tabletext"/>
            </w:pPr>
            <w:r>
              <w:t>Total benefits (at 85% benefit)</w:t>
            </w:r>
          </w:p>
        </w:tc>
        <w:tc>
          <w:tcPr>
            <w:tcW w:w="814" w:type="pct"/>
            <w:shd w:val="clear" w:color="auto" w:fill="auto"/>
          </w:tcPr>
          <w:p w:rsidR="00C8491F" w:rsidRPr="009C22C0" w:rsidRDefault="00C8491F" w:rsidP="00C8491F">
            <w:pPr>
              <w:pStyle w:val="Tabletext"/>
            </w:pPr>
            <w:r w:rsidRPr="009C22C0">
              <w:t>$66,680</w:t>
            </w:r>
          </w:p>
        </w:tc>
        <w:tc>
          <w:tcPr>
            <w:tcW w:w="633" w:type="pct"/>
            <w:shd w:val="clear" w:color="auto" w:fill="auto"/>
          </w:tcPr>
          <w:p w:rsidR="00C8491F" w:rsidRPr="009C22C0" w:rsidRDefault="00C8491F" w:rsidP="00C8491F">
            <w:pPr>
              <w:pStyle w:val="Tabletext"/>
            </w:pPr>
            <w:r w:rsidRPr="009C22C0">
              <w:t>$66,891</w:t>
            </w:r>
          </w:p>
        </w:tc>
        <w:tc>
          <w:tcPr>
            <w:tcW w:w="633" w:type="pct"/>
            <w:shd w:val="clear" w:color="auto" w:fill="auto"/>
          </w:tcPr>
          <w:p w:rsidR="00C8491F" w:rsidRPr="009C22C0" w:rsidRDefault="00C8491F" w:rsidP="00C8491F">
            <w:pPr>
              <w:pStyle w:val="Tabletext"/>
            </w:pPr>
            <w:r w:rsidRPr="009C22C0">
              <w:t>$67,102</w:t>
            </w:r>
          </w:p>
        </w:tc>
        <w:tc>
          <w:tcPr>
            <w:tcW w:w="633" w:type="pct"/>
            <w:shd w:val="clear" w:color="auto" w:fill="auto"/>
          </w:tcPr>
          <w:p w:rsidR="00C8491F" w:rsidRPr="009C22C0" w:rsidRDefault="00C8491F" w:rsidP="00C8491F">
            <w:pPr>
              <w:pStyle w:val="Tabletext"/>
            </w:pPr>
            <w:r w:rsidRPr="009C22C0">
              <w:t>$67,313</w:t>
            </w:r>
          </w:p>
        </w:tc>
        <w:tc>
          <w:tcPr>
            <w:tcW w:w="634" w:type="pct"/>
            <w:shd w:val="clear" w:color="auto" w:fill="auto"/>
          </w:tcPr>
          <w:p w:rsidR="00C8491F" w:rsidRDefault="00C8491F" w:rsidP="00C8491F">
            <w:pPr>
              <w:pStyle w:val="Tabletext"/>
            </w:pPr>
            <w:r w:rsidRPr="009C22C0">
              <w:t>$67,524</w:t>
            </w:r>
          </w:p>
        </w:tc>
      </w:tr>
      <w:tr w:rsidR="006F00EE" w:rsidRPr="00536CA0" w:rsidTr="006F00EE">
        <w:tc>
          <w:tcPr>
            <w:tcW w:w="5000" w:type="pct"/>
            <w:gridSpan w:val="6"/>
            <w:shd w:val="clear" w:color="auto" w:fill="auto"/>
            <w:vAlign w:val="bottom"/>
          </w:tcPr>
          <w:p w:rsidR="006F00EE" w:rsidRPr="006F00EE" w:rsidRDefault="006F00EE" w:rsidP="00791EC7">
            <w:pPr>
              <w:pStyle w:val="Tabletext"/>
              <w:rPr>
                <w:b/>
              </w:rPr>
            </w:pPr>
            <w:r w:rsidRPr="006F00EE">
              <w:rPr>
                <w:b/>
              </w:rPr>
              <w:t>Services due to other follow-up investigations</w:t>
            </w:r>
          </w:p>
        </w:tc>
      </w:tr>
      <w:tr w:rsidR="00C5321C" w:rsidRPr="00536CA0" w:rsidTr="00C8491F">
        <w:tc>
          <w:tcPr>
            <w:tcW w:w="1653" w:type="pct"/>
            <w:shd w:val="clear" w:color="auto" w:fill="auto"/>
            <w:vAlign w:val="center"/>
          </w:tcPr>
          <w:p w:rsidR="00C5321C" w:rsidRPr="00536CA0" w:rsidRDefault="00C5321C" w:rsidP="00791EC7">
            <w:pPr>
              <w:pStyle w:val="Tabletext"/>
            </w:pPr>
            <w:r>
              <w:t xml:space="preserve">Total benefits (at 100% benefit) </w:t>
            </w:r>
          </w:p>
        </w:tc>
        <w:tc>
          <w:tcPr>
            <w:tcW w:w="814"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4" w:type="pct"/>
            <w:shd w:val="clear" w:color="auto" w:fill="auto"/>
            <w:vAlign w:val="bottom"/>
          </w:tcPr>
          <w:p w:rsidR="00C5321C" w:rsidRPr="00140B81" w:rsidRDefault="00C5321C" w:rsidP="00791EC7">
            <w:pPr>
              <w:pStyle w:val="Tabletext"/>
            </w:pPr>
            <w:r w:rsidRPr="00140B81">
              <w:t>$0</w:t>
            </w:r>
          </w:p>
        </w:tc>
      </w:tr>
      <w:tr w:rsidR="00C5321C" w:rsidRPr="00536CA0" w:rsidTr="00C8491F">
        <w:tc>
          <w:tcPr>
            <w:tcW w:w="1653" w:type="pct"/>
            <w:shd w:val="clear" w:color="auto" w:fill="auto"/>
            <w:vAlign w:val="center"/>
          </w:tcPr>
          <w:p w:rsidR="00C5321C" w:rsidRPr="00B57E5C" w:rsidRDefault="00C5321C" w:rsidP="00791EC7">
            <w:pPr>
              <w:pStyle w:val="Tabletext"/>
            </w:pPr>
            <w:r>
              <w:t>Total benefits (at 85% benefit)</w:t>
            </w:r>
          </w:p>
        </w:tc>
        <w:tc>
          <w:tcPr>
            <w:tcW w:w="814"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4" w:type="pct"/>
            <w:shd w:val="clear" w:color="auto" w:fill="auto"/>
            <w:vAlign w:val="bottom"/>
          </w:tcPr>
          <w:p w:rsidR="00C5321C" w:rsidRPr="00140B81" w:rsidRDefault="00C5321C" w:rsidP="00791EC7">
            <w:pPr>
              <w:pStyle w:val="Tabletext"/>
            </w:pPr>
            <w:r w:rsidRPr="00140B81">
              <w:t>$0</w:t>
            </w:r>
          </w:p>
        </w:tc>
      </w:tr>
      <w:tr w:rsidR="006F00EE" w:rsidRPr="00536CA0" w:rsidTr="006F00EE">
        <w:tc>
          <w:tcPr>
            <w:tcW w:w="5000" w:type="pct"/>
            <w:gridSpan w:val="6"/>
            <w:shd w:val="clear" w:color="auto" w:fill="auto"/>
            <w:vAlign w:val="bottom"/>
          </w:tcPr>
          <w:p w:rsidR="006F00EE" w:rsidRPr="006F00EE" w:rsidRDefault="006F00EE" w:rsidP="00791EC7">
            <w:pPr>
              <w:pStyle w:val="Tabletext"/>
              <w:rPr>
                <w:b/>
              </w:rPr>
            </w:pPr>
            <w:r w:rsidRPr="006F00EE">
              <w:rPr>
                <w:b/>
              </w:rPr>
              <w:t>Overall</w:t>
            </w:r>
          </w:p>
        </w:tc>
      </w:tr>
      <w:tr w:rsidR="00C8491F" w:rsidRPr="00536CA0" w:rsidTr="00C8491F">
        <w:tc>
          <w:tcPr>
            <w:tcW w:w="1653" w:type="pct"/>
            <w:shd w:val="clear" w:color="auto" w:fill="auto"/>
            <w:vAlign w:val="center"/>
          </w:tcPr>
          <w:p w:rsidR="00C8491F" w:rsidRPr="00536CA0" w:rsidRDefault="00C8491F" w:rsidP="006F00EE">
            <w:pPr>
              <w:pStyle w:val="Tabletext"/>
            </w:pPr>
            <w:r>
              <w:t xml:space="preserve">Total benefits (at 100% benefit) </w:t>
            </w:r>
          </w:p>
        </w:tc>
        <w:tc>
          <w:tcPr>
            <w:tcW w:w="814" w:type="pct"/>
            <w:shd w:val="clear" w:color="auto" w:fill="auto"/>
          </w:tcPr>
          <w:p w:rsidR="00C8491F" w:rsidRPr="002A3756" w:rsidRDefault="00C8491F" w:rsidP="00C8491F">
            <w:pPr>
              <w:pStyle w:val="Tabletext"/>
            </w:pPr>
            <w:r w:rsidRPr="002A3756">
              <w:t>-$57,347</w:t>
            </w:r>
          </w:p>
        </w:tc>
        <w:tc>
          <w:tcPr>
            <w:tcW w:w="633" w:type="pct"/>
            <w:shd w:val="clear" w:color="auto" w:fill="auto"/>
          </w:tcPr>
          <w:p w:rsidR="00C8491F" w:rsidRPr="002A3756" w:rsidRDefault="00C8491F" w:rsidP="00C8491F">
            <w:pPr>
              <w:pStyle w:val="Tabletext"/>
            </w:pPr>
            <w:r w:rsidRPr="002A3756">
              <w:t>-$57,529</w:t>
            </w:r>
          </w:p>
        </w:tc>
        <w:tc>
          <w:tcPr>
            <w:tcW w:w="633" w:type="pct"/>
            <w:shd w:val="clear" w:color="auto" w:fill="auto"/>
          </w:tcPr>
          <w:p w:rsidR="00C8491F" w:rsidRPr="002A3756" w:rsidRDefault="00C8491F" w:rsidP="00C8491F">
            <w:pPr>
              <w:pStyle w:val="Tabletext"/>
            </w:pPr>
            <w:r w:rsidRPr="002A3756">
              <w:t>-$57,710</w:t>
            </w:r>
          </w:p>
        </w:tc>
        <w:tc>
          <w:tcPr>
            <w:tcW w:w="633" w:type="pct"/>
            <w:shd w:val="clear" w:color="auto" w:fill="auto"/>
          </w:tcPr>
          <w:p w:rsidR="00C8491F" w:rsidRPr="002A3756" w:rsidRDefault="00C8491F" w:rsidP="00C8491F">
            <w:pPr>
              <w:pStyle w:val="Tabletext"/>
            </w:pPr>
            <w:r w:rsidRPr="002A3756">
              <w:t>-$57,892</w:t>
            </w:r>
          </w:p>
        </w:tc>
        <w:tc>
          <w:tcPr>
            <w:tcW w:w="634" w:type="pct"/>
            <w:shd w:val="clear" w:color="auto" w:fill="auto"/>
          </w:tcPr>
          <w:p w:rsidR="00C8491F" w:rsidRPr="002A3756" w:rsidRDefault="00C8491F" w:rsidP="00C8491F">
            <w:pPr>
              <w:pStyle w:val="Tabletext"/>
            </w:pPr>
            <w:r w:rsidRPr="002A3756">
              <w:t>-$58,073</w:t>
            </w:r>
          </w:p>
        </w:tc>
      </w:tr>
      <w:tr w:rsidR="00C8491F" w:rsidRPr="00536CA0" w:rsidTr="00C8491F">
        <w:tc>
          <w:tcPr>
            <w:tcW w:w="1653" w:type="pct"/>
            <w:shd w:val="clear" w:color="auto" w:fill="auto"/>
            <w:vAlign w:val="center"/>
          </w:tcPr>
          <w:p w:rsidR="00C8491F" w:rsidRPr="00B57E5C" w:rsidRDefault="00C8491F" w:rsidP="00791EC7">
            <w:pPr>
              <w:pStyle w:val="Tabletext"/>
            </w:pPr>
            <w:r>
              <w:t>Total benefits (at 85% benefit)</w:t>
            </w:r>
          </w:p>
        </w:tc>
        <w:tc>
          <w:tcPr>
            <w:tcW w:w="814" w:type="pct"/>
            <w:shd w:val="clear" w:color="auto" w:fill="auto"/>
          </w:tcPr>
          <w:p w:rsidR="00C8491F" w:rsidRPr="002A3756" w:rsidRDefault="00C8491F" w:rsidP="00C8491F">
            <w:pPr>
              <w:pStyle w:val="Tabletext"/>
            </w:pPr>
            <w:r w:rsidRPr="002A3756">
              <w:t>-$48,862</w:t>
            </w:r>
          </w:p>
        </w:tc>
        <w:tc>
          <w:tcPr>
            <w:tcW w:w="633" w:type="pct"/>
            <w:shd w:val="clear" w:color="auto" w:fill="auto"/>
          </w:tcPr>
          <w:p w:rsidR="00C8491F" w:rsidRPr="002A3756" w:rsidRDefault="00C8491F" w:rsidP="00C8491F">
            <w:pPr>
              <w:pStyle w:val="Tabletext"/>
            </w:pPr>
            <w:r w:rsidRPr="002A3756">
              <w:t>-$49,017</w:t>
            </w:r>
          </w:p>
        </w:tc>
        <w:tc>
          <w:tcPr>
            <w:tcW w:w="633" w:type="pct"/>
            <w:shd w:val="clear" w:color="auto" w:fill="auto"/>
          </w:tcPr>
          <w:p w:rsidR="00C8491F" w:rsidRPr="002A3756" w:rsidRDefault="00C8491F" w:rsidP="00C8491F">
            <w:pPr>
              <w:pStyle w:val="Tabletext"/>
            </w:pPr>
            <w:r w:rsidRPr="002A3756">
              <w:t>-$49,171</w:t>
            </w:r>
          </w:p>
        </w:tc>
        <w:tc>
          <w:tcPr>
            <w:tcW w:w="633" w:type="pct"/>
            <w:shd w:val="clear" w:color="auto" w:fill="auto"/>
          </w:tcPr>
          <w:p w:rsidR="00C8491F" w:rsidRPr="002A3756" w:rsidRDefault="00C8491F" w:rsidP="00C8491F">
            <w:pPr>
              <w:pStyle w:val="Tabletext"/>
            </w:pPr>
            <w:r w:rsidRPr="002A3756">
              <w:t>-$49,326</w:t>
            </w:r>
          </w:p>
        </w:tc>
        <w:tc>
          <w:tcPr>
            <w:tcW w:w="634" w:type="pct"/>
            <w:shd w:val="clear" w:color="auto" w:fill="auto"/>
          </w:tcPr>
          <w:p w:rsidR="00C8491F" w:rsidRDefault="00C8491F" w:rsidP="00C8491F">
            <w:pPr>
              <w:pStyle w:val="Tabletext"/>
            </w:pPr>
            <w:r w:rsidRPr="002A3756">
              <w:t>-$49,480</w:t>
            </w:r>
          </w:p>
        </w:tc>
      </w:tr>
    </w:tbl>
    <w:p w:rsidR="00C5321C" w:rsidRDefault="00C5321C" w:rsidP="00C5321C"/>
    <w:p w:rsidR="00C5321C" w:rsidRPr="00224612" w:rsidRDefault="00224612" w:rsidP="00C5321C">
      <w:pPr>
        <w:pStyle w:val="Heading4"/>
        <w:rPr>
          <w:rFonts w:ascii="Gill Sans MT" w:hAnsi="Gill Sans MT"/>
        </w:rPr>
      </w:pPr>
      <w:r>
        <w:rPr>
          <w:rFonts w:ascii="Gill Sans MT" w:hAnsi="Gill Sans MT"/>
        </w:rPr>
        <w:t>Savings in terms of patient</w:t>
      </w:r>
      <w:r w:rsidR="00C5321C" w:rsidRPr="0045013A">
        <w:rPr>
          <w:rFonts w:ascii="Gill Sans MT" w:hAnsi="Gill Sans MT"/>
        </w:rPr>
        <w:t>s</w:t>
      </w:r>
      <w:r>
        <w:rPr>
          <w:rFonts w:ascii="Gill Sans MT" w:hAnsi="Gill Sans MT"/>
        </w:rPr>
        <w:t>’</w:t>
      </w:r>
      <w:r w:rsidR="00C5321C" w:rsidRPr="0045013A">
        <w:rPr>
          <w:rFonts w:ascii="Gill Sans MT" w:hAnsi="Gill Sans MT"/>
        </w:rPr>
        <w:t xml:space="preserve"> out-of-pocket expense</w:t>
      </w:r>
      <w:r>
        <w:rPr>
          <w:rFonts w:ascii="Gill Sans MT" w:hAnsi="Gill Sans MT"/>
        </w:rPr>
        <w:t>s</w:t>
      </w:r>
    </w:p>
    <w:p w:rsidR="00C5321C" w:rsidRDefault="00C5321C" w:rsidP="00C5321C">
      <w:r>
        <w:t xml:space="preserve">It has been discussed that up to </w:t>
      </w:r>
      <w:r w:rsidR="00C8491F">
        <w:t>18</w:t>
      </w:r>
      <w:r>
        <w:t xml:space="preserve">% of </w:t>
      </w:r>
      <w:r w:rsidRPr="0045013A">
        <w:t xml:space="preserve">smears </w:t>
      </w:r>
      <w:r>
        <w:t xml:space="preserve">are currently </w:t>
      </w:r>
      <w:r w:rsidRPr="0045013A">
        <w:t>collected as a split sample (conventional as well as LBC). In these cases, the cost of conventional cytology is met by the MBS, while the cost of LBC is paid for by the patient. Referring practitioners and labora</w:t>
      </w:r>
      <w:r w:rsidR="00C8491F">
        <w:t>tories currently charge over $45</w:t>
      </w:r>
      <w:r w:rsidRPr="0045013A">
        <w:t xml:space="preserve"> for LBC tests.</w:t>
      </w:r>
      <w:r>
        <w:t xml:space="preserve"> </w:t>
      </w:r>
    </w:p>
    <w:p w:rsidR="00C5321C" w:rsidRDefault="00C5321C" w:rsidP="00C5321C">
      <w:r>
        <w:t xml:space="preserve">The proposed listing of </w:t>
      </w:r>
      <w:r w:rsidR="002E19A8">
        <w:t xml:space="preserve">cell enrichment LBC </w:t>
      </w:r>
      <w:r>
        <w:t xml:space="preserve">will thus generate substantial savings to the total financial burden associated with Pap smear cytology tests that is currently privately born by women themselves. </w:t>
      </w:r>
      <w:r w:rsidR="00086C77">
        <w:fldChar w:fldCharType="begin"/>
      </w:r>
      <w:r>
        <w:instrText xml:space="preserve"> REF _Ref334695266 \h </w:instrText>
      </w:r>
      <w:r w:rsidR="00086C77">
        <w:fldChar w:fldCharType="separate"/>
      </w:r>
      <w:r w:rsidR="003361A8" w:rsidRPr="009C1F99">
        <w:t xml:space="preserve">Table </w:t>
      </w:r>
      <w:r w:rsidR="003361A8">
        <w:rPr>
          <w:noProof/>
        </w:rPr>
        <w:t>100</w:t>
      </w:r>
      <w:r w:rsidR="00086C77">
        <w:fldChar w:fldCharType="end"/>
      </w:r>
      <w:r w:rsidR="00340838">
        <w:t xml:space="preserve"> </w:t>
      </w:r>
      <w:r>
        <w:t>estimates that th</w:t>
      </w:r>
      <w:r w:rsidR="00C8491F">
        <w:t>ese savings would be up to $13.9</w:t>
      </w:r>
      <w:r>
        <w:t xml:space="preserve"> million a year. </w:t>
      </w:r>
    </w:p>
    <w:p w:rsidR="00C5321C" w:rsidRPr="009C1F99" w:rsidRDefault="00C5321C" w:rsidP="00C5321C">
      <w:pPr>
        <w:pStyle w:val="Tablecaption"/>
      </w:pPr>
      <w:bookmarkStart w:id="635" w:name="_Ref334695266"/>
      <w:bookmarkStart w:id="636" w:name="_Toc335666073"/>
      <w:bookmarkStart w:id="637" w:name="_Toc337547040"/>
      <w:r w:rsidRPr="009C1F99">
        <w:t xml:space="preserve">Table </w:t>
      </w:r>
      <w:fldSimple w:instr=" SEQ Table \* ARABIC ">
        <w:r w:rsidR="003361A8">
          <w:rPr>
            <w:noProof/>
          </w:rPr>
          <w:t>100</w:t>
        </w:r>
      </w:fldSimple>
      <w:bookmarkEnd w:id="635"/>
      <w:r w:rsidRPr="009C1F99">
        <w:tab/>
      </w:r>
      <w:r>
        <w:t>Out-of-pocket costs due to the use of LBC in split sample collection</w:t>
      </w:r>
      <w:bookmarkEnd w:id="636"/>
      <w:bookmarkEnd w:id="637"/>
      <w: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9"/>
        <w:gridCol w:w="1186"/>
        <w:gridCol w:w="1129"/>
        <w:gridCol w:w="1129"/>
        <w:gridCol w:w="1129"/>
        <w:gridCol w:w="1129"/>
      </w:tblGrid>
      <w:tr w:rsidR="00C5321C" w:rsidRPr="00224612" w:rsidTr="00224612">
        <w:tc>
          <w:tcPr>
            <w:tcW w:w="0" w:type="auto"/>
            <w:shd w:val="clear" w:color="auto" w:fill="auto"/>
          </w:tcPr>
          <w:p w:rsidR="00C5321C" w:rsidRPr="00224612" w:rsidRDefault="00C5321C" w:rsidP="00224612">
            <w:pPr>
              <w:pStyle w:val="Tabletext"/>
              <w:rPr>
                <w:b/>
              </w:rPr>
            </w:pPr>
            <w:r w:rsidRPr="00224612">
              <w:rPr>
                <w:b/>
              </w:rPr>
              <w:t>Year</w:t>
            </w:r>
          </w:p>
        </w:tc>
        <w:tc>
          <w:tcPr>
            <w:tcW w:w="0" w:type="auto"/>
            <w:shd w:val="clear" w:color="auto" w:fill="auto"/>
          </w:tcPr>
          <w:p w:rsidR="00C5321C" w:rsidRPr="00224612" w:rsidRDefault="00C5321C" w:rsidP="00224612">
            <w:pPr>
              <w:pStyle w:val="Tabletext"/>
              <w:rPr>
                <w:b/>
              </w:rPr>
            </w:pPr>
            <w:r w:rsidRPr="00224612">
              <w:rPr>
                <w:b/>
              </w:rPr>
              <w:t>Year 1 (2013)</w:t>
            </w:r>
          </w:p>
        </w:tc>
        <w:tc>
          <w:tcPr>
            <w:tcW w:w="0" w:type="auto"/>
            <w:shd w:val="clear" w:color="auto" w:fill="auto"/>
          </w:tcPr>
          <w:p w:rsidR="00C5321C" w:rsidRPr="00224612" w:rsidRDefault="00C5321C" w:rsidP="00224612">
            <w:pPr>
              <w:pStyle w:val="Tabletext"/>
              <w:rPr>
                <w:b/>
              </w:rPr>
            </w:pPr>
            <w:r w:rsidRPr="00224612">
              <w:rPr>
                <w:b/>
              </w:rPr>
              <w:t>Year 2</w:t>
            </w:r>
          </w:p>
        </w:tc>
        <w:tc>
          <w:tcPr>
            <w:tcW w:w="0" w:type="auto"/>
            <w:shd w:val="clear" w:color="auto" w:fill="auto"/>
          </w:tcPr>
          <w:p w:rsidR="00C5321C" w:rsidRPr="00224612" w:rsidRDefault="00C5321C" w:rsidP="00224612">
            <w:pPr>
              <w:pStyle w:val="Tabletext"/>
              <w:rPr>
                <w:b/>
              </w:rPr>
            </w:pPr>
            <w:r w:rsidRPr="00224612">
              <w:rPr>
                <w:b/>
              </w:rPr>
              <w:t>Year 3</w:t>
            </w:r>
          </w:p>
        </w:tc>
        <w:tc>
          <w:tcPr>
            <w:tcW w:w="0" w:type="auto"/>
            <w:shd w:val="clear" w:color="auto" w:fill="auto"/>
          </w:tcPr>
          <w:p w:rsidR="00C5321C" w:rsidRPr="00224612" w:rsidRDefault="00C5321C" w:rsidP="00224612">
            <w:pPr>
              <w:pStyle w:val="Tabletext"/>
              <w:rPr>
                <w:b/>
              </w:rPr>
            </w:pPr>
            <w:r w:rsidRPr="00224612">
              <w:rPr>
                <w:b/>
              </w:rPr>
              <w:t>Year 4</w:t>
            </w:r>
          </w:p>
        </w:tc>
        <w:tc>
          <w:tcPr>
            <w:tcW w:w="0" w:type="auto"/>
            <w:shd w:val="clear" w:color="auto" w:fill="auto"/>
          </w:tcPr>
          <w:p w:rsidR="00C5321C" w:rsidRPr="00224612" w:rsidRDefault="00C5321C" w:rsidP="00224612">
            <w:pPr>
              <w:pStyle w:val="Tabletext"/>
              <w:rPr>
                <w:b/>
              </w:rPr>
            </w:pPr>
            <w:r w:rsidRPr="00224612">
              <w:rPr>
                <w:b/>
              </w:rPr>
              <w:t>Year 5</w:t>
            </w:r>
          </w:p>
        </w:tc>
      </w:tr>
      <w:tr w:rsidR="00C8491F" w:rsidRPr="00536CA0" w:rsidTr="00C8491F">
        <w:tc>
          <w:tcPr>
            <w:tcW w:w="0" w:type="auto"/>
            <w:shd w:val="clear" w:color="auto" w:fill="auto"/>
          </w:tcPr>
          <w:p w:rsidR="00C8491F" w:rsidRPr="00EA0FB6" w:rsidRDefault="00C8491F" w:rsidP="00340838">
            <w:pPr>
              <w:pStyle w:val="Tabletext"/>
            </w:pPr>
            <w:r w:rsidRPr="00EA0FB6">
              <w:t xml:space="preserve">Total conventional cytology without </w:t>
            </w:r>
            <w:r w:rsidR="002E19A8" w:rsidRPr="002E19A8">
              <w:t>cell enrichment LBC</w:t>
            </w:r>
            <w:r w:rsidRPr="00EA0FB6">
              <w:t xml:space="preserve"> listing</w:t>
            </w:r>
          </w:p>
        </w:tc>
        <w:tc>
          <w:tcPr>
            <w:tcW w:w="0" w:type="auto"/>
            <w:shd w:val="clear" w:color="auto" w:fill="auto"/>
          </w:tcPr>
          <w:p w:rsidR="00C8491F" w:rsidRPr="005F2F80" w:rsidRDefault="00C8491F" w:rsidP="00C8491F">
            <w:pPr>
              <w:pStyle w:val="Tabletext"/>
            </w:pPr>
            <w:r w:rsidRPr="005F2F80">
              <w:t>1,698,776</w:t>
            </w:r>
          </w:p>
        </w:tc>
        <w:tc>
          <w:tcPr>
            <w:tcW w:w="0" w:type="auto"/>
            <w:shd w:val="clear" w:color="auto" w:fill="auto"/>
          </w:tcPr>
          <w:p w:rsidR="00C8491F" w:rsidRPr="005F2F80" w:rsidRDefault="00C8491F" w:rsidP="00C8491F">
            <w:pPr>
              <w:pStyle w:val="Tabletext"/>
            </w:pPr>
            <w:r w:rsidRPr="005F2F80">
              <w:t>1,703,192</w:t>
            </w:r>
          </w:p>
        </w:tc>
        <w:tc>
          <w:tcPr>
            <w:tcW w:w="0" w:type="auto"/>
            <w:shd w:val="clear" w:color="auto" w:fill="auto"/>
          </w:tcPr>
          <w:p w:rsidR="00C8491F" w:rsidRPr="005F2F80" w:rsidRDefault="00C8491F" w:rsidP="00C8491F">
            <w:pPr>
              <w:pStyle w:val="Tabletext"/>
            </w:pPr>
            <w:r w:rsidRPr="005F2F80">
              <w:t>1,707,608</w:t>
            </w:r>
          </w:p>
        </w:tc>
        <w:tc>
          <w:tcPr>
            <w:tcW w:w="0" w:type="auto"/>
            <w:shd w:val="clear" w:color="auto" w:fill="auto"/>
          </w:tcPr>
          <w:p w:rsidR="00C8491F" w:rsidRPr="005F2F80" w:rsidRDefault="00C8491F" w:rsidP="00C8491F">
            <w:pPr>
              <w:pStyle w:val="Tabletext"/>
            </w:pPr>
            <w:r w:rsidRPr="005F2F80">
              <w:t>1,712,024</w:t>
            </w:r>
          </w:p>
        </w:tc>
        <w:tc>
          <w:tcPr>
            <w:tcW w:w="0" w:type="auto"/>
            <w:shd w:val="clear" w:color="auto" w:fill="auto"/>
          </w:tcPr>
          <w:p w:rsidR="00C8491F" w:rsidRPr="005F2F80" w:rsidRDefault="00C8491F" w:rsidP="00C8491F">
            <w:pPr>
              <w:pStyle w:val="Tabletext"/>
            </w:pPr>
            <w:r w:rsidRPr="005F2F80">
              <w:t>1,716,440</w:t>
            </w:r>
          </w:p>
        </w:tc>
      </w:tr>
      <w:tr w:rsidR="00C8491F" w:rsidRPr="00536CA0" w:rsidTr="00C8491F">
        <w:tc>
          <w:tcPr>
            <w:tcW w:w="0" w:type="auto"/>
            <w:shd w:val="clear" w:color="auto" w:fill="auto"/>
          </w:tcPr>
          <w:p w:rsidR="00C8491F" w:rsidRPr="00EA0FB6" w:rsidRDefault="00C8491F" w:rsidP="00340838">
            <w:pPr>
              <w:pStyle w:val="Tabletext"/>
            </w:pPr>
            <w:r w:rsidRPr="00EA0FB6">
              <w:t>% with split sample</w:t>
            </w:r>
          </w:p>
        </w:tc>
        <w:tc>
          <w:tcPr>
            <w:tcW w:w="0" w:type="auto"/>
            <w:shd w:val="clear" w:color="auto" w:fill="auto"/>
          </w:tcPr>
          <w:p w:rsidR="00C8491F" w:rsidRPr="005F2F80" w:rsidRDefault="00C8491F" w:rsidP="00C8491F">
            <w:pPr>
              <w:pStyle w:val="Tabletext"/>
            </w:pPr>
            <w:r w:rsidRPr="005F2F80">
              <w:t>18%</w:t>
            </w:r>
          </w:p>
        </w:tc>
        <w:tc>
          <w:tcPr>
            <w:tcW w:w="0" w:type="auto"/>
            <w:shd w:val="clear" w:color="auto" w:fill="auto"/>
          </w:tcPr>
          <w:p w:rsidR="00C8491F" w:rsidRPr="005F2F80" w:rsidRDefault="00C8491F" w:rsidP="00C8491F">
            <w:pPr>
              <w:pStyle w:val="Tabletext"/>
            </w:pPr>
            <w:r w:rsidRPr="005F2F80">
              <w:t>18%</w:t>
            </w:r>
          </w:p>
        </w:tc>
        <w:tc>
          <w:tcPr>
            <w:tcW w:w="0" w:type="auto"/>
            <w:shd w:val="clear" w:color="auto" w:fill="auto"/>
          </w:tcPr>
          <w:p w:rsidR="00C8491F" w:rsidRPr="005F2F80" w:rsidRDefault="00C8491F" w:rsidP="00C8491F">
            <w:pPr>
              <w:pStyle w:val="Tabletext"/>
            </w:pPr>
            <w:r w:rsidRPr="005F2F80">
              <w:t>18%</w:t>
            </w:r>
          </w:p>
        </w:tc>
        <w:tc>
          <w:tcPr>
            <w:tcW w:w="0" w:type="auto"/>
            <w:shd w:val="clear" w:color="auto" w:fill="auto"/>
          </w:tcPr>
          <w:p w:rsidR="00C8491F" w:rsidRPr="005F2F80" w:rsidRDefault="00C8491F" w:rsidP="00C8491F">
            <w:pPr>
              <w:pStyle w:val="Tabletext"/>
            </w:pPr>
            <w:r w:rsidRPr="005F2F80">
              <w:t>18%</w:t>
            </w:r>
          </w:p>
        </w:tc>
        <w:tc>
          <w:tcPr>
            <w:tcW w:w="0" w:type="auto"/>
            <w:shd w:val="clear" w:color="auto" w:fill="auto"/>
          </w:tcPr>
          <w:p w:rsidR="00C8491F" w:rsidRPr="005F2F80" w:rsidRDefault="00C8491F" w:rsidP="00C8491F">
            <w:pPr>
              <w:pStyle w:val="Tabletext"/>
            </w:pPr>
            <w:r w:rsidRPr="005F2F80">
              <w:t>18%</w:t>
            </w:r>
          </w:p>
        </w:tc>
      </w:tr>
      <w:tr w:rsidR="00C8491F" w:rsidRPr="00536CA0" w:rsidTr="00C8491F">
        <w:tc>
          <w:tcPr>
            <w:tcW w:w="0" w:type="auto"/>
            <w:shd w:val="clear" w:color="auto" w:fill="auto"/>
          </w:tcPr>
          <w:p w:rsidR="00C8491F" w:rsidRPr="00EA0FB6" w:rsidRDefault="00C8491F" w:rsidP="00340838">
            <w:pPr>
              <w:pStyle w:val="Tabletext"/>
            </w:pPr>
            <w:r w:rsidRPr="00EA0FB6">
              <w:t xml:space="preserve">Number of split samples </w:t>
            </w:r>
          </w:p>
        </w:tc>
        <w:tc>
          <w:tcPr>
            <w:tcW w:w="0" w:type="auto"/>
            <w:shd w:val="clear" w:color="auto" w:fill="auto"/>
          </w:tcPr>
          <w:p w:rsidR="00C8491F" w:rsidRPr="005F2F80" w:rsidRDefault="00C8491F" w:rsidP="00C8491F">
            <w:pPr>
              <w:pStyle w:val="Tabletext"/>
            </w:pPr>
            <w:r w:rsidRPr="005F2F80">
              <w:t>305,780</w:t>
            </w:r>
          </w:p>
        </w:tc>
        <w:tc>
          <w:tcPr>
            <w:tcW w:w="0" w:type="auto"/>
            <w:shd w:val="clear" w:color="auto" w:fill="auto"/>
          </w:tcPr>
          <w:p w:rsidR="00C8491F" w:rsidRPr="005F2F80" w:rsidRDefault="00C8491F" w:rsidP="00C8491F">
            <w:pPr>
              <w:pStyle w:val="Tabletext"/>
            </w:pPr>
            <w:r w:rsidRPr="005F2F80">
              <w:t>306,575</w:t>
            </w:r>
          </w:p>
        </w:tc>
        <w:tc>
          <w:tcPr>
            <w:tcW w:w="0" w:type="auto"/>
            <w:shd w:val="clear" w:color="auto" w:fill="auto"/>
          </w:tcPr>
          <w:p w:rsidR="00C8491F" w:rsidRPr="005F2F80" w:rsidRDefault="00C8491F" w:rsidP="00C8491F">
            <w:pPr>
              <w:pStyle w:val="Tabletext"/>
            </w:pPr>
            <w:r w:rsidRPr="005F2F80">
              <w:t>307,369</w:t>
            </w:r>
          </w:p>
        </w:tc>
        <w:tc>
          <w:tcPr>
            <w:tcW w:w="0" w:type="auto"/>
            <w:shd w:val="clear" w:color="auto" w:fill="auto"/>
          </w:tcPr>
          <w:p w:rsidR="00C8491F" w:rsidRPr="005F2F80" w:rsidRDefault="00C8491F" w:rsidP="00C8491F">
            <w:pPr>
              <w:pStyle w:val="Tabletext"/>
            </w:pPr>
            <w:r w:rsidRPr="005F2F80">
              <w:t>308,164</w:t>
            </w:r>
          </w:p>
        </w:tc>
        <w:tc>
          <w:tcPr>
            <w:tcW w:w="0" w:type="auto"/>
            <w:shd w:val="clear" w:color="auto" w:fill="auto"/>
          </w:tcPr>
          <w:p w:rsidR="00C8491F" w:rsidRPr="005F2F80" w:rsidRDefault="00C8491F" w:rsidP="00C8491F">
            <w:pPr>
              <w:pStyle w:val="Tabletext"/>
            </w:pPr>
            <w:r w:rsidRPr="005F2F80">
              <w:t>308,959</w:t>
            </w:r>
          </w:p>
        </w:tc>
      </w:tr>
      <w:tr w:rsidR="00C8491F" w:rsidRPr="00536CA0" w:rsidTr="00C8491F">
        <w:tc>
          <w:tcPr>
            <w:tcW w:w="0" w:type="auto"/>
            <w:shd w:val="clear" w:color="auto" w:fill="auto"/>
          </w:tcPr>
          <w:p w:rsidR="00C8491F" w:rsidRPr="00EA0FB6" w:rsidRDefault="00C8491F" w:rsidP="00340838">
            <w:pPr>
              <w:pStyle w:val="Tabletext"/>
            </w:pPr>
            <w:r>
              <w:t>Cost per LBC test</w:t>
            </w:r>
          </w:p>
        </w:tc>
        <w:tc>
          <w:tcPr>
            <w:tcW w:w="0" w:type="auto"/>
            <w:shd w:val="clear" w:color="auto" w:fill="auto"/>
          </w:tcPr>
          <w:p w:rsidR="00C8491F" w:rsidRPr="005F2F80" w:rsidRDefault="00C8491F" w:rsidP="00C8491F">
            <w:pPr>
              <w:pStyle w:val="Tabletext"/>
            </w:pPr>
            <w:r w:rsidRPr="005F2F80">
              <w:t>$45.00</w:t>
            </w:r>
          </w:p>
        </w:tc>
        <w:tc>
          <w:tcPr>
            <w:tcW w:w="0" w:type="auto"/>
            <w:shd w:val="clear" w:color="auto" w:fill="auto"/>
          </w:tcPr>
          <w:p w:rsidR="00C8491F" w:rsidRPr="005F2F80" w:rsidRDefault="00C8491F" w:rsidP="00C8491F">
            <w:pPr>
              <w:pStyle w:val="Tabletext"/>
            </w:pPr>
            <w:r w:rsidRPr="005F2F80">
              <w:t>$45.00</w:t>
            </w:r>
          </w:p>
        </w:tc>
        <w:tc>
          <w:tcPr>
            <w:tcW w:w="0" w:type="auto"/>
            <w:shd w:val="clear" w:color="auto" w:fill="auto"/>
          </w:tcPr>
          <w:p w:rsidR="00C8491F" w:rsidRPr="005F2F80" w:rsidRDefault="00C8491F" w:rsidP="00C8491F">
            <w:pPr>
              <w:pStyle w:val="Tabletext"/>
            </w:pPr>
            <w:r w:rsidRPr="005F2F80">
              <w:t>$45.00</w:t>
            </w:r>
          </w:p>
        </w:tc>
        <w:tc>
          <w:tcPr>
            <w:tcW w:w="0" w:type="auto"/>
            <w:shd w:val="clear" w:color="auto" w:fill="auto"/>
          </w:tcPr>
          <w:p w:rsidR="00C8491F" w:rsidRPr="005F2F80" w:rsidRDefault="00C8491F" w:rsidP="00C8491F">
            <w:pPr>
              <w:pStyle w:val="Tabletext"/>
            </w:pPr>
            <w:r w:rsidRPr="005F2F80">
              <w:t>$45.00</w:t>
            </w:r>
          </w:p>
        </w:tc>
        <w:tc>
          <w:tcPr>
            <w:tcW w:w="0" w:type="auto"/>
            <w:shd w:val="clear" w:color="auto" w:fill="auto"/>
          </w:tcPr>
          <w:p w:rsidR="00C8491F" w:rsidRPr="005F2F80" w:rsidRDefault="00C8491F" w:rsidP="00C8491F">
            <w:pPr>
              <w:pStyle w:val="Tabletext"/>
            </w:pPr>
            <w:r w:rsidRPr="005F2F80">
              <w:t>$45.00</w:t>
            </w:r>
          </w:p>
        </w:tc>
      </w:tr>
      <w:tr w:rsidR="00C8491F" w:rsidRPr="00536CA0" w:rsidTr="00C8491F">
        <w:tc>
          <w:tcPr>
            <w:tcW w:w="0" w:type="auto"/>
            <w:shd w:val="clear" w:color="auto" w:fill="auto"/>
          </w:tcPr>
          <w:p w:rsidR="00C8491F" w:rsidRDefault="00C8491F" w:rsidP="00340838">
            <w:pPr>
              <w:pStyle w:val="Tabletext"/>
            </w:pPr>
            <w:r w:rsidRPr="00EA0FB6">
              <w:t>Total costs of LBC</w:t>
            </w:r>
            <w:r>
              <w:t xml:space="preserve"> (privately paid)</w:t>
            </w:r>
            <w:r w:rsidRPr="00EA0FB6">
              <w:t xml:space="preserve"> </w:t>
            </w:r>
          </w:p>
        </w:tc>
        <w:tc>
          <w:tcPr>
            <w:tcW w:w="0" w:type="auto"/>
            <w:shd w:val="clear" w:color="auto" w:fill="auto"/>
          </w:tcPr>
          <w:p w:rsidR="00C8491F" w:rsidRPr="005F2F80" w:rsidRDefault="00C8491F" w:rsidP="00C8491F">
            <w:pPr>
              <w:pStyle w:val="Tabletext"/>
            </w:pPr>
            <w:r w:rsidRPr="005F2F80">
              <w:t>$13,760,086</w:t>
            </w:r>
          </w:p>
        </w:tc>
        <w:tc>
          <w:tcPr>
            <w:tcW w:w="0" w:type="auto"/>
            <w:shd w:val="clear" w:color="auto" w:fill="auto"/>
          </w:tcPr>
          <w:p w:rsidR="00C8491F" w:rsidRPr="005F2F80" w:rsidRDefault="00C8491F" w:rsidP="00C8491F">
            <w:pPr>
              <w:pStyle w:val="Tabletext"/>
            </w:pPr>
            <w:r w:rsidRPr="005F2F80">
              <w:t>$13,795,855</w:t>
            </w:r>
          </w:p>
        </w:tc>
        <w:tc>
          <w:tcPr>
            <w:tcW w:w="0" w:type="auto"/>
            <w:shd w:val="clear" w:color="auto" w:fill="auto"/>
          </w:tcPr>
          <w:p w:rsidR="00C8491F" w:rsidRPr="005F2F80" w:rsidRDefault="00C8491F" w:rsidP="00C8491F">
            <w:pPr>
              <w:pStyle w:val="Tabletext"/>
            </w:pPr>
            <w:r w:rsidRPr="005F2F80">
              <w:t>$13,831,625</w:t>
            </w:r>
          </w:p>
        </w:tc>
        <w:tc>
          <w:tcPr>
            <w:tcW w:w="0" w:type="auto"/>
            <w:shd w:val="clear" w:color="auto" w:fill="auto"/>
          </w:tcPr>
          <w:p w:rsidR="00C8491F" w:rsidRPr="005F2F80" w:rsidRDefault="00C8491F" w:rsidP="00C8491F">
            <w:pPr>
              <w:pStyle w:val="Tabletext"/>
            </w:pPr>
            <w:r w:rsidRPr="005F2F80">
              <w:t>$13,867,394</w:t>
            </w:r>
          </w:p>
        </w:tc>
        <w:tc>
          <w:tcPr>
            <w:tcW w:w="0" w:type="auto"/>
            <w:shd w:val="clear" w:color="auto" w:fill="auto"/>
          </w:tcPr>
          <w:p w:rsidR="00C8491F" w:rsidRDefault="00C8491F" w:rsidP="00C8491F">
            <w:pPr>
              <w:pStyle w:val="Tabletext"/>
            </w:pPr>
            <w:r w:rsidRPr="005F2F80">
              <w:t>$13,903,164</w:t>
            </w:r>
          </w:p>
        </w:tc>
      </w:tr>
    </w:tbl>
    <w:p w:rsidR="00C5321C" w:rsidRPr="0045013A" w:rsidRDefault="00C5321C" w:rsidP="00C5321C"/>
    <w:p w:rsidR="00C5321C" w:rsidRDefault="00C5321C" w:rsidP="00C5321C">
      <w:pPr>
        <w:pStyle w:val="Heading20"/>
      </w:pPr>
      <w:bookmarkStart w:id="638" w:name="_Toc337546933"/>
      <w:r>
        <w:lastRenderedPageBreak/>
        <w:t>E.5</w:t>
      </w:r>
      <w:r>
        <w:tab/>
      </w:r>
      <w:r w:rsidRPr="00834590">
        <w:t>Estimated financial implications for government health budgets</w:t>
      </w:r>
      <w:bookmarkEnd w:id="638"/>
    </w:p>
    <w:p w:rsidR="00C5321C" w:rsidRDefault="00340838" w:rsidP="00C5321C">
      <w:r>
        <w:t xml:space="preserve">Section D </w:t>
      </w:r>
      <w:r w:rsidR="00C5321C">
        <w:t>considered, in addition to the cost of cytology testing, cost of consultation (at the time of smear collection. Each consultation is estimated to cost $40.57, which reflects the weighted average cost of MBS items 3, 23, 36, 44, 52, 53, 54, 57, 104, 105 (see Section D).</w:t>
      </w:r>
    </w:p>
    <w:p w:rsidR="00C5321C" w:rsidRDefault="00086C77" w:rsidP="00C5321C">
      <w:r>
        <w:fldChar w:fldCharType="begin"/>
      </w:r>
      <w:r w:rsidR="00C5321C">
        <w:instrText xml:space="preserve"> REF _Ref334707599 \h </w:instrText>
      </w:r>
      <w:r>
        <w:fldChar w:fldCharType="separate"/>
      </w:r>
      <w:r w:rsidR="003361A8" w:rsidRPr="009C1F99">
        <w:t xml:space="preserve">Table </w:t>
      </w:r>
      <w:r w:rsidR="003361A8">
        <w:rPr>
          <w:noProof/>
        </w:rPr>
        <w:t>101</w:t>
      </w:r>
      <w:r>
        <w:fldChar w:fldCharType="end"/>
      </w:r>
      <w:r w:rsidR="00224612">
        <w:t xml:space="preserve"> shows that</w:t>
      </w:r>
      <w:r w:rsidR="00C5321C">
        <w:t xml:space="preserve"> reflecting a reduction in the overall number of smear tests with </w:t>
      </w:r>
      <w:r w:rsidR="002E19A8">
        <w:t xml:space="preserve">cell enrichment LBC </w:t>
      </w:r>
      <w:r w:rsidR="00C5321C">
        <w:t>when compared with conventional cytology (see Section E.2.3)</w:t>
      </w:r>
      <w:proofErr w:type="gramStart"/>
      <w:r w:rsidR="00C5321C">
        <w:t>,</w:t>
      </w:r>
      <w:proofErr w:type="gramEnd"/>
      <w:r w:rsidR="00C5321C">
        <w:t xml:space="preserve"> the proposed listing would provide cost savings in terms of reduced consultation requirement. </w:t>
      </w:r>
    </w:p>
    <w:p w:rsidR="00C5321C" w:rsidRPr="009C1F99" w:rsidRDefault="00C5321C" w:rsidP="00C5321C">
      <w:pPr>
        <w:pStyle w:val="Tablecaption"/>
      </w:pPr>
      <w:bookmarkStart w:id="639" w:name="_Ref334707599"/>
      <w:bookmarkStart w:id="640" w:name="_Toc335666074"/>
      <w:bookmarkStart w:id="641" w:name="_Toc337547041"/>
      <w:r w:rsidRPr="009C1F99">
        <w:t xml:space="preserve">Table </w:t>
      </w:r>
      <w:fldSimple w:instr=" SEQ Table \* ARABIC ">
        <w:r w:rsidR="003361A8">
          <w:rPr>
            <w:noProof/>
          </w:rPr>
          <w:t>101</w:t>
        </w:r>
      </w:fldSimple>
      <w:bookmarkEnd w:id="639"/>
      <w:r w:rsidRPr="009C1F99">
        <w:tab/>
      </w:r>
      <w:r>
        <w:t>Financial implications of consultation re</w:t>
      </w:r>
      <w:r w:rsidR="00224612">
        <w:t>quirements: C</w:t>
      </w:r>
      <w:r w:rsidR="007E1FE5">
        <w:t>omparison</w:t>
      </w:r>
      <w:r>
        <w:t xml:space="preserve"> between conventional cytology and </w:t>
      </w:r>
      <w:bookmarkEnd w:id="640"/>
      <w:r w:rsidR="002E19A8" w:rsidRPr="002E19A8">
        <w:t>cell enrichment LBC</w:t>
      </w:r>
      <w:bookmarkEnd w:id="64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5"/>
        <w:gridCol w:w="1180"/>
        <w:gridCol w:w="1129"/>
        <w:gridCol w:w="1129"/>
        <w:gridCol w:w="1129"/>
        <w:gridCol w:w="1129"/>
      </w:tblGrid>
      <w:tr w:rsidR="00C5321C" w:rsidRPr="0077649A" w:rsidTr="00224612">
        <w:tc>
          <w:tcPr>
            <w:tcW w:w="0" w:type="auto"/>
            <w:shd w:val="clear" w:color="auto" w:fill="auto"/>
          </w:tcPr>
          <w:p w:rsidR="00C5321C" w:rsidRPr="0077649A" w:rsidRDefault="00C5321C" w:rsidP="00791EC7">
            <w:pPr>
              <w:pStyle w:val="Tableheading"/>
            </w:pPr>
            <w:r w:rsidRPr="0077649A">
              <w:t>Year</w:t>
            </w:r>
          </w:p>
        </w:tc>
        <w:tc>
          <w:tcPr>
            <w:tcW w:w="0" w:type="auto"/>
            <w:tcBorders>
              <w:bottom w:val="single" w:sz="4" w:space="0" w:color="000000"/>
            </w:tcBorders>
            <w:shd w:val="clear" w:color="auto" w:fill="auto"/>
          </w:tcPr>
          <w:p w:rsidR="00C5321C" w:rsidRPr="00A638A4" w:rsidRDefault="00C5321C" w:rsidP="00791EC7">
            <w:pPr>
              <w:pStyle w:val="Tableheading"/>
              <w:jc w:val="center"/>
            </w:pPr>
            <w:r>
              <w:t>Year 1 (2013)</w:t>
            </w:r>
          </w:p>
        </w:tc>
        <w:tc>
          <w:tcPr>
            <w:tcW w:w="0" w:type="auto"/>
            <w:tcBorders>
              <w:bottom w:val="single" w:sz="4" w:space="0" w:color="000000"/>
            </w:tcBorders>
            <w:shd w:val="clear" w:color="auto" w:fill="auto"/>
          </w:tcPr>
          <w:p w:rsidR="00C5321C" w:rsidRPr="00A638A4" w:rsidRDefault="00C5321C" w:rsidP="00791EC7">
            <w:pPr>
              <w:pStyle w:val="Tableheading"/>
              <w:jc w:val="center"/>
            </w:pPr>
            <w:r>
              <w:t>Year 2</w:t>
            </w:r>
          </w:p>
        </w:tc>
        <w:tc>
          <w:tcPr>
            <w:tcW w:w="0" w:type="auto"/>
            <w:tcBorders>
              <w:bottom w:val="single" w:sz="4" w:space="0" w:color="000000"/>
            </w:tcBorders>
            <w:shd w:val="clear" w:color="auto" w:fill="auto"/>
          </w:tcPr>
          <w:p w:rsidR="00C5321C" w:rsidRPr="00A638A4" w:rsidRDefault="00C5321C" w:rsidP="00791EC7">
            <w:pPr>
              <w:pStyle w:val="Tableheading"/>
              <w:jc w:val="center"/>
            </w:pPr>
            <w:r>
              <w:t>Year 3</w:t>
            </w:r>
          </w:p>
        </w:tc>
        <w:tc>
          <w:tcPr>
            <w:tcW w:w="0" w:type="auto"/>
            <w:tcBorders>
              <w:bottom w:val="single" w:sz="4" w:space="0" w:color="000000"/>
            </w:tcBorders>
            <w:shd w:val="clear" w:color="auto" w:fill="auto"/>
          </w:tcPr>
          <w:p w:rsidR="00C5321C" w:rsidRPr="00A638A4" w:rsidRDefault="00C5321C" w:rsidP="00791EC7">
            <w:pPr>
              <w:pStyle w:val="Tableheading"/>
              <w:jc w:val="center"/>
            </w:pPr>
            <w:r>
              <w:t>Year 4</w:t>
            </w:r>
          </w:p>
        </w:tc>
        <w:tc>
          <w:tcPr>
            <w:tcW w:w="0" w:type="auto"/>
            <w:tcBorders>
              <w:bottom w:val="single" w:sz="4" w:space="0" w:color="000000"/>
            </w:tcBorders>
            <w:shd w:val="clear" w:color="auto" w:fill="auto"/>
          </w:tcPr>
          <w:p w:rsidR="00C5321C" w:rsidRDefault="00C5321C" w:rsidP="00791EC7">
            <w:pPr>
              <w:pStyle w:val="Tableheading"/>
              <w:jc w:val="center"/>
            </w:pPr>
            <w:r>
              <w:t>Year 5</w:t>
            </w:r>
          </w:p>
        </w:tc>
      </w:tr>
      <w:tr w:rsidR="00224612" w:rsidRPr="00536CA0" w:rsidTr="00224612">
        <w:tc>
          <w:tcPr>
            <w:tcW w:w="0" w:type="auto"/>
            <w:gridSpan w:val="6"/>
            <w:shd w:val="clear" w:color="auto" w:fill="auto"/>
          </w:tcPr>
          <w:p w:rsidR="00224612" w:rsidRPr="00224612" w:rsidRDefault="00224612" w:rsidP="00791EC7">
            <w:pPr>
              <w:pStyle w:val="Tabletext"/>
            </w:pPr>
            <w:r w:rsidRPr="00224612">
              <w:rPr>
                <w:b/>
              </w:rPr>
              <w:t xml:space="preserve">Without </w:t>
            </w:r>
            <w:r w:rsidR="002E19A8" w:rsidRPr="002E19A8">
              <w:rPr>
                <w:b/>
              </w:rPr>
              <w:t>cell enrichment LBC</w:t>
            </w:r>
          </w:p>
        </w:tc>
      </w:tr>
      <w:tr w:rsidR="00B20CD1" w:rsidRPr="00536CA0" w:rsidTr="00224612">
        <w:tc>
          <w:tcPr>
            <w:tcW w:w="0" w:type="auto"/>
            <w:shd w:val="clear" w:color="auto" w:fill="auto"/>
          </w:tcPr>
          <w:p w:rsidR="00B20CD1" w:rsidRPr="008F286B" w:rsidRDefault="00B20CD1" w:rsidP="00791EC7">
            <w:pPr>
              <w:pStyle w:val="Tabletext"/>
            </w:pPr>
            <w:r w:rsidRPr="008F286B">
              <w:t xml:space="preserve">Total number of conventional cytology (without </w:t>
            </w:r>
            <w:r w:rsidR="002E19A8" w:rsidRPr="002E19A8">
              <w:t>cell enrichment LBC</w:t>
            </w:r>
            <w:r w:rsidRPr="008F286B">
              <w:t>)</w:t>
            </w:r>
          </w:p>
        </w:tc>
        <w:tc>
          <w:tcPr>
            <w:tcW w:w="0" w:type="auto"/>
            <w:shd w:val="clear" w:color="auto" w:fill="auto"/>
          </w:tcPr>
          <w:p w:rsidR="00B20CD1" w:rsidRPr="00B45808" w:rsidRDefault="00B20CD1" w:rsidP="00B20CD1">
            <w:pPr>
              <w:pStyle w:val="Tabletext"/>
            </w:pPr>
            <w:r w:rsidRPr="00B45808">
              <w:t>1,698,776</w:t>
            </w:r>
          </w:p>
        </w:tc>
        <w:tc>
          <w:tcPr>
            <w:tcW w:w="0" w:type="auto"/>
            <w:shd w:val="clear" w:color="auto" w:fill="auto"/>
          </w:tcPr>
          <w:p w:rsidR="00B20CD1" w:rsidRPr="00B45808" w:rsidRDefault="00B20CD1" w:rsidP="00B20CD1">
            <w:pPr>
              <w:pStyle w:val="Tabletext"/>
            </w:pPr>
            <w:r w:rsidRPr="00B45808">
              <w:t>1,703,192</w:t>
            </w:r>
          </w:p>
        </w:tc>
        <w:tc>
          <w:tcPr>
            <w:tcW w:w="0" w:type="auto"/>
            <w:shd w:val="clear" w:color="auto" w:fill="auto"/>
          </w:tcPr>
          <w:p w:rsidR="00B20CD1" w:rsidRPr="00B45808" w:rsidRDefault="00B20CD1" w:rsidP="00B20CD1">
            <w:pPr>
              <w:pStyle w:val="Tabletext"/>
            </w:pPr>
            <w:r w:rsidRPr="00B45808">
              <w:t>1,707,608</w:t>
            </w:r>
          </w:p>
        </w:tc>
        <w:tc>
          <w:tcPr>
            <w:tcW w:w="0" w:type="auto"/>
            <w:shd w:val="clear" w:color="auto" w:fill="auto"/>
          </w:tcPr>
          <w:p w:rsidR="00B20CD1" w:rsidRPr="00B45808" w:rsidRDefault="00B20CD1" w:rsidP="00B20CD1">
            <w:pPr>
              <w:pStyle w:val="Tabletext"/>
            </w:pPr>
            <w:r w:rsidRPr="00B45808">
              <w:t>1,712,024</w:t>
            </w:r>
          </w:p>
        </w:tc>
        <w:tc>
          <w:tcPr>
            <w:tcW w:w="0" w:type="auto"/>
            <w:shd w:val="clear" w:color="auto" w:fill="auto"/>
          </w:tcPr>
          <w:p w:rsidR="00B20CD1" w:rsidRPr="00B45808" w:rsidRDefault="00B20CD1" w:rsidP="00B20CD1">
            <w:pPr>
              <w:pStyle w:val="Tabletext"/>
            </w:pPr>
            <w:r w:rsidRPr="00B45808">
              <w:t>1,716,440</w:t>
            </w:r>
          </w:p>
        </w:tc>
      </w:tr>
      <w:tr w:rsidR="00B20CD1" w:rsidRPr="00536CA0" w:rsidTr="00224612">
        <w:tc>
          <w:tcPr>
            <w:tcW w:w="0" w:type="auto"/>
            <w:shd w:val="clear" w:color="auto" w:fill="auto"/>
          </w:tcPr>
          <w:p w:rsidR="00B20CD1" w:rsidRPr="008F286B" w:rsidRDefault="00B20CD1" w:rsidP="00791EC7">
            <w:pPr>
              <w:pStyle w:val="Tabletext"/>
            </w:pPr>
            <w:r w:rsidRPr="008F286B">
              <w:t>Cost per consultation</w:t>
            </w:r>
          </w:p>
        </w:tc>
        <w:tc>
          <w:tcPr>
            <w:tcW w:w="0" w:type="auto"/>
            <w:shd w:val="clear" w:color="auto" w:fill="auto"/>
          </w:tcPr>
          <w:p w:rsidR="00B20CD1" w:rsidRPr="00B45808" w:rsidRDefault="00B20CD1" w:rsidP="00B20CD1">
            <w:pPr>
              <w:pStyle w:val="Tabletext"/>
            </w:pPr>
            <w:r w:rsidRPr="00B45808">
              <w:t>$40.57</w:t>
            </w:r>
          </w:p>
        </w:tc>
        <w:tc>
          <w:tcPr>
            <w:tcW w:w="0" w:type="auto"/>
            <w:shd w:val="clear" w:color="auto" w:fill="auto"/>
          </w:tcPr>
          <w:p w:rsidR="00B20CD1" w:rsidRPr="00B45808" w:rsidRDefault="00B20CD1" w:rsidP="00B20CD1">
            <w:pPr>
              <w:pStyle w:val="Tabletext"/>
            </w:pPr>
            <w:r w:rsidRPr="00B45808">
              <w:t>$40.57</w:t>
            </w:r>
          </w:p>
        </w:tc>
        <w:tc>
          <w:tcPr>
            <w:tcW w:w="0" w:type="auto"/>
            <w:shd w:val="clear" w:color="auto" w:fill="auto"/>
          </w:tcPr>
          <w:p w:rsidR="00B20CD1" w:rsidRPr="00B45808" w:rsidRDefault="00B20CD1" w:rsidP="00B20CD1">
            <w:pPr>
              <w:pStyle w:val="Tabletext"/>
            </w:pPr>
            <w:r w:rsidRPr="00B45808">
              <w:t>$40.57</w:t>
            </w:r>
          </w:p>
        </w:tc>
        <w:tc>
          <w:tcPr>
            <w:tcW w:w="0" w:type="auto"/>
            <w:shd w:val="clear" w:color="auto" w:fill="auto"/>
          </w:tcPr>
          <w:p w:rsidR="00B20CD1" w:rsidRPr="00B45808" w:rsidRDefault="00B20CD1" w:rsidP="00B20CD1">
            <w:pPr>
              <w:pStyle w:val="Tabletext"/>
            </w:pPr>
            <w:r w:rsidRPr="00B45808">
              <w:t>$40.57</w:t>
            </w:r>
          </w:p>
        </w:tc>
        <w:tc>
          <w:tcPr>
            <w:tcW w:w="0" w:type="auto"/>
            <w:shd w:val="clear" w:color="auto" w:fill="auto"/>
          </w:tcPr>
          <w:p w:rsidR="00B20CD1" w:rsidRPr="00B45808" w:rsidRDefault="00B20CD1" w:rsidP="00B20CD1">
            <w:pPr>
              <w:pStyle w:val="Tabletext"/>
            </w:pPr>
            <w:r w:rsidRPr="00B45808">
              <w:t>$40.57</w:t>
            </w:r>
          </w:p>
        </w:tc>
      </w:tr>
      <w:tr w:rsidR="00B20CD1" w:rsidRPr="00536CA0" w:rsidTr="00224612">
        <w:tc>
          <w:tcPr>
            <w:tcW w:w="0" w:type="auto"/>
            <w:shd w:val="clear" w:color="auto" w:fill="auto"/>
          </w:tcPr>
          <w:p w:rsidR="00B20CD1" w:rsidRPr="008F286B" w:rsidRDefault="00B20CD1" w:rsidP="00791EC7">
            <w:pPr>
              <w:pStyle w:val="Tabletext"/>
            </w:pPr>
            <w:r w:rsidRPr="008F286B">
              <w:t>Total consultation costs with conventional cytology</w:t>
            </w:r>
          </w:p>
        </w:tc>
        <w:tc>
          <w:tcPr>
            <w:tcW w:w="0" w:type="auto"/>
            <w:tcBorders>
              <w:bottom w:val="single" w:sz="4" w:space="0" w:color="000000"/>
            </w:tcBorders>
            <w:shd w:val="clear" w:color="auto" w:fill="auto"/>
          </w:tcPr>
          <w:p w:rsidR="00B20CD1" w:rsidRPr="00B45808" w:rsidRDefault="00B20CD1" w:rsidP="00B20CD1">
            <w:pPr>
              <w:pStyle w:val="Tabletext"/>
            </w:pPr>
            <w:r w:rsidRPr="00B45808">
              <w:t>$68,919,342</w:t>
            </w:r>
          </w:p>
        </w:tc>
        <w:tc>
          <w:tcPr>
            <w:tcW w:w="0" w:type="auto"/>
            <w:tcBorders>
              <w:bottom w:val="single" w:sz="4" w:space="0" w:color="000000"/>
            </w:tcBorders>
            <w:shd w:val="clear" w:color="auto" w:fill="auto"/>
          </w:tcPr>
          <w:p w:rsidR="00B20CD1" w:rsidRPr="00B45808" w:rsidRDefault="00B20CD1" w:rsidP="00B20CD1">
            <w:pPr>
              <w:pStyle w:val="Tabletext"/>
            </w:pPr>
            <w:r w:rsidRPr="00B45808">
              <w:t>$69,098,499</w:t>
            </w:r>
          </w:p>
        </w:tc>
        <w:tc>
          <w:tcPr>
            <w:tcW w:w="0" w:type="auto"/>
            <w:tcBorders>
              <w:bottom w:val="single" w:sz="4" w:space="0" w:color="000000"/>
            </w:tcBorders>
            <w:shd w:val="clear" w:color="auto" w:fill="auto"/>
          </w:tcPr>
          <w:p w:rsidR="00B20CD1" w:rsidRPr="00B45808" w:rsidRDefault="00B20CD1" w:rsidP="00B20CD1">
            <w:pPr>
              <w:pStyle w:val="Tabletext"/>
            </w:pPr>
            <w:r w:rsidRPr="00B45808">
              <w:t>$69,277,657</w:t>
            </w:r>
          </w:p>
        </w:tc>
        <w:tc>
          <w:tcPr>
            <w:tcW w:w="0" w:type="auto"/>
            <w:tcBorders>
              <w:bottom w:val="single" w:sz="4" w:space="0" w:color="000000"/>
            </w:tcBorders>
            <w:shd w:val="clear" w:color="auto" w:fill="auto"/>
          </w:tcPr>
          <w:p w:rsidR="00B20CD1" w:rsidRPr="00B45808" w:rsidRDefault="00B20CD1" w:rsidP="00B20CD1">
            <w:pPr>
              <w:pStyle w:val="Tabletext"/>
            </w:pPr>
            <w:r w:rsidRPr="00B45808">
              <w:t>$69,456,814</w:t>
            </w:r>
          </w:p>
        </w:tc>
        <w:tc>
          <w:tcPr>
            <w:tcW w:w="0" w:type="auto"/>
            <w:tcBorders>
              <w:bottom w:val="single" w:sz="4" w:space="0" w:color="000000"/>
            </w:tcBorders>
            <w:shd w:val="clear" w:color="auto" w:fill="auto"/>
          </w:tcPr>
          <w:p w:rsidR="00B20CD1" w:rsidRDefault="00B20CD1" w:rsidP="00B20CD1">
            <w:pPr>
              <w:pStyle w:val="Tabletext"/>
            </w:pPr>
            <w:r w:rsidRPr="00B45808">
              <w:t>$69,635,971</w:t>
            </w:r>
          </w:p>
        </w:tc>
      </w:tr>
      <w:tr w:rsidR="00224612" w:rsidRPr="00536CA0" w:rsidTr="00224612">
        <w:tc>
          <w:tcPr>
            <w:tcW w:w="0" w:type="auto"/>
            <w:gridSpan w:val="6"/>
            <w:shd w:val="clear" w:color="auto" w:fill="auto"/>
          </w:tcPr>
          <w:p w:rsidR="00224612" w:rsidRPr="00224612" w:rsidRDefault="00224612" w:rsidP="00791EC7">
            <w:pPr>
              <w:pStyle w:val="Tabletext"/>
            </w:pPr>
            <w:r w:rsidRPr="00224612">
              <w:rPr>
                <w:b/>
              </w:rPr>
              <w:t xml:space="preserve">With </w:t>
            </w:r>
            <w:r w:rsidR="002E19A8" w:rsidRPr="002E19A8">
              <w:rPr>
                <w:b/>
              </w:rPr>
              <w:t>cell enrichment LBC</w:t>
            </w:r>
          </w:p>
        </w:tc>
      </w:tr>
      <w:tr w:rsidR="00B20CD1" w:rsidRPr="00536CA0" w:rsidTr="00224612">
        <w:tc>
          <w:tcPr>
            <w:tcW w:w="0" w:type="auto"/>
            <w:shd w:val="clear" w:color="auto" w:fill="auto"/>
          </w:tcPr>
          <w:p w:rsidR="00B20CD1" w:rsidRPr="008F286B" w:rsidRDefault="00B20CD1" w:rsidP="00791EC7">
            <w:pPr>
              <w:pStyle w:val="Tabletext"/>
            </w:pPr>
            <w:r w:rsidRPr="008F286B">
              <w:t xml:space="preserve">Total number of </w:t>
            </w:r>
            <w:r w:rsidR="002E19A8" w:rsidRPr="002E19A8">
              <w:t>cell enrichment LBC</w:t>
            </w:r>
          </w:p>
        </w:tc>
        <w:tc>
          <w:tcPr>
            <w:tcW w:w="0" w:type="auto"/>
            <w:shd w:val="clear" w:color="auto" w:fill="auto"/>
          </w:tcPr>
          <w:p w:rsidR="00B20CD1" w:rsidRPr="00357869" w:rsidRDefault="00B20CD1" w:rsidP="00B20CD1">
            <w:pPr>
              <w:pStyle w:val="Tabletext"/>
            </w:pPr>
            <w:r w:rsidRPr="00357869">
              <w:t>1,692,924</w:t>
            </w:r>
          </w:p>
        </w:tc>
        <w:tc>
          <w:tcPr>
            <w:tcW w:w="0" w:type="auto"/>
            <w:shd w:val="clear" w:color="auto" w:fill="auto"/>
          </w:tcPr>
          <w:p w:rsidR="00B20CD1" w:rsidRPr="00357869" w:rsidRDefault="00B20CD1" w:rsidP="00B20CD1">
            <w:pPr>
              <w:pStyle w:val="Tabletext"/>
            </w:pPr>
            <w:r w:rsidRPr="00357869">
              <w:t>1,697,322</w:t>
            </w:r>
          </w:p>
        </w:tc>
        <w:tc>
          <w:tcPr>
            <w:tcW w:w="0" w:type="auto"/>
            <w:shd w:val="clear" w:color="auto" w:fill="auto"/>
          </w:tcPr>
          <w:p w:rsidR="00B20CD1" w:rsidRPr="00357869" w:rsidRDefault="00B20CD1" w:rsidP="00B20CD1">
            <w:pPr>
              <w:pStyle w:val="Tabletext"/>
            </w:pPr>
            <w:r w:rsidRPr="00357869">
              <w:t>1,701,719</w:t>
            </w:r>
          </w:p>
        </w:tc>
        <w:tc>
          <w:tcPr>
            <w:tcW w:w="0" w:type="auto"/>
            <w:shd w:val="clear" w:color="auto" w:fill="auto"/>
          </w:tcPr>
          <w:p w:rsidR="00B20CD1" w:rsidRPr="00357869" w:rsidRDefault="00B20CD1" w:rsidP="00B20CD1">
            <w:pPr>
              <w:pStyle w:val="Tabletext"/>
            </w:pPr>
            <w:r w:rsidRPr="00357869">
              <w:t>1,706,117</w:t>
            </w:r>
          </w:p>
        </w:tc>
        <w:tc>
          <w:tcPr>
            <w:tcW w:w="0" w:type="auto"/>
            <w:shd w:val="clear" w:color="auto" w:fill="auto"/>
          </w:tcPr>
          <w:p w:rsidR="00B20CD1" w:rsidRPr="00357869" w:rsidRDefault="00B20CD1" w:rsidP="00B20CD1">
            <w:pPr>
              <w:pStyle w:val="Tabletext"/>
            </w:pPr>
            <w:r w:rsidRPr="00357869">
              <w:t>1,710,514</w:t>
            </w:r>
          </w:p>
        </w:tc>
      </w:tr>
      <w:tr w:rsidR="00B20CD1" w:rsidRPr="00536CA0" w:rsidTr="00224612">
        <w:tc>
          <w:tcPr>
            <w:tcW w:w="0" w:type="auto"/>
            <w:shd w:val="clear" w:color="auto" w:fill="auto"/>
          </w:tcPr>
          <w:p w:rsidR="00B20CD1" w:rsidRPr="008F286B" w:rsidRDefault="00B20CD1" w:rsidP="00791EC7">
            <w:pPr>
              <w:pStyle w:val="Tabletext"/>
            </w:pPr>
            <w:r w:rsidRPr="008F286B">
              <w:t>Cost per consultation</w:t>
            </w:r>
          </w:p>
        </w:tc>
        <w:tc>
          <w:tcPr>
            <w:tcW w:w="0" w:type="auto"/>
            <w:shd w:val="clear" w:color="auto" w:fill="auto"/>
          </w:tcPr>
          <w:p w:rsidR="00B20CD1" w:rsidRPr="00357869" w:rsidRDefault="00B20CD1" w:rsidP="00B20CD1">
            <w:pPr>
              <w:pStyle w:val="Tabletext"/>
            </w:pPr>
            <w:r w:rsidRPr="00357869">
              <w:t>$40.57</w:t>
            </w:r>
          </w:p>
        </w:tc>
        <w:tc>
          <w:tcPr>
            <w:tcW w:w="0" w:type="auto"/>
            <w:shd w:val="clear" w:color="auto" w:fill="auto"/>
          </w:tcPr>
          <w:p w:rsidR="00B20CD1" w:rsidRPr="00357869" w:rsidRDefault="00B20CD1" w:rsidP="00B20CD1">
            <w:pPr>
              <w:pStyle w:val="Tabletext"/>
            </w:pPr>
            <w:r w:rsidRPr="00357869">
              <w:t>$40.57</w:t>
            </w:r>
          </w:p>
        </w:tc>
        <w:tc>
          <w:tcPr>
            <w:tcW w:w="0" w:type="auto"/>
            <w:shd w:val="clear" w:color="auto" w:fill="auto"/>
          </w:tcPr>
          <w:p w:rsidR="00B20CD1" w:rsidRPr="00357869" w:rsidRDefault="00B20CD1" w:rsidP="00B20CD1">
            <w:pPr>
              <w:pStyle w:val="Tabletext"/>
            </w:pPr>
            <w:r w:rsidRPr="00357869">
              <w:t>$40.57</w:t>
            </w:r>
          </w:p>
        </w:tc>
        <w:tc>
          <w:tcPr>
            <w:tcW w:w="0" w:type="auto"/>
            <w:shd w:val="clear" w:color="auto" w:fill="auto"/>
          </w:tcPr>
          <w:p w:rsidR="00B20CD1" w:rsidRPr="00357869" w:rsidRDefault="00B20CD1" w:rsidP="00B20CD1">
            <w:pPr>
              <w:pStyle w:val="Tabletext"/>
            </w:pPr>
            <w:r w:rsidRPr="00357869">
              <w:t>$40.57</w:t>
            </w:r>
          </w:p>
        </w:tc>
        <w:tc>
          <w:tcPr>
            <w:tcW w:w="0" w:type="auto"/>
            <w:shd w:val="clear" w:color="auto" w:fill="auto"/>
          </w:tcPr>
          <w:p w:rsidR="00B20CD1" w:rsidRPr="00357869" w:rsidRDefault="00B20CD1" w:rsidP="00B20CD1">
            <w:pPr>
              <w:pStyle w:val="Tabletext"/>
            </w:pPr>
            <w:r w:rsidRPr="00357869">
              <w:t>$40.57</w:t>
            </w:r>
          </w:p>
        </w:tc>
      </w:tr>
      <w:tr w:rsidR="00B20CD1" w:rsidRPr="00536CA0" w:rsidTr="00224612">
        <w:tc>
          <w:tcPr>
            <w:tcW w:w="0" w:type="auto"/>
            <w:shd w:val="clear" w:color="auto" w:fill="auto"/>
          </w:tcPr>
          <w:p w:rsidR="00B20CD1" w:rsidRPr="008F286B" w:rsidRDefault="00B20CD1" w:rsidP="00791EC7">
            <w:pPr>
              <w:pStyle w:val="Tabletext"/>
            </w:pPr>
            <w:r w:rsidRPr="008F286B">
              <w:t xml:space="preserve">Total consultation costs with </w:t>
            </w:r>
            <w:r w:rsidR="002E19A8" w:rsidRPr="002E19A8">
              <w:t>cell enrichment LBC</w:t>
            </w:r>
          </w:p>
        </w:tc>
        <w:tc>
          <w:tcPr>
            <w:tcW w:w="0" w:type="auto"/>
            <w:tcBorders>
              <w:bottom w:val="single" w:sz="4" w:space="0" w:color="000000"/>
            </w:tcBorders>
            <w:shd w:val="clear" w:color="auto" w:fill="auto"/>
          </w:tcPr>
          <w:p w:rsidR="00B20CD1" w:rsidRPr="00357869" w:rsidRDefault="00B20CD1" w:rsidP="00B20CD1">
            <w:pPr>
              <w:pStyle w:val="Tabletext"/>
            </w:pPr>
            <w:r w:rsidRPr="00357869">
              <w:t>$68,681,936</w:t>
            </w:r>
          </w:p>
        </w:tc>
        <w:tc>
          <w:tcPr>
            <w:tcW w:w="0" w:type="auto"/>
            <w:tcBorders>
              <w:bottom w:val="single" w:sz="4" w:space="0" w:color="000000"/>
            </w:tcBorders>
            <w:shd w:val="clear" w:color="auto" w:fill="auto"/>
          </w:tcPr>
          <w:p w:rsidR="00B20CD1" w:rsidRPr="00357869" w:rsidRDefault="00B20CD1" w:rsidP="00B20CD1">
            <w:pPr>
              <w:pStyle w:val="Tabletext"/>
            </w:pPr>
            <w:r w:rsidRPr="00357869">
              <w:t>$68,860,342</w:t>
            </w:r>
          </w:p>
        </w:tc>
        <w:tc>
          <w:tcPr>
            <w:tcW w:w="0" w:type="auto"/>
            <w:tcBorders>
              <w:bottom w:val="single" w:sz="4" w:space="0" w:color="000000"/>
            </w:tcBorders>
            <w:shd w:val="clear" w:color="auto" w:fill="auto"/>
          </w:tcPr>
          <w:p w:rsidR="00B20CD1" w:rsidRPr="00357869" w:rsidRDefault="00B20CD1" w:rsidP="00B20CD1">
            <w:pPr>
              <w:pStyle w:val="Tabletext"/>
            </w:pPr>
            <w:r w:rsidRPr="00357869">
              <w:t>$69,038,748</w:t>
            </w:r>
          </w:p>
        </w:tc>
        <w:tc>
          <w:tcPr>
            <w:tcW w:w="0" w:type="auto"/>
            <w:tcBorders>
              <w:bottom w:val="single" w:sz="4" w:space="0" w:color="000000"/>
            </w:tcBorders>
            <w:shd w:val="clear" w:color="auto" w:fill="auto"/>
          </w:tcPr>
          <w:p w:rsidR="00B20CD1" w:rsidRPr="00357869" w:rsidRDefault="00B20CD1" w:rsidP="00B20CD1">
            <w:pPr>
              <w:pStyle w:val="Tabletext"/>
            </w:pPr>
            <w:r w:rsidRPr="00357869">
              <w:t>$69,217,155</w:t>
            </w:r>
          </w:p>
        </w:tc>
        <w:tc>
          <w:tcPr>
            <w:tcW w:w="0" w:type="auto"/>
            <w:tcBorders>
              <w:bottom w:val="single" w:sz="4" w:space="0" w:color="000000"/>
            </w:tcBorders>
            <w:shd w:val="clear" w:color="auto" w:fill="auto"/>
          </w:tcPr>
          <w:p w:rsidR="00B20CD1" w:rsidRDefault="00B20CD1" w:rsidP="00B20CD1">
            <w:pPr>
              <w:pStyle w:val="Tabletext"/>
            </w:pPr>
            <w:r w:rsidRPr="00357869">
              <w:t>$69,395,561</w:t>
            </w:r>
          </w:p>
        </w:tc>
      </w:tr>
      <w:tr w:rsidR="00C5321C" w:rsidRPr="00536CA0" w:rsidTr="00224612">
        <w:tc>
          <w:tcPr>
            <w:tcW w:w="0" w:type="auto"/>
            <w:tcBorders>
              <w:right w:val="nil"/>
            </w:tcBorders>
            <w:shd w:val="clear" w:color="auto" w:fill="auto"/>
          </w:tcPr>
          <w:p w:rsidR="00C5321C" w:rsidRPr="008F286B" w:rsidRDefault="00C5321C" w:rsidP="00791EC7">
            <w:pPr>
              <w:pStyle w:val="Tabletext"/>
            </w:pPr>
          </w:p>
        </w:tc>
        <w:tc>
          <w:tcPr>
            <w:tcW w:w="0" w:type="auto"/>
            <w:tcBorders>
              <w:left w:val="nil"/>
              <w:right w:val="nil"/>
            </w:tcBorders>
            <w:shd w:val="clear" w:color="auto" w:fill="auto"/>
          </w:tcPr>
          <w:p w:rsidR="00C5321C" w:rsidRPr="00B9507C" w:rsidRDefault="00C5321C" w:rsidP="00B20CD1">
            <w:pPr>
              <w:pStyle w:val="Tabletext"/>
            </w:pPr>
          </w:p>
        </w:tc>
        <w:tc>
          <w:tcPr>
            <w:tcW w:w="0" w:type="auto"/>
            <w:tcBorders>
              <w:left w:val="nil"/>
              <w:right w:val="nil"/>
            </w:tcBorders>
            <w:shd w:val="clear" w:color="auto" w:fill="auto"/>
          </w:tcPr>
          <w:p w:rsidR="00C5321C" w:rsidRPr="00B9507C" w:rsidRDefault="00C5321C" w:rsidP="00B20CD1">
            <w:pPr>
              <w:pStyle w:val="Tabletext"/>
            </w:pPr>
          </w:p>
        </w:tc>
        <w:tc>
          <w:tcPr>
            <w:tcW w:w="0" w:type="auto"/>
            <w:tcBorders>
              <w:left w:val="nil"/>
              <w:right w:val="nil"/>
            </w:tcBorders>
            <w:shd w:val="clear" w:color="auto" w:fill="auto"/>
          </w:tcPr>
          <w:p w:rsidR="00C5321C" w:rsidRPr="00B9507C" w:rsidRDefault="00C5321C" w:rsidP="00B20CD1">
            <w:pPr>
              <w:pStyle w:val="Tabletext"/>
            </w:pPr>
          </w:p>
        </w:tc>
        <w:tc>
          <w:tcPr>
            <w:tcW w:w="0" w:type="auto"/>
            <w:tcBorders>
              <w:left w:val="nil"/>
              <w:right w:val="nil"/>
            </w:tcBorders>
            <w:shd w:val="clear" w:color="auto" w:fill="auto"/>
          </w:tcPr>
          <w:p w:rsidR="00C5321C" w:rsidRPr="00B9507C" w:rsidRDefault="00C5321C" w:rsidP="00B20CD1">
            <w:pPr>
              <w:pStyle w:val="Tabletext"/>
            </w:pPr>
          </w:p>
        </w:tc>
        <w:tc>
          <w:tcPr>
            <w:tcW w:w="0" w:type="auto"/>
            <w:tcBorders>
              <w:left w:val="nil"/>
            </w:tcBorders>
            <w:shd w:val="clear" w:color="auto" w:fill="auto"/>
          </w:tcPr>
          <w:p w:rsidR="00C5321C" w:rsidRDefault="00C5321C" w:rsidP="00B20CD1">
            <w:pPr>
              <w:pStyle w:val="Tabletext"/>
            </w:pPr>
          </w:p>
        </w:tc>
      </w:tr>
      <w:tr w:rsidR="00B20CD1" w:rsidRPr="00536CA0" w:rsidTr="00224612">
        <w:tc>
          <w:tcPr>
            <w:tcW w:w="0" w:type="auto"/>
            <w:shd w:val="clear" w:color="auto" w:fill="auto"/>
          </w:tcPr>
          <w:p w:rsidR="00B20CD1" w:rsidRDefault="00B20CD1" w:rsidP="00791EC7">
            <w:pPr>
              <w:pStyle w:val="Tabletext"/>
            </w:pPr>
            <w:r w:rsidRPr="008F286B">
              <w:t>Cost difference</w:t>
            </w:r>
          </w:p>
        </w:tc>
        <w:tc>
          <w:tcPr>
            <w:tcW w:w="0" w:type="auto"/>
            <w:shd w:val="clear" w:color="auto" w:fill="auto"/>
          </w:tcPr>
          <w:p w:rsidR="00B20CD1" w:rsidRPr="00662AC6" w:rsidRDefault="00B20CD1" w:rsidP="00B20CD1">
            <w:pPr>
              <w:pStyle w:val="Tabletext"/>
            </w:pPr>
            <w:r w:rsidRPr="00662AC6">
              <w:t>-$237,407</w:t>
            </w:r>
          </w:p>
        </w:tc>
        <w:tc>
          <w:tcPr>
            <w:tcW w:w="0" w:type="auto"/>
            <w:shd w:val="clear" w:color="auto" w:fill="auto"/>
          </w:tcPr>
          <w:p w:rsidR="00B20CD1" w:rsidRPr="00662AC6" w:rsidRDefault="00B20CD1" w:rsidP="00B20CD1">
            <w:pPr>
              <w:pStyle w:val="Tabletext"/>
            </w:pPr>
            <w:r w:rsidRPr="00662AC6">
              <w:t>-$238,157</w:t>
            </w:r>
          </w:p>
        </w:tc>
        <w:tc>
          <w:tcPr>
            <w:tcW w:w="0" w:type="auto"/>
            <w:shd w:val="clear" w:color="auto" w:fill="auto"/>
          </w:tcPr>
          <w:p w:rsidR="00B20CD1" w:rsidRPr="00662AC6" w:rsidRDefault="00B20CD1" w:rsidP="00B20CD1">
            <w:pPr>
              <w:pStyle w:val="Tabletext"/>
            </w:pPr>
            <w:r w:rsidRPr="00662AC6">
              <w:t>-$238,908</w:t>
            </w:r>
          </w:p>
        </w:tc>
        <w:tc>
          <w:tcPr>
            <w:tcW w:w="0" w:type="auto"/>
            <w:shd w:val="clear" w:color="auto" w:fill="auto"/>
          </w:tcPr>
          <w:p w:rsidR="00B20CD1" w:rsidRPr="00662AC6" w:rsidRDefault="00B20CD1" w:rsidP="00B20CD1">
            <w:pPr>
              <w:pStyle w:val="Tabletext"/>
            </w:pPr>
            <w:r w:rsidRPr="00662AC6">
              <w:t>-$239,659</w:t>
            </w:r>
          </w:p>
        </w:tc>
        <w:tc>
          <w:tcPr>
            <w:tcW w:w="0" w:type="auto"/>
            <w:shd w:val="clear" w:color="auto" w:fill="auto"/>
          </w:tcPr>
          <w:p w:rsidR="00B20CD1" w:rsidRDefault="00B20CD1" w:rsidP="00B20CD1">
            <w:pPr>
              <w:pStyle w:val="Tabletext"/>
            </w:pPr>
            <w:r w:rsidRPr="00662AC6">
              <w:t>-$240,410</w:t>
            </w:r>
          </w:p>
        </w:tc>
      </w:tr>
    </w:tbl>
    <w:p w:rsidR="00C5321C" w:rsidRDefault="00C5321C" w:rsidP="00C5321C"/>
    <w:p w:rsidR="00C5321C" w:rsidRDefault="00C5321C" w:rsidP="00C5321C">
      <w:pPr>
        <w:pStyle w:val="Heading20"/>
      </w:pPr>
      <w:bookmarkStart w:id="642" w:name="_Toc337546934"/>
      <w:r>
        <w:t>E.6</w:t>
      </w:r>
      <w:r>
        <w:tab/>
      </w:r>
      <w:r w:rsidRPr="00834590">
        <w:t>Identification, estimation and reduction of uncertainty</w:t>
      </w:r>
      <w:bookmarkEnd w:id="642"/>
    </w:p>
    <w:p w:rsidR="00C5321C" w:rsidRDefault="00C5321C" w:rsidP="00C5321C">
      <w:r>
        <w:t xml:space="preserve">As demonstrated in Section E.4, the proposed listing of </w:t>
      </w:r>
      <w:r w:rsidR="002E19A8">
        <w:t xml:space="preserve">cell enrichment LBC </w:t>
      </w:r>
      <w:r>
        <w:t xml:space="preserve">can be achieved with negligible additional costs to the MBS. </w:t>
      </w:r>
    </w:p>
    <w:p w:rsidR="00C5321C" w:rsidRDefault="00C5321C" w:rsidP="00C5321C">
      <w:r>
        <w:t xml:space="preserve">These estimates are derived using a market share approach whereby a proportion of conventional cytology tests (projected amounts) are replaced by </w:t>
      </w:r>
      <w:r w:rsidR="002E19A8">
        <w:t xml:space="preserve">cell enrichment LBC </w:t>
      </w:r>
      <w:r>
        <w:t xml:space="preserve">should it be added to the MBS. The current analysis conservatively assumed that all conventional tests are related by </w:t>
      </w:r>
      <w:r w:rsidR="002E19A8" w:rsidRPr="002E19A8">
        <w:t>cell enrichment LBC</w:t>
      </w:r>
      <w:r>
        <w:t xml:space="preserve">. Alternative scenario was also explored where the full </w:t>
      </w:r>
      <w:r w:rsidR="006F00EE">
        <w:t>uptake</w:t>
      </w:r>
      <w:r>
        <w:t xml:space="preserve"> assumption is relaxed to 50%. </w:t>
      </w:r>
    </w:p>
    <w:p w:rsidR="00C5321C" w:rsidRDefault="00C5321C" w:rsidP="00C5321C">
      <w:r>
        <w:lastRenderedPageBreak/>
        <w:t xml:space="preserve">As </w:t>
      </w:r>
      <w:r w:rsidR="00224612">
        <w:t>discussed in Section E.2.1</w:t>
      </w:r>
      <w:r>
        <w:t xml:space="preserve">, the projection of conventional cytology use is based on the longitudinal MBS utilisation data for these relevant MBS items (over two decades). These projections do not account for a recent hike and decline observed with the use of </w:t>
      </w:r>
      <w:r w:rsidR="00224612">
        <w:t xml:space="preserve">Items </w:t>
      </w:r>
      <w:r>
        <w:t xml:space="preserve">73053 </w:t>
      </w:r>
      <w:r w:rsidR="00224612">
        <w:t>and 73055, respectively. A</w:t>
      </w:r>
      <w:r>
        <w:t>n alternati</w:t>
      </w:r>
      <w:r w:rsidR="00224612">
        <w:t>ve analysis where the previous five</w:t>
      </w:r>
      <w:r>
        <w:t xml:space="preserve">-year data only are used for the projection process is presented. </w:t>
      </w:r>
    </w:p>
    <w:p w:rsidR="00C5321C" w:rsidRDefault="00C5321C" w:rsidP="00C5321C">
      <w:r>
        <w:t xml:space="preserve">It should be noted that it is unclear whether these recent observations reflect the fundamental (lasting) changes to the utilisation of these MBS items. </w:t>
      </w:r>
      <w:r w:rsidRPr="001B4A68">
        <w:rPr>
          <w:b/>
        </w:rPr>
        <w:t xml:space="preserve">Again, the cost-minimising benefit amount requested for </w:t>
      </w:r>
      <w:r w:rsidR="002E19A8" w:rsidRPr="002E19A8">
        <w:rPr>
          <w:b/>
        </w:rPr>
        <w:t xml:space="preserve">cell enrichment LBC </w:t>
      </w:r>
      <w:r w:rsidRPr="001B4A68">
        <w:rPr>
          <w:b/>
        </w:rPr>
        <w:t xml:space="preserve">in this submission means that any substitution to </w:t>
      </w:r>
      <w:r w:rsidR="00CE7EFB" w:rsidRPr="00CE7EFB">
        <w:rPr>
          <w:b/>
        </w:rPr>
        <w:t xml:space="preserve">cell enrichment LBC </w:t>
      </w:r>
      <w:r w:rsidRPr="001B4A68">
        <w:rPr>
          <w:b/>
        </w:rPr>
        <w:t xml:space="preserve">would be cost neutral to the MBS regardless of assumptions made in determining the future conventional cytology use without the listing of </w:t>
      </w:r>
      <w:r w:rsidR="00CE7EFB" w:rsidRPr="00CE7EFB">
        <w:rPr>
          <w:b/>
        </w:rPr>
        <w:t>cell enrichment LBC</w:t>
      </w:r>
      <w:r w:rsidRPr="001B4A68">
        <w:rPr>
          <w:b/>
        </w:rPr>
        <w:t>.</w:t>
      </w:r>
      <w:r>
        <w:t xml:space="preserve"> </w:t>
      </w:r>
    </w:p>
    <w:p w:rsidR="00C5321C" w:rsidRDefault="00C5321C" w:rsidP="00C5321C">
      <w:r>
        <w:t xml:space="preserve">Projection of the service numbers for these items is based on a linear trend using the data from year 1993, as shown in </w:t>
      </w:r>
      <w:r w:rsidR="00086C77">
        <w:fldChar w:fldCharType="begin"/>
      </w:r>
      <w:r>
        <w:instrText xml:space="preserve"> REF _Ref334521537 \h </w:instrText>
      </w:r>
      <w:r w:rsidR="00086C77">
        <w:fldChar w:fldCharType="separate"/>
      </w:r>
      <w:r w:rsidR="003361A8">
        <w:t xml:space="preserve">Figure </w:t>
      </w:r>
      <w:r w:rsidR="003361A8">
        <w:rPr>
          <w:noProof/>
        </w:rPr>
        <w:t>22</w:t>
      </w:r>
      <w:r w:rsidR="00086C77">
        <w:fldChar w:fldCharType="end"/>
      </w:r>
      <w:r>
        <w:t xml:space="preserve">. </w:t>
      </w:r>
    </w:p>
    <w:p w:rsidR="00C5321C" w:rsidRDefault="00CB6A66" w:rsidP="00C5321C">
      <w:r>
        <w:rPr>
          <w:noProof/>
          <w:lang w:eastAsia="en-AU"/>
        </w:rPr>
        <w:drawing>
          <wp:inline distT="0" distB="0" distL="0" distR="0">
            <wp:extent cx="5160010" cy="2992755"/>
            <wp:effectExtent l="0" t="0" r="254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60010" cy="2992755"/>
                    </a:xfrm>
                    <a:prstGeom prst="rect">
                      <a:avLst/>
                    </a:prstGeom>
                    <a:noFill/>
                    <a:ln>
                      <a:noFill/>
                    </a:ln>
                  </pic:spPr>
                </pic:pic>
              </a:graphicData>
            </a:graphic>
          </wp:inline>
        </w:drawing>
      </w:r>
    </w:p>
    <w:p w:rsidR="00C5321C" w:rsidRDefault="00C5321C" w:rsidP="00C5321C">
      <w:pPr>
        <w:pStyle w:val="Caption"/>
      </w:pPr>
      <w:bookmarkStart w:id="643" w:name="_Ref334521537"/>
      <w:bookmarkStart w:id="644" w:name="_Toc337547078"/>
      <w:r>
        <w:t xml:space="preserve">Figure </w:t>
      </w:r>
      <w:fldSimple w:instr=" SEQ Figure \* ARABIC ">
        <w:r w:rsidR="003361A8">
          <w:rPr>
            <w:noProof/>
          </w:rPr>
          <w:t>22</w:t>
        </w:r>
      </w:fldSimple>
      <w:bookmarkEnd w:id="643"/>
      <w:r>
        <w:tab/>
        <w:t xml:space="preserve">Projected use of </w:t>
      </w:r>
      <w:r w:rsidR="00224612">
        <w:t>Items 73053 and 73055 to 2017: Five</w:t>
      </w:r>
      <w:r>
        <w:t>-year data approach (sensitivity analysis)</w:t>
      </w:r>
      <w:bookmarkEnd w:id="644"/>
    </w:p>
    <w:p w:rsidR="00C5321C" w:rsidRDefault="00C5321C" w:rsidP="00C5321C"/>
    <w:p w:rsidR="00C5321C" w:rsidRDefault="00C5321C" w:rsidP="00C5321C">
      <w:r>
        <w:t xml:space="preserve">The estimated extent of conventional cytology test each year in 2012–2017 is presented in </w:t>
      </w:r>
      <w:r w:rsidR="00086C77">
        <w:fldChar w:fldCharType="begin"/>
      </w:r>
      <w:r>
        <w:instrText xml:space="preserve"> REF _Ref334521650 \h </w:instrText>
      </w:r>
      <w:r w:rsidR="00086C77">
        <w:fldChar w:fldCharType="separate"/>
      </w:r>
      <w:r w:rsidR="003361A8" w:rsidRPr="0077649A">
        <w:t xml:space="preserve">Table </w:t>
      </w:r>
      <w:r w:rsidR="003361A8">
        <w:rPr>
          <w:noProof/>
        </w:rPr>
        <w:t>102</w:t>
      </w:r>
      <w:r w:rsidR="00086C77">
        <w:fldChar w:fldCharType="end"/>
      </w:r>
      <w:r>
        <w:t>. For Item 73053, the average annual increase in its usage was 25,735 (vs</w:t>
      </w:r>
      <w:r w:rsidR="00224612">
        <w:t>.</w:t>
      </w:r>
      <w:r>
        <w:t xml:space="preserve"> 4512 in the base case) and this is assumed to be applicable over the next five years. For 73055, this was -27,505 (vs</w:t>
      </w:r>
      <w:r w:rsidR="00224612">
        <w:t>.</w:t>
      </w:r>
      <w:r>
        <w:t xml:space="preserve"> -96 in the base case), and again this was assumed to be applicable over the next five years. Differences </w:t>
      </w:r>
      <w:r>
        <w:lastRenderedPageBreak/>
        <w:t xml:space="preserve">from the base case coefficients reflect a recent hike and decline in the use of 73053 and 73055, respectively (see </w:t>
      </w:r>
      <w:r w:rsidR="00086C77">
        <w:fldChar w:fldCharType="begin"/>
      </w:r>
      <w:r>
        <w:instrText xml:space="preserve"> REF _Ref334521537 \h </w:instrText>
      </w:r>
      <w:r w:rsidR="00086C77">
        <w:fldChar w:fldCharType="separate"/>
      </w:r>
      <w:r w:rsidR="003361A8">
        <w:t xml:space="preserve">Figure </w:t>
      </w:r>
      <w:r w:rsidR="003361A8">
        <w:rPr>
          <w:noProof/>
        </w:rPr>
        <w:t>22</w:t>
      </w:r>
      <w:r w:rsidR="00086C77">
        <w:fldChar w:fldCharType="end"/>
      </w:r>
      <w:r w:rsidR="00224612">
        <w:t>).</w:t>
      </w:r>
    </w:p>
    <w:p w:rsidR="00C5321C" w:rsidRPr="0019771A" w:rsidRDefault="00C5321C" w:rsidP="00C5321C">
      <w:pPr>
        <w:pStyle w:val="Tablecaption"/>
      </w:pPr>
      <w:bookmarkStart w:id="645" w:name="_Ref334521650"/>
      <w:bookmarkStart w:id="646" w:name="_Toc335666075"/>
      <w:bookmarkStart w:id="647" w:name="_Toc337547042"/>
      <w:r w:rsidRPr="0077649A">
        <w:t xml:space="preserve">Table </w:t>
      </w:r>
      <w:fldSimple w:instr=" SEQ Table \* ARABIC ">
        <w:r w:rsidR="003361A8">
          <w:rPr>
            <w:noProof/>
          </w:rPr>
          <w:t>102</w:t>
        </w:r>
      </w:fldSimple>
      <w:bookmarkEnd w:id="645"/>
      <w:r w:rsidRPr="0077649A">
        <w:tab/>
      </w:r>
      <w:r>
        <w:t>Projected MBS service numbers for</w:t>
      </w:r>
      <w:r w:rsidRPr="0077649A">
        <w:t xml:space="preserve"> conventional cytology tests</w:t>
      </w:r>
      <w:r w:rsidR="00224612">
        <w:t xml:space="preserve"> in 2012–2013: Five</w:t>
      </w:r>
      <w:r>
        <w:t>-year data approach (sensitivity analysis)</w:t>
      </w:r>
      <w:bookmarkEnd w:id="646"/>
      <w:bookmarkEnd w:id="647"/>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3"/>
        <w:gridCol w:w="1818"/>
        <w:gridCol w:w="1239"/>
        <w:gridCol w:w="1239"/>
        <w:gridCol w:w="1239"/>
        <w:gridCol w:w="1239"/>
        <w:gridCol w:w="1234"/>
      </w:tblGrid>
      <w:tr w:rsidR="00C5321C" w:rsidRPr="0077649A" w:rsidTr="00224612">
        <w:tc>
          <w:tcPr>
            <w:tcW w:w="496" w:type="pct"/>
            <w:shd w:val="clear" w:color="auto" w:fill="auto"/>
          </w:tcPr>
          <w:p w:rsidR="00C5321C" w:rsidRPr="0077649A" w:rsidRDefault="00C5321C" w:rsidP="00791EC7">
            <w:pPr>
              <w:pStyle w:val="Tableheading"/>
            </w:pPr>
            <w:r w:rsidRPr="0077649A">
              <w:t>Year</w:t>
            </w:r>
          </w:p>
        </w:tc>
        <w:tc>
          <w:tcPr>
            <w:tcW w:w="1022" w:type="pct"/>
            <w:shd w:val="clear" w:color="auto" w:fill="auto"/>
          </w:tcPr>
          <w:p w:rsidR="00C5321C" w:rsidRPr="00B12200" w:rsidRDefault="00C5321C" w:rsidP="00791EC7">
            <w:pPr>
              <w:pStyle w:val="Tableheading"/>
              <w:jc w:val="center"/>
              <w:rPr>
                <w:vertAlign w:val="superscript"/>
              </w:rPr>
            </w:pPr>
            <w:r>
              <w:t>Current (2012)</w:t>
            </w:r>
            <w:r w:rsidRPr="00B12200">
              <w:rPr>
                <w:vertAlign w:val="superscript"/>
              </w:rPr>
              <w:t>a</w:t>
            </w:r>
          </w:p>
        </w:tc>
        <w:tc>
          <w:tcPr>
            <w:tcW w:w="697" w:type="pct"/>
            <w:shd w:val="clear" w:color="auto" w:fill="auto"/>
          </w:tcPr>
          <w:p w:rsidR="00C5321C" w:rsidRPr="00A638A4" w:rsidRDefault="00C5321C" w:rsidP="00791EC7">
            <w:pPr>
              <w:pStyle w:val="Tableheading"/>
              <w:jc w:val="center"/>
            </w:pPr>
            <w:r>
              <w:t>2013</w:t>
            </w:r>
          </w:p>
        </w:tc>
        <w:tc>
          <w:tcPr>
            <w:tcW w:w="697" w:type="pct"/>
            <w:shd w:val="clear" w:color="auto" w:fill="auto"/>
          </w:tcPr>
          <w:p w:rsidR="00C5321C" w:rsidRPr="00A638A4" w:rsidRDefault="00C5321C" w:rsidP="00791EC7">
            <w:pPr>
              <w:pStyle w:val="Tableheading"/>
              <w:jc w:val="center"/>
            </w:pPr>
            <w:r>
              <w:t>2014</w:t>
            </w:r>
          </w:p>
        </w:tc>
        <w:tc>
          <w:tcPr>
            <w:tcW w:w="697" w:type="pct"/>
            <w:shd w:val="clear" w:color="auto" w:fill="auto"/>
          </w:tcPr>
          <w:p w:rsidR="00C5321C" w:rsidRPr="00A638A4" w:rsidRDefault="00C5321C" w:rsidP="00791EC7">
            <w:pPr>
              <w:pStyle w:val="Tableheading"/>
              <w:jc w:val="center"/>
            </w:pPr>
            <w:r>
              <w:t>2015</w:t>
            </w:r>
          </w:p>
        </w:tc>
        <w:tc>
          <w:tcPr>
            <w:tcW w:w="697" w:type="pct"/>
            <w:shd w:val="clear" w:color="auto" w:fill="auto"/>
          </w:tcPr>
          <w:p w:rsidR="00C5321C" w:rsidRPr="00A638A4" w:rsidRDefault="00C5321C" w:rsidP="00791EC7">
            <w:pPr>
              <w:pStyle w:val="Tableheading"/>
              <w:jc w:val="center"/>
            </w:pPr>
            <w:r>
              <w:t>2016</w:t>
            </w:r>
          </w:p>
        </w:tc>
        <w:tc>
          <w:tcPr>
            <w:tcW w:w="697" w:type="pct"/>
            <w:shd w:val="clear" w:color="auto" w:fill="auto"/>
          </w:tcPr>
          <w:p w:rsidR="00C5321C" w:rsidRDefault="00C5321C" w:rsidP="00791EC7">
            <w:pPr>
              <w:pStyle w:val="Tableheading"/>
              <w:jc w:val="center"/>
            </w:pPr>
            <w:r>
              <w:t>2017</w:t>
            </w:r>
          </w:p>
        </w:tc>
      </w:tr>
      <w:tr w:rsidR="00C5321C" w:rsidRPr="0077649A" w:rsidTr="00224612">
        <w:tc>
          <w:tcPr>
            <w:tcW w:w="496" w:type="pct"/>
            <w:shd w:val="clear" w:color="auto" w:fill="auto"/>
          </w:tcPr>
          <w:p w:rsidR="00C5321C" w:rsidRPr="0077649A" w:rsidRDefault="00C5321C" w:rsidP="00791EC7">
            <w:pPr>
              <w:pStyle w:val="Tabletext"/>
            </w:pPr>
            <w:r w:rsidRPr="0077649A">
              <w:t>73053</w:t>
            </w:r>
          </w:p>
        </w:tc>
        <w:tc>
          <w:tcPr>
            <w:tcW w:w="1022" w:type="pct"/>
            <w:shd w:val="clear" w:color="auto" w:fill="auto"/>
            <w:vAlign w:val="center"/>
          </w:tcPr>
          <w:p w:rsidR="00C5321C" w:rsidRDefault="00C5321C" w:rsidP="00791EC7">
            <w:pPr>
              <w:pStyle w:val="Tabletext"/>
            </w:pPr>
            <w:r>
              <w:t>1,493,505</w:t>
            </w:r>
          </w:p>
        </w:tc>
        <w:tc>
          <w:tcPr>
            <w:tcW w:w="697" w:type="pct"/>
            <w:shd w:val="clear" w:color="auto" w:fill="auto"/>
            <w:vAlign w:val="center"/>
          </w:tcPr>
          <w:p w:rsidR="00C5321C" w:rsidRDefault="00C5321C" w:rsidP="00791EC7">
            <w:pPr>
              <w:pStyle w:val="Tabletext"/>
            </w:pPr>
            <w:r>
              <w:t>1,519,240</w:t>
            </w:r>
          </w:p>
        </w:tc>
        <w:tc>
          <w:tcPr>
            <w:tcW w:w="697" w:type="pct"/>
            <w:shd w:val="clear" w:color="auto" w:fill="auto"/>
            <w:vAlign w:val="center"/>
          </w:tcPr>
          <w:p w:rsidR="00C5321C" w:rsidRDefault="00C5321C" w:rsidP="00791EC7">
            <w:pPr>
              <w:pStyle w:val="Tabletext"/>
            </w:pPr>
            <w:r>
              <w:t>1,544,975</w:t>
            </w:r>
          </w:p>
        </w:tc>
        <w:tc>
          <w:tcPr>
            <w:tcW w:w="697" w:type="pct"/>
            <w:shd w:val="clear" w:color="auto" w:fill="auto"/>
            <w:vAlign w:val="center"/>
          </w:tcPr>
          <w:p w:rsidR="00C5321C" w:rsidRDefault="00C5321C" w:rsidP="00791EC7">
            <w:pPr>
              <w:pStyle w:val="Tabletext"/>
            </w:pPr>
            <w:r>
              <w:t>1,570,710</w:t>
            </w:r>
          </w:p>
        </w:tc>
        <w:tc>
          <w:tcPr>
            <w:tcW w:w="697" w:type="pct"/>
            <w:shd w:val="clear" w:color="auto" w:fill="auto"/>
            <w:vAlign w:val="center"/>
          </w:tcPr>
          <w:p w:rsidR="00C5321C" w:rsidRDefault="00C5321C" w:rsidP="00791EC7">
            <w:pPr>
              <w:pStyle w:val="Tabletext"/>
            </w:pPr>
            <w:r>
              <w:t>1,596,445</w:t>
            </w:r>
          </w:p>
        </w:tc>
        <w:tc>
          <w:tcPr>
            <w:tcW w:w="697" w:type="pct"/>
            <w:shd w:val="clear" w:color="auto" w:fill="auto"/>
            <w:vAlign w:val="center"/>
          </w:tcPr>
          <w:p w:rsidR="00C5321C" w:rsidRDefault="00C5321C" w:rsidP="00791EC7">
            <w:pPr>
              <w:pStyle w:val="Tabletext"/>
            </w:pPr>
            <w:r>
              <w:t>1,622,180</w:t>
            </w:r>
          </w:p>
        </w:tc>
      </w:tr>
      <w:tr w:rsidR="00C5321C" w:rsidRPr="0077649A" w:rsidTr="00224612">
        <w:tc>
          <w:tcPr>
            <w:tcW w:w="496" w:type="pct"/>
            <w:shd w:val="clear" w:color="auto" w:fill="auto"/>
          </w:tcPr>
          <w:p w:rsidR="00C5321C" w:rsidRPr="0077649A" w:rsidRDefault="00C5321C" w:rsidP="00791EC7">
            <w:pPr>
              <w:pStyle w:val="Tabletext"/>
            </w:pPr>
            <w:r w:rsidRPr="0077649A">
              <w:t>73055</w:t>
            </w:r>
          </w:p>
        </w:tc>
        <w:tc>
          <w:tcPr>
            <w:tcW w:w="1022" w:type="pct"/>
            <w:shd w:val="clear" w:color="auto" w:fill="auto"/>
            <w:vAlign w:val="center"/>
          </w:tcPr>
          <w:p w:rsidR="00C5321C" w:rsidRDefault="00C5321C" w:rsidP="00791EC7">
            <w:pPr>
              <w:pStyle w:val="Tabletext"/>
            </w:pPr>
            <w:r>
              <w:t>200,086</w:t>
            </w:r>
          </w:p>
        </w:tc>
        <w:tc>
          <w:tcPr>
            <w:tcW w:w="697" w:type="pct"/>
            <w:shd w:val="clear" w:color="auto" w:fill="auto"/>
            <w:vAlign w:val="center"/>
          </w:tcPr>
          <w:p w:rsidR="00C5321C" w:rsidRDefault="00C5321C" w:rsidP="00791EC7">
            <w:pPr>
              <w:pStyle w:val="Tabletext"/>
            </w:pPr>
            <w:r>
              <w:t>172,581</w:t>
            </w:r>
          </w:p>
        </w:tc>
        <w:tc>
          <w:tcPr>
            <w:tcW w:w="697" w:type="pct"/>
            <w:shd w:val="clear" w:color="auto" w:fill="auto"/>
            <w:vAlign w:val="center"/>
          </w:tcPr>
          <w:p w:rsidR="00C5321C" w:rsidRDefault="00C5321C" w:rsidP="00791EC7">
            <w:pPr>
              <w:pStyle w:val="Tabletext"/>
            </w:pPr>
            <w:r>
              <w:t>145,076</w:t>
            </w:r>
          </w:p>
        </w:tc>
        <w:tc>
          <w:tcPr>
            <w:tcW w:w="697" w:type="pct"/>
            <w:shd w:val="clear" w:color="auto" w:fill="auto"/>
            <w:vAlign w:val="center"/>
          </w:tcPr>
          <w:p w:rsidR="00C5321C" w:rsidRDefault="00C5321C" w:rsidP="00791EC7">
            <w:pPr>
              <w:pStyle w:val="Tabletext"/>
            </w:pPr>
            <w:r>
              <w:t>117,571</w:t>
            </w:r>
          </w:p>
        </w:tc>
        <w:tc>
          <w:tcPr>
            <w:tcW w:w="697" w:type="pct"/>
            <w:shd w:val="clear" w:color="auto" w:fill="auto"/>
            <w:vAlign w:val="center"/>
          </w:tcPr>
          <w:p w:rsidR="00C5321C" w:rsidRDefault="00C5321C" w:rsidP="00791EC7">
            <w:pPr>
              <w:pStyle w:val="Tabletext"/>
            </w:pPr>
            <w:r>
              <w:t>90,066</w:t>
            </w:r>
          </w:p>
        </w:tc>
        <w:tc>
          <w:tcPr>
            <w:tcW w:w="697" w:type="pct"/>
            <w:shd w:val="clear" w:color="auto" w:fill="auto"/>
            <w:vAlign w:val="center"/>
          </w:tcPr>
          <w:p w:rsidR="00C5321C" w:rsidRDefault="00C5321C" w:rsidP="00791EC7">
            <w:pPr>
              <w:pStyle w:val="Tabletext"/>
            </w:pPr>
            <w:r>
              <w:t>62,561</w:t>
            </w:r>
          </w:p>
        </w:tc>
      </w:tr>
      <w:tr w:rsidR="00C5321C" w:rsidRPr="0077649A" w:rsidTr="00224612">
        <w:tc>
          <w:tcPr>
            <w:tcW w:w="496" w:type="pct"/>
            <w:shd w:val="clear" w:color="auto" w:fill="auto"/>
          </w:tcPr>
          <w:p w:rsidR="00C5321C" w:rsidRPr="0077649A" w:rsidRDefault="00C5321C" w:rsidP="00791EC7">
            <w:pPr>
              <w:pStyle w:val="Tabletext"/>
            </w:pPr>
            <w:r w:rsidRPr="0077649A">
              <w:t>Total</w:t>
            </w:r>
          </w:p>
        </w:tc>
        <w:tc>
          <w:tcPr>
            <w:tcW w:w="1022" w:type="pct"/>
            <w:shd w:val="clear" w:color="auto" w:fill="auto"/>
            <w:vAlign w:val="bottom"/>
          </w:tcPr>
          <w:p w:rsidR="00C5321C" w:rsidRDefault="00C5321C" w:rsidP="00791EC7">
            <w:pPr>
              <w:pStyle w:val="Tabletext"/>
            </w:pPr>
            <w:r>
              <w:t>1,693,591</w:t>
            </w:r>
          </w:p>
        </w:tc>
        <w:tc>
          <w:tcPr>
            <w:tcW w:w="697" w:type="pct"/>
            <w:shd w:val="clear" w:color="auto" w:fill="auto"/>
            <w:vAlign w:val="bottom"/>
          </w:tcPr>
          <w:p w:rsidR="00C5321C" w:rsidRDefault="00C5321C" w:rsidP="00791EC7">
            <w:pPr>
              <w:pStyle w:val="Tabletext"/>
            </w:pPr>
            <w:r>
              <w:t>1,691,821</w:t>
            </w:r>
          </w:p>
        </w:tc>
        <w:tc>
          <w:tcPr>
            <w:tcW w:w="697" w:type="pct"/>
            <w:shd w:val="clear" w:color="auto" w:fill="auto"/>
            <w:vAlign w:val="bottom"/>
          </w:tcPr>
          <w:p w:rsidR="00C5321C" w:rsidRDefault="00C5321C" w:rsidP="00791EC7">
            <w:pPr>
              <w:pStyle w:val="Tabletext"/>
            </w:pPr>
            <w:r>
              <w:t>1,690,051</w:t>
            </w:r>
          </w:p>
        </w:tc>
        <w:tc>
          <w:tcPr>
            <w:tcW w:w="697" w:type="pct"/>
            <w:shd w:val="clear" w:color="auto" w:fill="auto"/>
            <w:vAlign w:val="bottom"/>
          </w:tcPr>
          <w:p w:rsidR="00C5321C" w:rsidRDefault="00C5321C" w:rsidP="00791EC7">
            <w:pPr>
              <w:pStyle w:val="Tabletext"/>
            </w:pPr>
            <w:r>
              <w:t>1,688,281</w:t>
            </w:r>
          </w:p>
        </w:tc>
        <w:tc>
          <w:tcPr>
            <w:tcW w:w="697" w:type="pct"/>
            <w:shd w:val="clear" w:color="auto" w:fill="auto"/>
            <w:vAlign w:val="bottom"/>
          </w:tcPr>
          <w:p w:rsidR="00C5321C" w:rsidRDefault="00C5321C" w:rsidP="00791EC7">
            <w:pPr>
              <w:pStyle w:val="Tabletext"/>
            </w:pPr>
            <w:r>
              <w:t>1,686,511</w:t>
            </w:r>
          </w:p>
        </w:tc>
        <w:tc>
          <w:tcPr>
            <w:tcW w:w="697" w:type="pct"/>
            <w:shd w:val="clear" w:color="auto" w:fill="auto"/>
            <w:vAlign w:val="bottom"/>
          </w:tcPr>
          <w:p w:rsidR="00C5321C" w:rsidRDefault="00C5321C" w:rsidP="00791EC7">
            <w:pPr>
              <w:pStyle w:val="Tabletext"/>
            </w:pPr>
            <w:r>
              <w:t>1,684,741</w:t>
            </w:r>
          </w:p>
        </w:tc>
      </w:tr>
    </w:tbl>
    <w:p w:rsidR="00C5321C" w:rsidRDefault="00C5321C" w:rsidP="00340838">
      <w:pPr>
        <w:pStyle w:val="Tabletext"/>
      </w:pPr>
      <w:proofErr w:type="gramStart"/>
      <w:r>
        <w:rPr>
          <w:vertAlign w:val="superscript"/>
        </w:rPr>
        <w:t>a</w:t>
      </w:r>
      <w:proofErr w:type="gramEnd"/>
      <w:r>
        <w:t xml:space="preserve"> Derived numbers from the equations (see </w:t>
      </w:r>
      <w:r w:rsidR="00086C77">
        <w:fldChar w:fldCharType="begin"/>
      </w:r>
      <w:r w:rsidR="00086C77">
        <w:instrText xml:space="preserve"> REF _Ref334521537 \h  \* MERGEFORMAT </w:instrText>
      </w:r>
      <w:r w:rsidR="00086C77">
        <w:fldChar w:fldCharType="separate"/>
      </w:r>
      <w:r w:rsidR="003361A8">
        <w:t xml:space="preserve">Figure </w:t>
      </w:r>
      <w:r w:rsidR="003361A8">
        <w:rPr>
          <w:noProof/>
        </w:rPr>
        <w:t>22</w:t>
      </w:r>
      <w:r w:rsidR="00086C77">
        <w:fldChar w:fldCharType="end"/>
      </w:r>
      <w:r>
        <w:t>).</w:t>
      </w:r>
    </w:p>
    <w:p w:rsidR="00340838" w:rsidRDefault="00340838" w:rsidP="00C5321C"/>
    <w:p w:rsidR="00C5321C" w:rsidRDefault="00086C77" w:rsidP="00C5321C">
      <w:r>
        <w:fldChar w:fldCharType="begin"/>
      </w:r>
      <w:r w:rsidR="00C5321C">
        <w:instrText xml:space="preserve"> REF _Ref334521966 \h </w:instrText>
      </w:r>
      <w:r>
        <w:fldChar w:fldCharType="separate"/>
      </w:r>
      <w:r w:rsidR="003361A8" w:rsidRPr="009C1F99">
        <w:t xml:space="preserve">Table </w:t>
      </w:r>
      <w:r w:rsidR="003361A8">
        <w:rPr>
          <w:noProof/>
        </w:rPr>
        <w:t>103</w:t>
      </w:r>
      <w:r>
        <w:fldChar w:fldCharType="end"/>
      </w:r>
      <w:r w:rsidR="00340838">
        <w:t xml:space="preserve"> </w:t>
      </w:r>
      <w:r w:rsidR="00C5321C">
        <w:t xml:space="preserve">presents the estimated net financial implications to the MBS of adding </w:t>
      </w:r>
      <w:r w:rsidR="00CE7EFB" w:rsidRPr="00CE7EFB">
        <w:t xml:space="preserve">cell enrichment LBC </w:t>
      </w:r>
      <w:r w:rsidR="00C5321C">
        <w:t xml:space="preserve">under this alternative projection assumption. These estimates are based on the full </w:t>
      </w:r>
      <w:r w:rsidR="006F00EE">
        <w:t>uptake</w:t>
      </w:r>
      <w:r w:rsidR="00C5321C">
        <w:t xml:space="preserve"> assumption. When the 50% </w:t>
      </w:r>
      <w:r w:rsidR="006F00EE">
        <w:t>uptake</w:t>
      </w:r>
      <w:r w:rsidR="00C5321C">
        <w:t xml:space="preserve"> assumption is applied, the net costs to the MBS are again roughly halved, as shown in </w:t>
      </w:r>
      <w:r>
        <w:fldChar w:fldCharType="begin"/>
      </w:r>
      <w:r w:rsidR="00C5321C">
        <w:instrText xml:space="preserve"> REF _Ref334521972 \h </w:instrText>
      </w:r>
      <w:r>
        <w:fldChar w:fldCharType="separate"/>
      </w:r>
      <w:r w:rsidR="003361A8" w:rsidRPr="009C1F99">
        <w:t xml:space="preserve">Table </w:t>
      </w:r>
      <w:r w:rsidR="003361A8">
        <w:rPr>
          <w:noProof/>
        </w:rPr>
        <w:t>104</w:t>
      </w:r>
      <w:r>
        <w:fldChar w:fldCharType="end"/>
      </w:r>
      <w:r w:rsidR="00C5321C">
        <w:t xml:space="preserve">. </w:t>
      </w:r>
    </w:p>
    <w:p w:rsidR="00C5321C" w:rsidRDefault="00C5321C" w:rsidP="00C5321C">
      <w:r>
        <w:t>Under this alternative projection assumption, the net costs to the MBS were shown to be slightly more than the level dem</w:t>
      </w:r>
      <w:r w:rsidR="00224612">
        <w:t>onstrated in the base case</w:t>
      </w:r>
      <w:r>
        <w:t xml:space="preserve">. This reflects the greater number of conventional cytology tests projected to be administered under this analysis (thereby increasing the number of follow-up tests associated with positive test results given by </w:t>
      </w:r>
      <w:r w:rsidR="00CE7EFB" w:rsidRPr="00CE7EFB">
        <w:t>cell enrichment LBC</w:t>
      </w:r>
      <w:r>
        <w:t>).</w:t>
      </w:r>
    </w:p>
    <w:p w:rsidR="00C5321C" w:rsidRPr="009C1F99" w:rsidRDefault="00C5321C" w:rsidP="00C5321C">
      <w:pPr>
        <w:pStyle w:val="Tablecaption"/>
      </w:pPr>
      <w:bookmarkStart w:id="648" w:name="_Ref334521966"/>
      <w:bookmarkStart w:id="649" w:name="_Toc335666076"/>
      <w:bookmarkStart w:id="650" w:name="_Toc337547043"/>
      <w:r w:rsidRPr="009C1F99">
        <w:t xml:space="preserve">Table </w:t>
      </w:r>
      <w:fldSimple w:instr=" SEQ Table \* ARABIC ">
        <w:r w:rsidR="003361A8">
          <w:rPr>
            <w:noProof/>
          </w:rPr>
          <w:t>103</w:t>
        </w:r>
      </w:fldSimple>
      <w:bookmarkEnd w:id="648"/>
      <w:r w:rsidRPr="009C1F99">
        <w:tab/>
      </w:r>
      <w:r>
        <w:t>Estimated</w:t>
      </w:r>
      <w:r w:rsidRPr="009C1F99">
        <w:t xml:space="preserve"> </w:t>
      </w:r>
      <w:r>
        <w:t>net financial implications of a</w:t>
      </w:r>
      <w:r w:rsidR="00D71B86">
        <w:t xml:space="preserve">dding </w:t>
      </w:r>
      <w:r w:rsidR="00CE7EFB" w:rsidRPr="00CE7EFB">
        <w:t xml:space="preserve">cell enrichment LBC </w:t>
      </w:r>
      <w:r w:rsidR="00D71B86">
        <w:t>to the MBS:</w:t>
      </w:r>
      <w:r>
        <w:t xml:space="preserve"> 100% </w:t>
      </w:r>
      <w:r w:rsidR="006F00EE">
        <w:t>uptake</w:t>
      </w:r>
      <w:r>
        <w:t xml:space="preserve"> scenario (sensitivity analysis)</w:t>
      </w:r>
      <w:bookmarkEnd w:id="649"/>
      <w:bookmarkEnd w:id="65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9"/>
        <w:gridCol w:w="1447"/>
        <w:gridCol w:w="1126"/>
        <w:gridCol w:w="1126"/>
        <w:gridCol w:w="1126"/>
        <w:gridCol w:w="1127"/>
      </w:tblGrid>
      <w:tr w:rsidR="00C5321C" w:rsidRPr="0077649A" w:rsidTr="00B20CD1">
        <w:tc>
          <w:tcPr>
            <w:tcW w:w="1653" w:type="pct"/>
            <w:shd w:val="clear" w:color="auto" w:fill="auto"/>
          </w:tcPr>
          <w:p w:rsidR="00C5321C" w:rsidRPr="0077649A" w:rsidRDefault="00C5321C" w:rsidP="00791EC7">
            <w:pPr>
              <w:pStyle w:val="Tableheading"/>
            </w:pPr>
            <w:r w:rsidRPr="0077649A">
              <w:t>Year</w:t>
            </w:r>
          </w:p>
        </w:tc>
        <w:tc>
          <w:tcPr>
            <w:tcW w:w="814" w:type="pct"/>
            <w:shd w:val="clear" w:color="auto" w:fill="auto"/>
          </w:tcPr>
          <w:p w:rsidR="00C5321C" w:rsidRPr="00A638A4" w:rsidRDefault="00C5321C" w:rsidP="00791EC7">
            <w:pPr>
              <w:pStyle w:val="Tableheading"/>
              <w:jc w:val="center"/>
            </w:pPr>
            <w:r>
              <w:t>Year 1 (2013)</w:t>
            </w:r>
          </w:p>
        </w:tc>
        <w:tc>
          <w:tcPr>
            <w:tcW w:w="633" w:type="pct"/>
            <w:shd w:val="clear" w:color="auto" w:fill="auto"/>
          </w:tcPr>
          <w:p w:rsidR="00C5321C" w:rsidRPr="00A638A4" w:rsidRDefault="00C5321C" w:rsidP="00791EC7">
            <w:pPr>
              <w:pStyle w:val="Tableheading"/>
              <w:jc w:val="center"/>
            </w:pPr>
            <w:r>
              <w:t>Year 2</w:t>
            </w:r>
          </w:p>
        </w:tc>
        <w:tc>
          <w:tcPr>
            <w:tcW w:w="633" w:type="pct"/>
            <w:shd w:val="clear" w:color="auto" w:fill="auto"/>
          </w:tcPr>
          <w:p w:rsidR="00C5321C" w:rsidRPr="00A638A4" w:rsidRDefault="00C5321C" w:rsidP="00791EC7">
            <w:pPr>
              <w:pStyle w:val="Tableheading"/>
              <w:jc w:val="center"/>
            </w:pPr>
            <w:r>
              <w:t>Year 3</w:t>
            </w:r>
          </w:p>
        </w:tc>
        <w:tc>
          <w:tcPr>
            <w:tcW w:w="633" w:type="pct"/>
            <w:shd w:val="clear" w:color="auto" w:fill="auto"/>
          </w:tcPr>
          <w:p w:rsidR="00C5321C" w:rsidRPr="00A638A4" w:rsidRDefault="00C5321C" w:rsidP="00791EC7">
            <w:pPr>
              <w:pStyle w:val="Tableheading"/>
              <w:jc w:val="center"/>
            </w:pPr>
            <w:r>
              <w:t>Year 4</w:t>
            </w:r>
          </w:p>
        </w:tc>
        <w:tc>
          <w:tcPr>
            <w:tcW w:w="634" w:type="pct"/>
            <w:shd w:val="clear" w:color="auto" w:fill="auto"/>
          </w:tcPr>
          <w:p w:rsidR="00C5321C" w:rsidRDefault="00C5321C" w:rsidP="00791EC7">
            <w:pPr>
              <w:pStyle w:val="Tableheading"/>
              <w:jc w:val="center"/>
            </w:pPr>
            <w:r>
              <w:t>Year 5</w:t>
            </w:r>
          </w:p>
        </w:tc>
      </w:tr>
      <w:tr w:rsidR="00224612" w:rsidRPr="00224612" w:rsidTr="00224612">
        <w:tc>
          <w:tcPr>
            <w:tcW w:w="5000" w:type="pct"/>
            <w:gridSpan w:val="6"/>
            <w:shd w:val="clear" w:color="auto" w:fill="auto"/>
            <w:vAlign w:val="center"/>
          </w:tcPr>
          <w:p w:rsidR="00224612" w:rsidRPr="00224612" w:rsidRDefault="00224612" w:rsidP="00791EC7">
            <w:pPr>
              <w:pStyle w:val="Tabletext"/>
              <w:rPr>
                <w:b/>
              </w:rPr>
            </w:pPr>
            <w:r w:rsidRPr="00224612">
              <w:rPr>
                <w:b/>
              </w:rPr>
              <w:t xml:space="preserve">Services due to initial screening test </w:t>
            </w:r>
          </w:p>
        </w:tc>
      </w:tr>
      <w:tr w:rsidR="00C5321C" w:rsidRPr="00536CA0" w:rsidTr="00B20CD1">
        <w:tc>
          <w:tcPr>
            <w:tcW w:w="1653" w:type="pct"/>
            <w:shd w:val="clear" w:color="auto" w:fill="auto"/>
            <w:vAlign w:val="center"/>
          </w:tcPr>
          <w:p w:rsidR="00C5321C" w:rsidRPr="00536CA0" w:rsidRDefault="00C5321C" w:rsidP="00791EC7">
            <w:pPr>
              <w:pStyle w:val="Tabletext"/>
            </w:pPr>
            <w:r>
              <w:t xml:space="preserve">Total benefits (at 100% benefit) </w:t>
            </w:r>
          </w:p>
        </w:tc>
        <w:tc>
          <w:tcPr>
            <w:tcW w:w="814"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4" w:type="pct"/>
            <w:shd w:val="clear" w:color="auto" w:fill="auto"/>
            <w:vAlign w:val="bottom"/>
          </w:tcPr>
          <w:p w:rsidR="00C5321C" w:rsidRPr="00140B81" w:rsidRDefault="00C5321C" w:rsidP="00791EC7">
            <w:pPr>
              <w:pStyle w:val="Tabletext"/>
            </w:pPr>
            <w:r w:rsidRPr="00140B81">
              <w:t>$0</w:t>
            </w:r>
          </w:p>
        </w:tc>
      </w:tr>
      <w:tr w:rsidR="00C5321C" w:rsidRPr="00536CA0" w:rsidTr="00B20CD1">
        <w:tc>
          <w:tcPr>
            <w:tcW w:w="1653" w:type="pct"/>
            <w:shd w:val="clear" w:color="auto" w:fill="auto"/>
            <w:vAlign w:val="center"/>
          </w:tcPr>
          <w:p w:rsidR="00C5321C" w:rsidRPr="00B57E5C" w:rsidRDefault="00C5321C" w:rsidP="00224612">
            <w:pPr>
              <w:pStyle w:val="Tabletext"/>
            </w:pPr>
            <w:r>
              <w:t>Total benefits (at 85% benefit)</w:t>
            </w:r>
          </w:p>
        </w:tc>
        <w:tc>
          <w:tcPr>
            <w:tcW w:w="814"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4" w:type="pct"/>
            <w:shd w:val="clear" w:color="auto" w:fill="auto"/>
            <w:vAlign w:val="bottom"/>
          </w:tcPr>
          <w:p w:rsidR="00C5321C" w:rsidRPr="00140B81" w:rsidRDefault="00C5321C" w:rsidP="00791EC7">
            <w:pPr>
              <w:pStyle w:val="Tabletext"/>
            </w:pPr>
            <w:r w:rsidRPr="00140B81">
              <w:t>$0</w:t>
            </w:r>
          </w:p>
        </w:tc>
      </w:tr>
      <w:tr w:rsidR="00224612" w:rsidRPr="00536CA0" w:rsidTr="00224612">
        <w:tc>
          <w:tcPr>
            <w:tcW w:w="5000" w:type="pct"/>
            <w:gridSpan w:val="6"/>
            <w:shd w:val="clear" w:color="auto" w:fill="auto"/>
            <w:vAlign w:val="center"/>
          </w:tcPr>
          <w:p w:rsidR="00224612" w:rsidRPr="00224612" w:rsidRDefault="00224612" w:rsidP="00791EC7">
            <w:pPr>
              <w:pStyle w:val="Tabletext"/>
              <w:rPr>
                <w:b/>
              </w:rPr>
            </w:pPr>
            <w:r w:rsidRPr="00224612">
              <w:rPr>
                <w:b/>
              </w:rPr>
              <w:t>Services due to unsatisfactory smear</w:t>
            </w:r>
          </w:p>
        </w:tc>
      </w:tr>
      <w:tr w:rsidR="00B20CD1" w:rsidRPr="00536CA0" w:rsidTr="00B20CD1">
        <w:tc>
          <w:tcPr>
            <w:tcW w:w="1653" w:type="pct"/>
            <w:shd w:val="clear" w:color="auto" w:fill="auto"/>
            <w:vAlign w:val="center"/>
          </w:tcPr>
          <w:p w:rsidR="00B20CD1" w:rsidRPr="00536CA0" w:rsidRDefault="00B20CD1" w:rsidP="00791EC7">
            <w:pPr>
              <w:pStyle w:val="Tabletext"/>
            </w:pPr>
            <w:r>
              <w:t xml:space="preserve">Total benefits (at 100% benefit) </w:t>
            </w:r>
          </w:p>
        </w:tc>
        <w:tc>
          <w:tcPr>
            <w:tcW w:w="814" w:type="pct"/>
            <w:shd w:val="clear" w:color="auto" w:fill="auto"/>
          </w:tcPr>
          <w:p w:rsidR="00B20CD1" w:rsidRPr="00B211CD" w:rsidRDefault="00B20CD1" w:rsidP="00B20CD1">
            <w:pPr>
              <w:pStyle w:val="Tabletext"/>
            </w:pPr>
            <w:r w:rsidRPr="00B211CD">
              <w:t>-$288,813</w:t>
            </w:r>
          </w:p>
        </w:tc>
        <w:tc>
          <w:tcPr>
            <w:tcW w:w="633" w:type="pct"/>
            <w:shd w:val="clear" w:color="auto" w:fill="auto"/>
          </w:tcPr>
          <w:p w:rsidR="00B20CD1" w:rsidRPr="00B211CD" w:rsidRDefault="00B20CD1" w:rsidP="00B20CD1">
            <w:pPr>
              <w:pStyle w:val="Tabletext"/>
            </w:pPr>
            <w:r w:rsidRPr="00B211CD">
              <w:t>-$293,705</w:t>
            </w:r>
          </w:p>
        </w:tc>
        <w:tc>
          <w:tcPr>
            <w:tcW w:w="633" w:type="pct"/>
            <w:shd w:val="clear" w:color="auto" w:fill="auto"/>
          </w:tcPr>
          <w:p w:rsidR="00B20CD1" w:rsidRPr="00B211CD" w:rsidRDefault="00B20CD1" w:rsidP="00B20CD1">
            <w:pPr>
              <w:pStyle w:val="Tabletext"/>
            </w:pPr>
            <w:r w:rsidRPr="00B211CD">
              <w:t>-$298,598</w:t>
            </w:r>
          </w:p>
        </w:tc>
        <w:tc>
          <w:tcPr>
            <w:tcW w:w="633" w:type="pct"/>
            <w:shd w:val="clear" w:color="auto" w:fill="auto"/>
          </w:tcPr>
          <w:p w:rsidR="00B20CD1" w:rsidRPr="00B211CD" w:rsidRDefault="00B20CD1" w:rsidP="00B20CD1">
            <w:pPr>
              <w:pStyle w:val="Tabletext"/>
            </w:pPr>
            <w:r w:rsidRPr="00B211CD">
              <w:t>-$303,490</w:t>
            </w:r>
          </w:p>
        </w:tc>
        <w:tc>
          <w:tcPr>
            <w:tcW w:w="634" w:type="pct"/>
            <w:shd w:val="clear" w:color="auto" w:fill="auto"/>
          </w:tcPr>
          <w:p w:rsidR="00B20CD1" w:rsidRPr="00B211CD" w:rsidRDefault="00B20CD1" w:rsidP="00B20CD1">
            <w:pPr>
              <w:pStyle w:val="Tabletext"/>
            </w:pPr>
            <w:r w:rsidRPr="00B211CD">
              <w:t>-$308,382</w:t>
            </w:r>
          </w:p>
        </w:tc>
      </w:tr>
      <w:tr w:rsidR="00B20CD1" w:rsidRPr="00536CA0" w:rsidTr="00B20CD1">
        <w:tc>
          <w:tcPr>
            <w:tcW w:w="1653" w:type="pct"/>
            <w:shd w:val="clear" w:color="auto" w:fill="auto"/>
            <w:vAlign w:val="center"/>
          </w:tcPr>
          <w:p w:rsidR="00B20CD1" w:rsidRPr="00B57E5C" w:rsidRDefault="00B20CD1" w:rsidP="00791EC7">
            <w:pPr>
              <w:pStyle w:val="Tabletext"/>
            </w:pPr>
            <w:r>
              <w:t>Total benefits (at 85% benefit)</w:t>
            </w:r>
          </w:p>
        </w:tc>
        <w:tc>
          <w:tcPr>
            <w:tcW w:w="814" w:type="pct"/>
            <w:shd w:val="clear" w:color="auto" w:fill="auto"/>
          </w:tcPr>
          <w:p w:rsidR="00B20CD1" w:rsidRPr="00B211CD" w:rsidRDefault="00B20CD1" w:rsidP="00B20CD1">
            <w:pPr>
              <w:pStyle w:val="Tabletext"/>
            </w:pPr>
            <w:r w:rsidRPr="00B211CD">
              <w:t>-$246,081</w:t>
            </w:r>
          </w:p>
        </w:tc>
        <w:tc>
          <w:tcPr>
            <w:tcW w:w="633" w:type="pct"/>
            <w:shd w:val="clear" w:color="auto" w:fill="auto"/>
          </w:tcPr>
          <w:p w:rsidR="00B20CD1" w:rsidRPr="00B211CD" w:rsidRDefault="00B20CD1" w:rsidP="00B20CD1">
            <w:pPr>
              <w:pStyle w:val="Tabletext"/>
            </w:pPr>
            <w:r w:rsidRPr="00B211CD">
              <w:t>-$250,249</w:t>
            </w:r>
          </w:p>
        </w:tc>
        <w:tc>
          <w:tcPr>
            <w:tcW w:w="633" w:type="pct"/>
            <w:shd w:val="clear" w:color="auto" w:fill="auto"/>
          </w:tcPr>
          <w:p w:rsidR="00B20CD1" w:rsidRPr="00B211CD" w:rsidRDefault="00B20CD1" w:rsidP="00B20CD1">
            <w:pPr>
              <w:pStyle w:val="Tabletext"/>
            </w:pPr>
            <w:r w:rsidRPr="00B211CD">
              <w:t>-$254,417</w:t>
            </w:r>
          </w:p>
        </w:tc>
        <w:tc>
          <w:tcPr>
            <w:tcW w:w="633" w:type="pct"/>
            <w:shd w:val="clear" w:color="auto" w:fill="auto"/>
          </w:tcPr>
          <w:p w:rsidR="00B20CD1" w:rsidRPr="00B211CD" w:rsidRDefault="00B20CD1" w:rsidP="00B20CD1">
            <w:pPr>
              <w:pStyle w:val="Tabletext"/>
            </w:pPr>
            <w:r w:rsidRPr="00B211CD">
              <w:t>-$258,586</w:t>
            </w:r>
          </w:p>
        </w:tc>
        <w:tc>
          <w:tcPr>
            <w:tcW w:w="634" w:type="pct"/>
            <w:shd w:val="clear" w:color="auto" w:fill="auto"/>
          </w:tcPr>
          <w:p w:rsidR="00B20CD1" w:rsidRDefault="00B20CD1" w:rsidP="00B20CD1">
            <w:pPr>
              <w:pStyle w:val="Tabletext"/>
            </w:pPr>
            <w:r w:rsidRPr="00B211CD">
              <w:t>-$262,754</w:t>
            </w:r>
          </w:p>
        </w:tc>
      </w:tr>
      <w:tr w:rsidR="00224612" w:rsidRPr="00536CA0" w:rsidTr="00224612">
        <w:tc>
          <w:tcPr>
            <w:tcW w:w="5000" w:type="pct"/>
            <w:gridSpan w:val="6"/>
            <w:shd w:val="clear" w:color="auto" w:fill="auto"/>
            <w:vAlign w:val="center"/>
          </w:tcPr>
          <w:p w:rsidR="00224612" w:rsidRPr="00224612" w:rsidRDefault="00224612" w:rsidP="00791EC7">
            <w:pPr>
              <w:pStyle w:val="Tabletext"/>
              <w:rPr>
                <w:b/>
              </w:rPr>
            </w:pPr>
            <w:r w:rsidRPr="00224612">
              <w:rPr>
                <w:b/>
              </w:rPr>
              <w:t>Services due to follow-up tests after a positive result</w:t>
            </w:r>
          </w:p>
        </w:tc>
      </w:tr>
      <w:tr w:rsidR="00B20CD1" w:rsidRPr="00536CA0" w:rsidTr="00B20CD1">
        <w:tc>
          <w:tcPr>
            <w:tcW w:w="1653" w:type="pct"/>
            <w:shd w:val="clear" w:color="auto" w:fill="auto"/>
            <w:vAlign w:val="center"/>
          </w:tcPr>
          <w:p w:rsidR="00B20CD1" w:rsidRPr="00536CA0" w:rsidRDefault="00B20CD1" w:rsidP="00791EC7">
            <w:pPr>
              <w:pStyle w:val="Tabletext"/>
            </w:pPr>
            <w:r>
              <w:t xml:space="preserve">Total benefits (at 100% benefit) </w:t>
            </w:r>
          </w:p>
        </w:tc>
        <w:tc>
          <w:tcPr>
            <w:tcW w:w="814" w:type="pct"/>
            <w:shd w:val="clear" w:color="auto" w:fill="auto"/>
          </w:tcPr>
          <w:p w:rsidR="00B20CD1" w:rsidRPr="00E37B9A" w:rsidRDefault="00B20CD1" w:rsidP="00B20CD1">
            <w:pPr>
              <w:pStyle w:val="Tabletext"/>
            </w:pPr>
            <w:r w:rsidRPr="00E37B9A">
              <w:t>$166,676</w:t>
            </w:r>
          </w:p>
        </w:tc>
        <w:tc>
          <w:tcPr>
            <w:tcW w:w="633" w:type="pct"/>
            <w:shd w:val="clear" w:color="auto" w:fill="auto"/>
          </w:tcPr>
          <w:p w:rsidR="00B20CD1" w:rsidRPr="00E37B9A" w:rsidRDefault="00B20CD1" w:rsidP="00B20CD1">
            <w:pPr>
              <w:pStyle w:val="Tabletext"/>
            </w:pPr>
            <w:r w:rsidRPr="00E37B9A">
              <w:t>$169,499</w:t>
            </w:r>
          </w:p>
        </w:tc>
        <w:tc>
          <w:tcPr>
            <w:tcW w:w="633" w:type="pct"/>
            <w:shd w:val="clear" w:color="auto" w:fill="auto"/>
          </w:tcPr>
          <w:p w:rsidR="00B20CD1" w:rsidRPr="00E37B9A" w:rsidRDefault="00B20CD1" w:rsidP="00B20CD1">
            <w:pPr>
              <w:pStyle w:val="Tabletext"/>
            </w:pPr>
            <w:r w:rsidRPr="00E37B9A">
              <w:t>$172,323</w:t>
            </w:r>
          </w:p>
        </w:tc>
        <w:tc>
          <w:tcPr>
            <w:tcW w:w="633" w:type="pct"/>
            <w:shd w:val="clear" w:color="auto" w:fill="auto"/>
          </w:tcPr>
          <w:p w:rsidR="00B20CD1" w:rsidRPr="00E37B9A" w:rsidRDefault="00B20CD1" w:rsidP="00B20CD1">
            <w:pPr>
              <w:pStyle w:val="Tabletext"/>
            </w:pPr>
            <w:r w:rsidRPr="00E37B9A">
              <w:t>$175,146</w:t>
            </w:r>
          </w:p>
        </w:tc>
        <w:tc>
          <w:tcPr>
            <w:tcW w:w="634" w:type="pct"/>
            <w:shd w:val="clear" w:color="auto" w:fill="auto"/>
          </w:tcPr>
          <w:p w:rsidR="00B20CD1" w:rsidRPr="00E37B9A" w:rsidRDefault="00B20CD1" w:rsidP="00B20CD1">
            <w:pPr>
              <w:pStyle w:val="Tabletext"/>
            </w:pPr>
            <w:r w:rsidRPr="00E37B9A">
              <w:t>$177,969</w:t>
            </w:r>
          </w:p>
        </w:tc>
      </w:tr>
      <w:tr w:rsidR="00B20CD1" w:rsidRPr="00536CA0" w:rsidTr="00B20CD1">
        <w:tc>
          <w:tcPr>
            <w:tcW w:w="1653" w:type="pct"/>
            <w:shd w:val="clear" w:color="auto" w:fill="auto"/>
            <w:vAlign w:val="center"/>
          </w:tcPr>
          <w:p w:rsidR="00B20CD1" w:rsidRPr="00B57E5C" w:rsidRDefault="00B20CD1" w:rsidP="00791EC7">
            <w:pPr>
              <w:pStyle w:val="Tabletext"/>
            </w:pPr>
            <w:r>
              <w:t>Total benefits (at 85% benefit)</w:t>
            </w:r>
          </w:p>
        </w:tc>
        <w:tc>
          <w:tcPr>
            <w:tcW w:w="814" w:type="pct"/>
            <w:shd w:val="clear" w:color="auto" w:fill="auto"/>
          </w:tcPr>
          <w:p w:rsidR="00B20CD1" w:rsidRPr="00E37B9A" w:rsidRDefault="00B20CD1" w:rsidP="00B20CD1">
            <w:pPr>
              <w:pStyle w:val="Tabletext"/>
            </w:pPr>
            <w:r w:rsidRPr="00E37B9A">
              <w:t>$142,015</w:t>
            </w:r>
          </w:p>
        </w:tc>
        <w:tc>
          <w:tcPr>
            <w:tcW w:w="633" w:type="pct"/>
            <w:shd w:val="clear" w:color="auto" w:fill="auto"/>
          </w:tcPr>
          <w:p w:rsidR="00B20CD1" w:rsidRPr="00E37B9A" w:rsidRDefault="00B20CD1" w:rsidP="00B20CD1">
            <w:pPr>
              <w:pStyle w:val="Tabletext"/>
            </w:pPr>
            <w:r w:rsidRPr="00E37B9A">
              <w:t>$144,420</w:t>
            </w:r>
          </w:p>
        </w:tc>
        <w:tc>
          <w:tcPr>
            <w:tcW w:w="633" w:type="pct"/>
            <w:shd w:val="clear" w:color="auto" w:fill="auto"/>
          </w:tcPr>
          <w:p w:rsidR="00B20CD1" w:rsidRPr="00E37B9A" w:rsidRDefault="00B20CD1" w:rsidP="00B20CD1">
            <w:pPr>
              <w:pStyle w:val="Tabletext"/>
            </w:pPr>
            <w:r w:rsidRPr="00E37B9A">
              <w:t>$146,826</w:t>
            </w:r>
          </w:p>
        </w:tc>
        <w:tc>
          <w:tcPr>
            <w:tcW w:w="633" w:type="pct"/>
            <w:shd w:val="clear" w:color="auto" w:fill="auto"/>
          </w:tcPr>
          <w:p w:rsidR="00B20CD1" w:rsidRPr="00E37B9A" w:rsidRDefault="00B20CD1" w:rsidP="00B20CD1">
            <w:pPr>
              <w:pStyle w:val="Tabletext"/>
            </w:pPr>
            <w:r w:rsidRPr="00E37B9A">
              <w:t>$149,232</w:t>
            </w:r>
          </w:p>
        </w:tc>
        <w:tc>
          <w:tcPr>
            <w:tcW w:w="634" w:type="pct"/>
            <w:shd w:val="clear" w:color="auto" w:fill="auto"/>
          </w:tcPr>
          <w:p w:rsidR="00B20CD1" w:rsidRDefault="00B20CD1" w:rsidP="00B20CD1">
            <w:pPr>
              <w:pStyle w:val="Tabletext"/>
            </w:pPr>
            <w:r w:rsidRPr="00E37B9A">
              <w:t>$151,637</w:t>
            </w:r>
          </w:p>
        </w:tc>
      </w:tr>
      <w:tr w:rsidR="00224612" w:rsidRPr="00536CA0" w:rsidTr="00224612">
        <w:tc>
          <w:tcPr>
            <w:tcW w:w="5000" w:type="pct"/>
            <w:gridSpan w:val="6"/>
            <w:shd w:val="clear" w:color="auto" w:fill="auto"/>
            <w:vAlign w:val="bottom"/>
          </w:tcPr>
          <w:p w:rsidR="00224612" w:rsidRPr="00224612" w:rsidRDefault="00224612" w:rsidP="00791EC7">
            <w:pPr>
              <w:pStyle w:val="Tabletext"/>
              <w:rPr>
                <w:b/>
              </w:rPr>
            </w:pPr>
            <w:r w:rsidRPr="00224612">
              <w:rPr>
                <w:b/>
              </w:rPr>
              <w:t>Services due to other follow-up investigations</w:t>
            </w:r>
          </w:p>
        </w:tc>
      </w:tr>
      <w:tr w:rsidR="00C5321C" w:rsidRPr="00536CA0" w:rsidTr="00B20CD1">
        <w:tc>
          <w:tcPr>
            <w:tcW w:w="1653" w:type="pct"/>
            <w:shd w:val="clear" w:color="auto" w:fill="auto"/>
            <w:vAlign w:val="center"/>
          </w:tcPr>
          <w:p w:rsidR="00C5321C" w:rsidRPr="00536CA0" w:rsidRDefault="00C5321C" w:rsidP="00791EC7">
            <w:pPr>
              <w:pStyle w:val="Tabletext"/>
            </w:pPr>
            <w:r>
              <w:t xml:space="preserve">Total benefits (at 100% benefit) </w:t>
            </w:r>
          </w:p>
        </w:tc>
        <w:tc>
          <w:tcPr>
            <w:tcW w:w="814"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4" w:type="pct"/>
            <w:shd w:val="clear" w:color="auto" w:fill="auto"/>
            <w:vAlign w:val="bottom"/>
          </w:tcPr>
          <w:p w:rsidR="00C5321C" w:rsidRPr="00140B81" w:rsidRDefault="00C5321C" w:rsidP="00791EC7">
            <w:pPr>
              <w:pStyle w:val="Tabletext"/>
            </w:pPr>
            <w:r w:rsidRPr="00140B81">
              <w:t>$0</w:t>
            </w:r>
          </w:p>
        </w:tc>
      </w:tr>
      <w:tr w:rsidR="00C5321C" w:rsidRPr="00536CA0" w:rsidTr="00B20CD1">
        <w:tc>
          <w:tcPr>
            <w:tcW w:w="1653" w:type="pct"/>
            <w:shd w:val="clear" w:color="auto" w:fill="auto"/>
            <w:vAlign w:val="center"/>
          </w:tcPr>
          <w:p w:rsidR="00C5321C" w:rsidRPr="00B57E5C" w:rsidRDefault="00C5321C" w:rsidP="00791EC7">
            <w:pPr>
              <w:pStyle w:val="Tabletext"/>
            </w:pPr>
            <w:r>
              <w:t>Total benefits (at 85% benefit)</w:t>
            </w:r>
          </w:p>
        </w:tc>
        <w:tc>
          <w:tcPr>
            <w:tcW w:w="814"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3" w:type="pct"/>
            <w:shd w:val="clear" w:color="auto" w:fill="auto"/>
            <w:vAlign w:val="bottom"/>
          </w:tcPr>
          <w:p w:rsidR="00C5321C" w:rsidRPr="00140B81" w:rsidRDefault="00C5321C" w:rsidP="00791EC7">
            <w:pPr>
              <w:pStyle w:val="Tabletext"/>
            </w:pPr>
            <w:r w:rsidRPr="00140B81">
              <w:t>$0</w:t>
            </w:r>
          </w:p>
        </w:tc>
        <w:tc>
          <w:tcPr>
            <w:tcW w:w="634" w:type="pct"/>
            <w:shd w:val="clear" w:color="auto" w:fill="auto"/>
            <w:vAlign w:val="bottom"/>
          </w:tcPr>
          <w:p w:rsidR="00C5321C" w:rsidRPr="00140B81" w:rsidRDefault="00C5321C" w:rsidP="00791EC7">
            <w:pPr>
              <w:pStyle w:val="Tabletext"/>
            </w:pPr>
            <w:r w:rsidRPr="00140B81">
              <w:t>$0</w:t>
            </w:r>
          </w:p>
        </w:tc>
      </w:tr>
      <w:tr w:rsidR="00224612" w:rsidRPr="00536CA0" w:rsidTr="00224612">
        <w:tc>
          <w:tcPr>
            <w:tcW w:w="5000" w:type="pct"/>
            <w:gridSpan w:val="6"/>
            <w:shd w:val="clear" w:color="auto" w:fill="auto"/>
            <w:vAlign w:val="bottom"/>
          </w:tcPr>
          <w:p w:rsidR="00224612" w:rsidRPr="00224612" w:rsidRDefault="00224612" w:rsidP="00791EC7">
            <w:pPr>
              <w:pStyle w:val="Tabletext"/>
              <w:rPr>
                <w:b/>
              </w:rPr>
            </w:pPr>
            <w:r w:rsidRPr="00224612">
              <w:rPr>
                <w:b/>
              </w:rPr>
              <w:t>Overall</w:t>
            </w:r>
          </w:p>
        </w:tc>
      </w:tr>
      <w:tr w:rsidR="00B20CD1" w:rsidRPr="00536CA0" w:rsidTr="001A5CDD">
        <w:tc>
          <w:tcPr>
            <w:tcW w:w="1653" w:type="pct"/>
            <w:shd w:val="clear" w:color="auto" w:fill="auto"/>
            <w:vAlign w:val="center"/>
          </w:tcPr>
          <w:p w:rsidR="00B20CD1" w:rsidRPr="00536CA0" w:rsidRDefault="00B20CD1" w:rsidP="00791EC7">
            <w:pPr>
              <w:pStyle w:val="Tabletext"/>
            </w:pPr>
            <w:r>
              <w:t xml:space="preserve">Total benefits (at 100% benefit) </w:t>
            </w:r>
          </w:p>
        </w:tc>
        <w:tc>
          <w:tcPr>
            <w:tcW w:w="814" w:type="pct"/>
            <w:shd w:val="clear" w:color="auto" w:fill="auto"/>
          </w:tcPr>
          <w:p w:rsidR="00B20CD1" w:rsidRPr="001C345D" w:rsidRDefault="00B20CD1" w:rsidP="00B20CD1">
            <w:pPr>
              <w:pStyle w:val="Tabletext"/>
            </w:pPr>
            <w:r w:rsidRPr="001C345D">
              <w:t>-$122,137</w:t>
            </w:r>
          </w:p>
        </w:tc>
        <w:tc>
          <w:tcPr>
            <w:tcW w:w="633" w:type="pct"/>
            <w:shd w:val="clear" w:color="auto" w:fill="auto"/>
          </w:tcPr>
          <w:p w:rsidR="00B20CD1" w:rsidRPr="001C345D" w:rsidRDefault="00B20CD1" w:rsidP="00B20CD1">
            <w:pPr>
              <w:pStyle w:val="Tabletext"/>
            </w:pPr>
            <w:r w:rsidRPr="001C345D">
              <w:t>-$124,206</w:t>
            </w:r>
          </w:p>
        </w:tc>
        <w:tc>
          <w:tcPr>
            <w:tcW w:w="633" w:type="pct"/>
            <w:shd w:val="clear" w:color="auto" w:fill="auto"/>
          </w:tcPr>
          <w:p w:rsidR="00B20CD1" w:rsidRPr="001C345D" w:rsidRDefault="00B20CD1" w:rsidP="00B20CD1">
            <w:pPr>
              <w:pStyle w:val="Tabletext"/>
            </w:pPr>
            <w:r w:rsidRPr="001C345D">
              <w:t>-$126,275</w:t>
            </w:r>
          </w:p>
        </w:tc>
        <w:tc>
          <w:tcPr>
            <w:tcW w:w="633" w:type="pct"/>
            <w:shd w:val="clear" w:color="auto" w:fill="auto"/>
          </w:tcPr>
          <w:p w:rsidR="00B20CD1" w:rsidRPr="001C345D" w:rsidRDefault="00B20CD1" w:rsidP="00B20CD1">
            <w:pPr>
              <w:pStyle w:val="Tabletext"/>
            </w:pPr>
            <w:r w:rsidRPr="001C345D">
              <w:t>-$128,344</w:t>
            </w:r>
          </w:p>
        </w:tc>
        <w:tc>
          <w:tcPr>
            <w:tcW w:w="634" w:type="pct"/>
            <w:shd w:val="clear" w:color="auto" w:fill="auto"/>
          </w:tcPr>
          <w:p w:rsidR="00B20CD1" w:rsidRPr="001C345D" w:rsidRDefault="00B20CD1" w:rsidP="00B20CD1">
            <w:pPr>
              <w:pStyle w:val="Tabletext"/>
            </w:pPr>
            <w:r w:rsidRPr="001C345D">
              <w:t>-$130,413</w:t>
            </w:r>
          </w:p>
        </w:tc>
      </w:tr>
      <w:tr w:rsidR="00B20CD1" w:rsidRPr="00536CA0" w:rsidTr="001A5CDD">
        <w:tc>
          <w:tcPr>
            <w:tcW w:w="1653" w:type="pct"/>
            <w:shd w:val="clear" w:color="auto" w:fill="auto"/>
            <w:vAlign w:val="center"/>
          </w:tcPr>
          <w:p w:rsidR="00B20CD1" w:rsidRPr="00B57E5C" w:rsidRDefault="00B20CD1" w:rsidP="00791EC7">
            <w:pPr>
              <w:pStyle w:val="Tabletext"/>
            </w:pPr>
            <w:r>
              <w:t>Total benefits (at 85% benefit)</w:t>
            </w:r>
          </w:p>
        </w:tc>
        <w:tc>
          <w:tcPr>
            <w:tcW w:w="814" w:type="pct"/>
            <w:shd w:val="clear" w:color="auto" w:fill="auto"/>
          </w:tcPr>
          <w:p w:rsidR="00B20CD1" w:rsidRPr="001C345D" w:rsidRDefault="00B20CD1" w:rsidP="00B20CD1">
            <w:pPr>
              <w:pStyle w:val="Tabletext"/>
            </w:pPr>
            <w:r w:rsidRPr="001C345D">
              <w:t>-$104,066</w:t>
            </w:r>
          </w:p>
        </w:tc>
        <w:tc>
          <w:tcPr>
            <w:tcW w:w="633" w:type="pct"/>
            <w:shd w:val="clear" w:color="auto" w:fill="auto"/>
          </w:tcPr>
          <w:p w:rsidR="00B20CD1" w:rsidRPr="001C345D" w:rsidRDefault="00B20CD1" w:rsidP="00B20CD1">
            <w:pPr>
              <w:pStyle w:val="Tabletext"/>
            </w:pPr>
            <w:r w:rsidRPr="001C345D">
              <w:t>-$105,829</w:t>
            </w:r>
          </w:p>
        </w:tc>
        <w:tc>
          <w:tcPr>
            <w:tcW w:w="633" w:type="pct"/>
            <w:shd w:val="clear" w:color="auto" w:fill="auto"/>
          </w:tcPr>
          <w:p w:rsidR="00B20CD1" w:rsidRPr="001C345D" w:rsidRDefault="00B20CD1" w:rsidP="00B20CD1">
            <w:pPr>
              <w:pStyle w:val="Tabletext"/>
            </w:pPr>
            <w:r w:rsidRPr="001C345D">
              <w:t>-$107,592</w:t>
            </w:r>
          </w:p>
        </w:tc>
        <w:tc>
          <w:tcPr>
            <w:tcW w:w="633" w:type="pct"/>
            <w:shd w:val="clear" w:color="auto" w:fill="auto"/>
          </w:tcPr>
          <w:p w:rsidR="00B20CD1" w:rsidRPr="001C345D" w:rsidRDefault="00B20CD1" w:rsidP="00B20CD1">
            <w:pPr>
              <w:pStyle w:val="Tabletext"/>
            </w:pPr>
            <w:r w:rsidRPr="001C345D">
              <w:t>-$109,354</w:t>
            </w:r>
          </w:p>
        </w:tc>
        <w:tc>
          <w:tcPr>
            <w:tcW w:w="634" w:type="pct"/>
            <w:shd w:val="clear" w:color="auto" w:fill="auto"/>
          </w:tcPr>
          <w:p w:rsidR="00B20CD1" w:rsidRDefault="00B20CD1" w:rsidP="00B20CD1">
            <w:pPr>
              <w:pStyle w:val="Tabletext"/>
            </w:pPr>
            <w:r w:rsidRPr="001C345D">
              <w:t>-$111,117</w:t>
            </w:r>
          </w:p>
        </w:tc>
      </w:tr>
    </w:tbl>
    <w:p w:rsidR="00C5321C" w:rsidRDefault="00C5321C" w:rsidP="00C5321C"/>
    <w:p w:rsidR="00C5321C" w:rsidRPr="009C1F99" w:rsidRDefault="00C5321C" w:rsidP="00C5321C">
      <w:pPr>
        <w:pStyle w:val="Tablecaption"/>
      </w:pPr>
      <w:bookmarkStart w:id="651" w:name="_Ref334521972"/>
      <w:bookmarkStart w:id="652" w:name="_Toc335666077"/>
      <w:bookmarkStart w:id="653" w:name="_Toc337547044"/>
      <w:r w:rsidRPr="009C1F99">
        <w:lastRenderedPageBreak/>
        <w:t xml:space="preserve">Table </w:t>
      </w:r>
      <w:fldSimple w:instr=" SEQ Table \* ARABIC ">
        <w:r w:rsidR="003361A8">
          <w:rPr>
            <w:noProof/>
          </w:rPr>
          <w:t>104</w:t>
        </w:r>
      </w:fldSimple>
      <w:bookmarkEnd w:id="651"/>
      <w:r w:rsidRPr="009C1F99">
        <w:tab/>
      </w:r>
      <w:r>
        <w:t>Estimated</w:t>
      </w:r>
      <w:r w:rsidRPr="009C1F99">
        <w:t xml:space="preserve"> </w:t>
      </w:r>
      <w:r>
        <w:t>net financial implications of a</w:t>
      </w:r>
      <w:r w:rsidR="00D71B86">
        <w:t xml:space="preserve">dding </w:t>
      </w:r>
      <w:r w:rsidR="00CE7EFB" w:rsidRPr="00CE7EFB">
        <w:t xml:space="preserve">cell enrichment LBC </w:t>
      </w:r>
      <w:r w:rsidR="00D71B86">
        <w:t>to the MBS:</w:t>
      </w:r>
      <w:r>
        <w:t xml:space="preserve"> 50% </w:t>
      </w:r>
      <w:r w:rsidR="006F00EE">
        <w:t>uptake</w:t>
      </w:r>
      <w:r>
        <w:t xml:space="preserve"> scenario (sensitivity analysis)</w:t>
      </w:r>
      <w:bookmarkEnd w:id="652"/>
      <w:bookmarkEnd w:id="65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9"/>
        <w:gridCol w:w="1447"/>
        <w:gridCol w:w="1126"/>
        <w:gridCol w:w="1126"/>
        <w:gridCol w:w="1126"/>
        <w:gridCol w:w="1127"/>
      </w:tblGrid>
      <w:tr w:rsidR="00C5321C" w:rsidRPr="0077649A" w:rsidTr="00B20CD1">
        <w:tc>
          <w:tcPr>
            <w:tcW w:w="1653" w:type="pct"/>
            <w:shd w:val="clear" w:color="auto" w:fill="auto"/>
          </w:tcPr>
          <w:p w:rsidR="00C5321C" w:rsidRPr="0077649A" w:rsidRDefault="00C5321C" w:rsidP="00791EC7">
            <w:pPr>
              <w:pStyle w:val="Tableheading"/>
            </w:pPr>
            <w:r w:rsidRPr="0077649A">
              <w:t>Year</w:t>
            </w:r>
          </w:p>
        </w:tc>
        <w:tc>
          <w:tcPr>
            <w:tcW w:w="814" w:type="pct"/>
            <w:shd w:val="clear" w:color="auto" w:fill="auto"/>
          </w:tcPr>
          <w:p w:rsidR="00C5321C" w:rsidRPr="00A638A4" w:rsidRDefault="00C5321C" w:rsidP="00791EC7">
            <w:pPr>
              <w:pStyle w:val="Tableheading"/>
              <w:jc w:val="center"/>
            </w:pPr>
            <w:r>
              <w:t>Year 1 (2013)</w:t>
            </w:r>
          </w:p>
        </w:tc>
        <w:tc>
          <w:tcPr>
            <w:tcW w:w="633" w:type="pct"/>
            <w:shd w:val="clear" w:color="auto" w:fill="auto"/>
          </w:tcPr>
          <w:p w:rsidR="00C5321C" w:rsidRPr="00A638A4" w:rsidRDefault="00C5321C" w:rsidP="00791EC7">
            <w:pPr>
              <w:pStyle w:val="Tableheading"/>
              <w:jc w:val="center"/>
            </w:pPr>
            <w:r>
              <w:t>Year 2</w:t>
            </w:r>
          </w:p>
        </w:tc>
        <w:tc>
          <w:tcPr>
            <w:tcW w:w="633" w:type="pct"/>
            <w:shd w:val="clear" w:color="auto" w:fill="auto"/>
          </w:tcPr>
          <w:p w:rsidR="00C5321C" w:rsidRPr="00A638A4" w:rsidRDefault="00C5321C" w:rsidP="00791EC7">
            <w:pPr>
              <w:pStyle w:val="Tableheading"/>
              <w:jc w:val="center"/>
            </w:pPr>
            <w:r>
              <w:t>Year 3</w:t>
            </w:r>
          </w:p>
        </w:tc>
        <w:tc>
          <w:tcPr>
            <w:tcW w:w="633" w:type="pct"/>
            <w:shd w:val="clear" w:color="auto" w:fill="auto"/>
          </w:tcPr>
          <w:p w:rsidR="00C5321C" w:rsidRPr="00A638A4" w:rsidRDefault="00C5321C" w:rsidP="00791EC7">
            <w:pPr>
              <w:pStyle w:val="Tableheading"/>
              <w:jc w:val="center"/>
            </w:pPr>
            <w:r>
              <w:t>Year 4</w:t>
            </w:r>
          </w:p>
        </w:tc>
        <w:tc>
          <w:tcPr>
            <w:tcW w:w="634" w:type="pct"/>
            <w:shd w:val="clear" w:color="auto" w:fill="auto"/>
          </w:tcPr>
          <w:p w:rsidR="00C5321C" w:rsidRDefault="00C5321C" w:rsidP="00791EC7">
            <w:pPr>
              <w:pStyle w:val="Tableheading"/>
              <w:jc w:val="center"/>
            </w:pPr>
            <w:r>
              <w:t>Year 5</w:t>
            </w:r>
          </w:p>
        </w:tc>
      </w:tr>
      <w:tr w:rsidR="00224612" w:rsidRPr="00536CA0" w:rsidTr="00224612">
        <w:tc>
          <w:tcPr>
            <w:tcW w:w="5000" w:type="pct"/>
            <w:gridSpan w:val="6"/>
            <w:shd w:val="clear" w:color="auto" w:fill="auto"/>
            <w:vAlign w:val="center"/>
          </w:tcPr>
          <w:p w:rsidR="00224612" w:rsidRPr="00224612" w:rsidRDefault="00224612" w:rsidP="00791EC7">
            <w:pPr>
              <w:pStyle w:val="Tabletext"/>
              <w:rPr>
                <w:b/>
              </w:rPr>
            </w:pPr>
            <w:r w:rsidRPr="00224612">
              <w:rPr>
                <w:b/>
              </w:rPr>
              <w:t xml:space="preserve">Services due to initial screening test </w:t>
            </w:r>
          </w:p>
        </w:tc>
      </w:tr>
      <w:tr w:rsidR="00C5321C" w:rsidRPr="00536CA0" w:rsidTr="00B20CD1">
        <w:tc>
          <w:tcPr>
            <w:tcW w:w="1653" w:type="pct"/>
            <w:shd w:val="clear" w:color="auto" w:fill="auto"/>
            <w:vAlign w:val="center"/>
          </w:tcPr>
          <w:p w:rsidR="00C5321C" w:rsidRPr="00536CA0" w:rsidRDefault="00C5321C" w:rsidP="00791EC7">
            <w:pPr>
              <w:pStyle w:val="Tabletext"/>
            </w:pPr>
            <w:r>
              <w:t xml:space="preserve">Total benefits (at 100% benefit) </w:t>
            </w:r>
          </w:p>
        </w:tc>
        <w:tc>
          <w:tcPr>
            <w:tcW w:w="814"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4" w:type="pct"/>
            <w:shd w:val="clear" w:color="auto" w:fill="auto"/>
          </w:tcPr>
          <w:p w:rsidR="00C5321C" w:rsidRPr="004A6A03" w:rsidRDefault="00C5321C" w:rsidP="00791EC7">
            <w:pPr>
              <w:pStyle w:val="Tabletext"/>
            </w:pPr>
            <w:r w:rsidRPr="004A6A03">
              <w:t>$0</w:t>
            </w:r>
          </w:p>
        </w:tc>
      </w:tr>
      <w:tr w:rsidR="00C5321C" w:rsidRPr="00536CA0" w:rsidTr="00B20CD1">
        <w:tc>
          <w:tcPr>
            <w:tcW w:w="1653" w:type="pct"/>
            <w:shd w:val="clear" w:color="auto" w:fill="auto"/>
            <w:vAlign w:val="center"/>
          </w:tcPr>
          <w:p w:rsidR="00C5321C" w:rsidRPr="00B57E5C" w:rsidRDefault="00C5321C" w:rsidP="00791EC7">
            <w:pPr>
              <w:pStyle w:val="Tabletext"/>
            </w:pPr>
            <w:r>
              <w:t>Total benefits (at 85% benefit)</w:t>
            </w:r>
          </w:p>
        </w:tc>
        <w:tc>
          <w:tcPr>
            <w:tcW w:w="814"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4" w:type="pct"/>
            <w:shd w:val="clear" w:color="auto" w:fill="auto"/>
          </w:tcPr>
          <w:p w:rsidR="00C5321C" w:rsidRPr="004A6A03" w:rsidRDefault="00C5321C" w:rsidP="00791EC7">
            <w:pPr>
              <w:pStyle w:val="Tabletext"/>
            </w:pPr>
            <w:r w:rsidRPr="004A6A03">
              <w:t>$0</w:t>
            </w:r>
          </w:p>
        </w:tc>
      </w:tr>
      <w:tr w:rsidR="00224612" w:rsidRPr="00536CA0" w:rsidTr="00224612">
        <w:tc>
          <w:tcPr>
            <w:tcW w:w="5000" w:type="pct"/>
            <w:gridSpan w:val="6"/>
            <w:shd w:val="clear" w:color="auto" w:fill="auto"/>
            <w:vAlign w:val="center"/>
          </w:tcPr>
          <w:p w:rsidR="00224612" w:rsidRPr="00224612" w:rsidRDefault="00224612" w:rsidP="00791EC7">
            <w:pPr>
              <w:pStyle w:val="Tabletext"/>
              <w:rPr>
                <w:b/>
              </w:rPr>
            </w:pPr>
            <w:r w:rsidRPr="00224612">
              <w:rPr>
                <w:b/>
              </w:rPr>
              <w:t>Services due to unsatisfactory smear</w:t>
            </w:r>
          </w:p>
        </w:tc>
      </w:tr>
      <w:tr w:rsidR="00B20CD1" w:rsidRPr="00536CA0" w:rsidTr="00B20CD1">
        <w:tc>
          <w:tcPr>
            <w:tcW w:w="1653" w:type="pct"/>
            <w:shd w:val="clear" w:color="auto" w:fill="auto"/>
            <w:vAlign w:val="center"/>
          </w:tcPr>
          <w:p w:rsidR="00B20CD1" w:rsidRPr="00536CA0" w:rsidRDefault="00B20CD1" w:rsidP="00791EC7">
            <w:pPr>
              <w:pStyle w:val="Tabletext"/>
            </w:pPr>
            <w:r>
              <w:t xml:space="preserve">Total benefits (at 100% benefit) </w:t>
            </w:r>
          </w:p>
        </w:tc>
        <w:tc>
          <w:tcPr>
            <w:tcW w:w="814" w:type="pct"/>
            <w:shd w:val="clear" w:color="auto" w:fill="auto"/>
          </w:tcPr>
          <w:p w:rsidR="00B20CD1" w:rsidRPr="00B013B0" w:rsidRDefault="00B20CD1" w:rsidP="00B20CD1">
            <w:pPr>
              <w:pStyle w:val="Tabletext"/>
            </w:pPr>
            <w:r w:rsidRPr="00B013B0">
              <w:t>-$144,407</w:t>
            </w:r>
          </w:p>
        </w:tc>
        <w:tc>
          <w:tcPr>
            <w:tcW w:w="633" w:type="pct"/>
            <w:shd w:val="clear" w:color="auto" w:fill="auto"/>
          </w:tcPr>
          <w:p w:rsidR="00B20CD1" w:rsidRPr="00B013B0" w:rsidRDefault="00B20CD1" w:rsidP="00B20CD1">
            <w:pPr>
              <w:pStyle w:val="Tabletext"/>
            </w:pPr>
            <w:r w:rsidRPr="00B013B0">
              <w:t>-$146,853</w:t>
            </w:r>
          </w:p>
        </w:tc>
        <w:tc>
          <w:tcPr>
            <w:tcW w:w="633" w:type="pct"/>
            <w:shd w:val="clear" w:color="auto" w:fill="auto"/>
          </w:tcPr>
          <w:p w:rsidR="00B20CD1" w:rsidRPr="00B013B0" w:rsidRDefault="00B20CD1" w:rsidP="00B20CD1">
            <w:pPr>
              <w:pStyle w:val="Tabletext"/>
            </w:pPr>
            <w:r w:rsidRPr="00B013B0">
              <w:t>-$149,299</w:t>
            </w:r>
          </w:p>
        </w:tc>
        <w:tc>
          <w:tcPr>
            <w:tcW w:w="633" w:type="pct"/>
            <w:shd w:val="clear" w:color="auto" w:fill="auto"/>
          </w:tcPr>
          <w:p w:rsidR="00B20CD1" w:rsidRPr="00B013B0" w:rsidRDefault="00B20CD1" w:rsidP="00B20CD1">
            <w:pPr>
              <w:pStyle w:val="Tabletext"/>
            </w:pPr>
            <w:r w:rsidRPr="00B013B0">
              <w:t>-$151,745</w:t>
            </w:r>
          </w:p>
        </w:tc>
        <w:tc>
          <w:tcPr>
            <w:tcW w:w="634" w:type="pct"/>
            <w:shd w:val="clear" w:color="auto" w:fill="auto"/>
          </w:tcPr>
          <w:p w:rsidR="00B20CD1" w:rsidRPr="00B013B0" w:rsidRDefault="00B20CD1" w:rsidP="00B20CD1">
            <w:pPr>
              <w:pStyle w:val="Tabletext"/>
            </w:pPr>
            <w:r w:rsidRPr="00B013B0">
              <w:t>-$154,191</w:t>
            </w:r>
          </w:p>
        </w:tc>
      </w:tr>
      <w:tr w:rsidR="00B20CD1" w:rsidRPr="00536CA0" w:rsidTr="00B20CD1">
        <w:tc>
          <w:tcPr>
            <w:tcW w:w="1653" w:type="pct"/>
            <w:shd w:val="clear" w:color="auto" w:fill="auto"/>
            <w:vAlign w:val="center"/>
          </w:tcPr>
          <w:p w:rsidR="00B20CD1" w:rsidRPr="00B57E5C" w:rsidRDefault="00B20CD1" w:rsidP="00791EC7">
            <w:pPr>
              <w:pStyle w:val="Tabletext"/>
            </w:pPr>
            <w:r>
              <w:t>Total benefits (at 85% benefit)</w:t>
            </w:r>
          </w:p>
        </w:tc>
        <w:tc>
          <w:tcPr>
            <w:tcW w:w="814" w:type="pct"/>
            <w:shd w:val="clear" w:color="auto" w:fill="auto"/>
          </w:tcPr>
          <w:p w:rsidR="00B20CD1" w:rsidRPr="00B013B0" w:rsidRDefault="00B20CD1" w:rsidP="00B20CD1">
            <w:pPr>
              <w:pStyle w:val="Tabletext"/>
            </w:pPr>
            <w:r w:rsidRPr="00B013B0">
              <w:t>-$123,040</w:t>
            </w:r>
          </w:p>
        </w:tc>
        <w:tc>
          <w:tcPr>
            <w:tcW w:w="633" w:type="pct"/>
            <w:shd w:val="clear" w:color="auto" w:fill="auto"/>
          </w:tcPr>
          <w:p w:rsidR="00B20CD1" w:rsidRPr="00B013B0" w:rsidRDefault="00B20CD1" w:rsidP="00B20CD1">
            <w:pPr>
              <w:pStyle w:val="Tabletext"/>
            </w:pPr>
            <w:r w:rsidRPr="00B013B0">
              <w:t>-$125,125</w:t>
            </w:r>
          </w:p>
        </w:tc>
        <w:tc>
          <w:tcPr>
            <w:tcW w:w="633" w:type="pct"/>
            <w:shd w:val="clear" w:color="auto" w:fill="auto"/>
          </w:tcPr>
          <w:p w:rsidR="00B20CD1" w:rsidRPr="00B013B0" w:rsidRDefault="00B20CD1" w:rsidP="00B20CD1">
            <w:pPr>
              <w:pStyle w:val="Tabletext"/>
            </w:pPr>
            <w:r w:rsidRPr="00B013B0">
              <w:t>-$127,209</w:t>
            </w:r>
          </w:p>
        </w:tc>
        <w:tc>
          <w:tcPr>
            <w:tcW w:w="633" w:type="pct"/>
            <w:shd w:val="clear" w:color="auto" w:fill="auto"/>
          </w:tcPr>
          <w:p w:rsidR="00B20CD1" w:rsidRPr="00B013B0" w:rsidRDefault="00B20CD1" w:rsidP="00B20CD1">
            <w:pPr>
              <w:pStyle w:val="Tabletext"/>
            </w:pPr>
            <w:r w:rsidRPr="00B013B0">
              <w:t>-$129,293</w:t>
            </w:r>
          </w:p>
        </w:tc>
        <w:tc>
          <w:tcPr>
            <w:tcW w:w="634" w:type="pct"/>
            <w:shd w:val="clear" w:color="auto" w:fill="auto"/>
          </w:tcPr>
          <w:p w:rsidR="00B20CD1" w:rsidRDefault="00B20CD1" w:rsidP="00B20CD1">
            <w:pPr>
              <w:pStyle w:val="Tabletext"/>
            </w:pPr>
            <w:r w:rsidRPr="00B013B0">
              <w:t>-$131,377</w:t>
            </w:r>
          </w:p>
        </w:tc>
      </w:tr>
      <w:tr w:rsidR="00224612" w:rsidRPr="00536CA0" w:rsidTr="00224612">
        <w:tc>
          <w:tcPr>
            <w:tcW w:w="5000" w:type="pct"/>
            <w:gridSpan w:val="6"/>
            <w:shd w:val="clear" w:color="auto" w:fill="auto"/>
            <w:vAlign w:val="center"/>
          </w:tcPr>
          <w:p w:rsidR="00224612" w:rsidRPr="00224612" w:rsidRDefault="00224612" w:rsidP="00791EC7">
            <w:pPr>
              <w:pStyle w:val="Tabletext"/>
              <w:rPr>
                <w:b/>
              </w:rPr>
            </w:pPr>
            <w:r w:rsidRPr="00224612">
              <w:rPr>
                <w:b/>
              </w:rPr>
              <w:t>Services due to follow-up tests after a positive result</w:t>
            </w:r>
          </w:p>
        </w:tc>
      </w:tr>
      <w:tr w:rsidR="00B20CD1" w:rsidRPr="00536CA0" w:rsidTr="00B20CD1">
        <w:tc>
          <w:tcPr>
            <w:tcW w:w="1653" w:type="pct"/>
            <w:shd w:val="clear" w:color="auto" w:fill="auto"/>
            <w:vAlign w:val="center"/>
          </w:tcPr>
          <w:p w:rsidR="00B20CD1" w:rsidRPr="00536CA0" w:rsidRDefault="00B20CD1" w:rsidP="00791EC7">
            <w:pPr>
              <w:pStyle w:val="Tabletext"/>
            </w:pPr>
            <w:r>
              <w:t xml:space="preserve">Total benefits (at 100% benefit) </w:t>
            </w:r>
          </w:p>
        </w:tc>
        <w:tc>
          <w:tcPr>
            <w:tcW w:w="814" w:type="pct"/>
            <w:shd w:val="clear" w:color="auto" w:fill="auto"/>
          </w:tcPr>
          <w:p w:rsidR="00B20CD1" w:rsidRPr="0073034D" w:rsidRDefault="00B20CD1" w:rsidP="00B20CD1">
            <w:pPr>
              <w:pStyle w:val="Tabletext"/>
            </w:pPr>
            <w:r w:rsidRPr="0073034D">
              <w:t>$83,338</w:t>
            </w:r>
          </w:p>
        </w:tc>
        <w:tc>
          <w:tcPr>
            <w:tcW w:w="633" w:type="pct"/>
            <w:shd w:val="clear" w:color="auto" w:fill="auto"/>
          </w:tcPr>
          <w:p w:rsidR="00B20CD1" w:rsidRPr="0073034D" w:rsidRDefault="00B20CD1" w:rsidP="00B20CD1">
            <w:pPr>
              <w:pStyle w:val="Tabletext"/>
            </w:pPr>
            <w:r w:rsidRPr="0073034D">
              <w:t>$84,750</w:t>
            </w:r>
          </w:p>
        </w:tc>
        <w:tc>
          <w:tcPr>
            <w:tcW w:w="633" w:type="pct"/>
            <w:shd w:val="clear" w:color="auto" w:fill="auto"/>
          </w:tcPr>
          <w:p w:rsidR="00B20CD1" w:rsidRPr="0073034D" w:rsidRDefault="00B20CD1" w:rsidP="00B20CD1">
            <w:pPr>
              <w:pStyle w:val="Tabletext"/>
            </w:pPr>
            <w:r w:rsidRPr="0073034D">
              <w:t>$86,161</w:t>
            </w:r>
          </w:p>
        </w:tc>
        <w:tc>
          <w:tcPr>
            <w:tcW w:w="633" w:type="pct"/>
            <w:shd w:val="clear" w:color="auto" w:fill="auto"/>
          </w:tcPr>
          <w:p w:rsidR="00B20CD1" w:rsidRPr="0073034D" w:rsidRDefault="00B20CD1" w:rsidP="00B20CD1">
            <w:pPr>
              <w:pStyle w:val="Tabletext"/>
            </w:pPr>
            <w:r w:rsidRPr="0073034D">
              <w:t>$87,573</w:t>
            </w:r>
          </w:p>
        </w:tc>
        <w:tc>
          <w:tcPr>
            <w:tcW w:w="634" w:type="pct"/>
            <w:shd w:val="clear" w:color="auto" w:fill="auto"/>
          </w:tcPr>
          <w:p w:rsidR="00B20CD1" w:rsidRPr="0073034D" w:rsidRDefault="00B20CD1" w:rsidP="00B20CD1">
            <w:pPr>
              <w:pStyle w:val="Tabletext"/>
            </w:pPr>
            <w:r w:rsidRPr="0073034D">
              <w:t>$88,985</w:t>
            </w:r>
          </w:p>
        </w:tc>
      </w:tr>
      <w:tr w:rsidR="00B20CD1" w:rsidRPr="00536CA0" w:rsidTr="00B20CD1">
        <w:tc>
          <w:tcPr>
            <w:tcW w:w="1653" w:type="pct"/>
            <w:shd w:val="clear" w:color="auto" w:fill="auto"/>
            <w:vAlign w:val="center"/>
          </w:tcPr>
          <w:p w:rsidR="00B20CD1" w:rsidRPr="00B57E5C" w:rsidRDefault="00B20CD1" w:rsidP="00791EC7">
            <w:pPr>
              <w:pStyle w:val="Tabletext"/>
            </w:pPr>
            <w:r>
              <w:t>Total benefits (at 85% benefit)</w:t>
            </w:r>
          </w:p>
        </w:tc>
        <w:tc>
          <w:tcPr>
            <w:tcW w:w="814" w:type="pct"/>
            <w:shd w:val="clear" w:color="auto" w:fill="auto"/>
          </w:tcPr>
          <w:p w:rsidR="00B20CD1" w:rsidRPr="0073034D" w:rsidRDefault="00B20CD1" w:rsidP="00B20CD1">
            <w:pPr>
              <w:pStyle w:val="Tabletext"/>
            </w:pPr>
            <w:r w:rsidRPr="0073034D">
              <w:t>$71,007</w:t>
            </w:r>
          </w:p>
        </w:tc>
        <w:tc>
          <w:tcPr>
            <w:tcW w:w="633" w:type="pct"/>
            <w:shd w:val="clear" w:color="auto" w:fill="auto"/>
          </w:tcPr>
          <w:p w:rsidR="00B20CD1" w:rsidRPr="0073034D" w:rsidRDefault="00B20CD1" w:rsidP="00B20CD1">
            <w:pPr>
              <w:pStyle w:val="Tabletext"/>
            </w:pPr>
            <w:r w:rsidRPr="0073034D">
              <w:t>$72,210</w:t>
            </w:r>
          </w:p>
        </w:tc>
        <w:tc>
          <w:tcPr>
            <w:tcW w:w="633" w:type="pct"/>
            <w:shd w:val="clear" w:color="auto" w:fill="auto"/>
          </w:tcPr>
          <w:p w:rsidR="00B20CD1" w:rsidRPr="0073034D" w:rsidRDefault="00B20CD1" w:rsidP="00B20CD1">
            <w:pPr>
              <w:pStyle w:val="Tabletext"/>
            </w:pPr>
            <w:r w:rsidRPr="0073034D">
              <w:t>$73,413</w:t>
            </w:r>
          </w:p>
        </w:tc>
        <w:tc>
          <w:tcPr>
            <w:tcW w:w="633" w:type="pct"/>
            <w:shd w:val="clear" w:color="auto" w:fill="auto"/>
          </w:tcPr>
          <w:p w:rsidR="00B20CD1" w:rsidRPr="0073034D" w:rsidRDefault="00B20CD1" w:rsidP="00B20CD1">
            <w:pPr>
              <w:pStyle w:val="Tabletext"/>
            </w:pPr>
            <w:r w:rsidRPr="0073034D">
              <w:t>$74,616</w:t>
            </w:r>
          </w:p>
        </w:tc>
        <w:tc>
          <w:tcPr>
            <w:tcW w:w="634" w:type="pct"/>
            <w:shd w:val="clear" w:color="auto" w:fill="auto"/>
          </w:tcPr>
          <w:p w:rsidR="00B20CD1" w:rsidRDefault="00B20CD1" w:rsidP="00B20CD1">
            <w:pPr>
              <w:pStyle w:val="Tabletext"/>
            </w:pPr>
            <w:r w:rsidRPr="0073034D">
              <w:t>$75,819</w:t>
            </w:r>
          </w:p>
        </w:tc>
      </w:tr>
      <w:tr w:rsidR="00224612" w:rsidRPr="00536CA0" w:rsidTr="00224612">
        <w:tc>
          <w:tcPr>
            <w:tcW w:w="5000" w:type="pct"/>
            <w:gridSpan w:val="6"/>
            <w:shd w:val="clear" w:color="auto" w:fill="auto"/>
            <w:vAlign w:val="bottom"/>
          </w:tcPr>
          <w:p w:rsidR="00224612" w:rsidRPr="00224612" w:rsidRDefault="00224612" w:rsidP="00791EC7">
            <w:pPr>
              <w:pStyle w:val="Tabletext"/>
              <w:rPr>
                <w:b/>
              </w:rPr>
            </w:pPr>
            <w:r w:rsidRPr="00224612">
              <w:rPr>
                <w:b/>
              </w:rPr>
              <w:t>Services due to other follow-up investigations</w:t>
            </w:r>
          </w:p>
        </w:tc>
      </w:tr>
      <w:tr w:rsidR="00C5321C" w:rsidRPr="00536CA0" w:rsidTr="00B20CD1">
        <w:tc>
          <w:tcPr>
            <w:tcW w:w="1653" w:type="pct"/>
            <w:shd w:val="clear" w:color="auto" w:fill="auto"/>
            <w:vAlign w:val="center"/>
          </w:tcPr>
          <w:p w:rsidR="00C5321C" w:rsidRPr="00536CA0" w:rsidRDefault="00C5321C" w:rsidP="00791EC7">
            <w:pPr>
              <w:pStyle w:val="Tabletext"/>
            </w:pPr>
            <w:r>
              <w:t xml:space="preserve">Total benefits (at 100% benefit) </w:t>
            </w:r>
          </w:p>
        </w:tc>
        <w:tc>
          <w:tcPr>
            <w:tcW w:w="814"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4" w:type="pct"/>
            <w:shd w:val="clear" w:color="auto" w:fill="auto"/>
          </w:tcPr>
          <w:p w:rsidR="00C5321C" w:rsidRPr="004A6A03" w:rsidRDefault="00C5321C" w:rsidP="00791EC7">
            <w:pPr>
              <w:pStyle w:val="Tabletext"/>
            </w:pPr>
            <w:r w:rsidRPr="004A6A03">
              <w:t>$0</w:t>
            </w:r>
          </w:p>
        </w:tc>
      </w:tr>
      <w:tr w:rsidR="00C5321C" w:rsidRPr="00536CA0" w:rsidTr="00B20CD1">
        <w:tc>
          <w:tcPr>
            <w:tcW w:w="1653" w:type="pct"/>
            <w:shd w:val="clear" w:color="auto" w:fill="auto"/>
            <w:vAlign w:val="center"/>
          </w:tcPr>
          <w:p w:rsidR="00C5321C" w:rsidRPr="00B57E5C" w:rsidRDefault="00C5321C" w:rsidP="00791EC7">
            <w:pPr>
              <w:pStyle w:val="Tabletext"/>
            </w:pPr>
            <w:r>
              <w:t>Total benefits (at 85% benefit)</w:t>
            </w:r>
          </w:p>
        </w:tc>
        <w:tc>
          <w:tcPr>
            <w:tcW w:w="814"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3" w:type="pct"/>
            <w:shd w:val="clear" w:color="auto" w:fill="auto"/>
          </w:tcPr>
          <w:p w:rsidR="00C5321C" w:rsidRPr="004A6A03" w:rsidRDefault="00C5321C" w:rsidP="00791EC7">
            <w:pPr>
              <w:pStyle w:val="Tabletext"/>
            </w:pPr>
            <w:r w:rsidRPr="004A6A03">
              <w:t>$0</w:t>
            </w:r>
          </w:p>
        </w:tc>
        <w:tc>
          <w:tcPr>
            <w:tcW w:w="634" w:type="pct"/>
            <w:shd w:val="clear" w:color="auto" w:fill="auto"/>
          </w:tcPr>
          <w:p w:rsidR="00C5321C" w:rsidRPr="004A6A03" w:rsidRDefault="00C5321C" w:rsidP="00791EC7">
            <w:pPr>
              <w:pStyle w:val="Tabletext"/>
            </w:pPr>
            <w:r w:rsidRPr="004A6A03">
              <w:t>$0</w:t>
            </w:r>
          </w:p>
        </w:tc>
      </w:tr>
      <w:tr w:rsidR="00224612" w:rsidRPr="00536CA0" w:rsidTr="00224612">
        <w:tc>
          <w:tcPr>
            <w:tcW w:w="5000" w:type="pct"/>
            <w:gridSpan w:val="6"/>
            <w:shd w:val="clear" w:color="auto" w:fill="auto"/>
            <w:vAlign w:val="bottom"/>
          </w:tcPr>
          <w:p w:rsidR="00224612" w:rsidRPr="00224612" w:rsidRDefault="00224612" w:rsidP="00791EC7">
            <w:pPr>
              <w:pStyle w:val="Tabletext"/>
              <w:rPr>
                <w:b/>
              </w:rPr>
            </w:pPr>
            <w:r w:rsidRPr="00224612">
              <w:rPr>
                <w:b/>
              </w:rPr>
              <w:t>Overall</w:t>
            </w:r>
          </w:p>
        </w:tc>
      </w:tr>
      <w:tr w:rsidR="00B20CD1" w:rsidRPr="00536CA0" w:rsidTr="00B20CD1">
        <w:tc>
          <w:tcPr>
            <w:tcW w:w="1653" w:type="pct"/>
            <w:shd w:val="clear" w:color="auto" w:fill="auto"/>
            <w:vAlign w:val="center"/>
          </w:tcPr>
          <w:p w:rsidR="00B20CD1" w:rsidRPr="00536CA0" w:rsidRDefault="00B20CD1" w:rsidP="00791EC7">
            <w:pPr>
              <w:pStyle w:val="Tabletext"/>
            </w:pPr>
            <w:r>
              <w:t xml:space="preserve">Total benefits (at 100% benefit) </w:t>
            </w:r>
          </w:p>
        </w:tc>
        <w:tc>
          <w:tcPr>
            <w:tcW w:w="814" w:type="pct"/>
            <w:shd w:val="clear" w:color="auto" w:fill="auto"/>
          </w:tcPr>
          <w:p w:rsidR="00B20CD1" w:rsidRPr="0094181F" w:rsidRDefault="00B20CD1" w:rsidP="00B20CD1">
            <w:pPr>
              <w:pStyle w:val="Tabletext"/>
            </w:pPr>
            <w:r w:rsidRPr="0094181F">
              <w:t>-$61,069</w:t>
            </w:r>
          </w:p>
        </w:tc>
        <w:tc>
          <w:tcPr>
            <w:tcW w:w="633" w:type="pct"/>
            <w:shd w:val="clear" w:color="auto" w:fill="auto"/>
          </w:tcPr>
          <w:p w:rsidR="00B20CD1" w:rsidRPr="0094181F" w:rsidRDefault="00B20CD1" w:rsidP="00B20CD1">
            <w:pPr>
              <w:pStyle w:val="Tabletext"/>
            </w:pPr>
            <w:r w:rsidRPr="0094181F">
              <w:t>-$62,103</w:t>
            </w:r>
          </w:p>
        </w:tc>
        <w:tc>
          <w:tcPr>
            <w:tcW w:w="633" w:type="pct"/>
            <w:shd w:val="clear" w:color="auto" w:fill="auto"/>
          </w:tcPr>
          <w:p w:rsidR="00B20CD1" w:rsidRPr="0094181F" w:rsidRDefault="00B20CD1" w:rsidP="00B20CD1">
            <w:pPr>
              <w:pStyle w:val="Tabletext"/>
            </w:pPr>
            <w:r w:rsidRPr="0094181F">
              <w:t>-$63,138</w:t>
            </w:r>
          </w:p>
        </w:tc>
        <w:tc>
          <w:tcPr>
            <w:tcW w:w="633" w:type="pct"/>
            <w:shd w:val="clear" w:color="auto" w:fill="auto"/>
          </w:tcPr>
          <w:p w:rsidR="00B20CD1" w:rsidRPr="0094181F" w:rsidRDefault="00B20CD1" w:rsidP="00B20CD1">
            <w:pPr>
              <w:pStyle w:val="Tabletext"/>
            </w:pPr>
            <w:r w:rsidRPr="0094181F">
              <w:t>-$64,172</w:t>
            </w:r>
          </w:p>
        </w:tc>
        <w:tc>
          <w:tcPr>
            <w:tcW w:w="634" w:type="pct"/>
            <w:shd w:val="clear" w:color="auto" w:fill="auto"/>
          </w:tcPr>
          <w:p w:rsidR="00B20CD1" w:rsidRPr="0094181F" w:rsidRDefault="00B20CD1" w:rsidP="00B20CD1">
            <w:pPr>
              <w:pStyle w:val="Tabletext"/>
            </w:pPr>
            <w:r w:rsidRPr="0094181F">
              <w:t>-$65,207</w:t>
            </w:r>
          </w:p>
        </w:tc>
      </w:tr>
      <w:tr w:rsidR="00B20CD1" w:rsidRPr="00536CA0" w:rsidTr="00B20CD1">
        <w:tc>
          <w:tcPr>
            <w:tcW w:w="1653" w:type="pct"/>
            <w:shd w:val="clear" w:color="auto" w:fill="auto"/>
            <w:vAlign w:val="center"/>
          </w:tcPr>
          <w:p w:rsidR="00B20CD1" w:rsidRPr="00B57E5C" w:rsidRDefault="00B20CD1" w:rsidP="00791EC7">
            <w:pPr>
              <w:pStyle w:val="Tabletext"/>
            </w:pPr>
            <w:r>
              <w:t>Total benefits (at 85% benefit)</w:t>
            </w:r>
          </w:p>
        </w:tc>
        <w:tc>
          <w:tcPr>
            <w:tcW w:w="814" w:type="pct"/>
            <w:shd w:val="clear" w:color="auto" w:fill="auto"/>
          </w:tcPr>
          <w:p w:rsidR="00B20CD1" w:rsidRPr="0094181F" w:rsidRDefault="00B20CD1" w:rsidP="00B20CD1">
            <w:pPr>
              <w:pStyle w:val="Tabletext"/>
            </w:pPr>
            <w:r w:rsidRPr="0094181F">
              <w:t>-$52,033</w:t>
            </w:r>
          </w:p>
        </w:tc>
        <w:tc>
          <w:tcPr>
            <w:tcW w:w="633" w:type="pct"/>
            <w:shd w:val="clear" w:color="auto" w:fill="auto"/>
          </w:tcPr>
          <w:p w:rsidR="00B20CD1" w:rsidRPr="0094181F" w:rsidRDefault="00B20CD1" w:rsidP="00B20CD1">
            <w:pPr>
              <w:pStyle w:val="Tabletext"/>
            </w:pPr>
            <w:r w:rsidRPr="0094181F">
              <w:t>-$52,914</w:t>
            </w:r>
          </w:p>
        </w:tc>
        <w:tc>
          <w:tcPr>
            <w:tcW w:w="633" w:type="pct"/>
            <w:shd w:val="clear" w:color="auto" w:fill="auto"/>
          </w:tcPr>
          <w:p w:rsidR="00B20CD1" w:rsidRPr="0094181F" w:rsidRDefault="00B20CD1" w:rsidP="00B20CD1">
            <w:pPr>
              <w:pStyle w:val="Tabletext"/>
            </w:pPr>
            <w:r w:rsidRPr="0094181F">
              <w:t>-$53,796</w:t>
            </w:r>
          </w:p>
        </w:tc>
        <w:tc>
          <w:tcPr>
            <w:tcW w:w="633" w:type="pct"/>
            <w:shd w:val="clear" w:color="auto" w:fill="auto"/>
          </w:tcPr>
          <w:p w:rsidR="00B20CD1" w:rsidRPr="0094181F" w:rsidRDefault="00B20CD1" w:rsidP="00B20CD1">
            <w:pPr>
              <w:pStyle w:val="Tabletext"/>
            </w:pPr>
            <w:r w:rsidRPr="0094181F">
              <w:t>-$54,677</w:t>
            </w:r>
          </w:p>
        </w:tc>
        <w:tc>
          <w:tcPr>
            <w:tcW w:w="634" w:type="pct"/>
            <w:shd w:val="clear" w:color="auto" w:fill="auto"/>
          </w:tcPr>
          <w:p w:rsidR="00B20CD1" w:rsidRDefault="00B20CD1" w:rsidP="00B20CD1">
            <w:pPr>
              <w:pStyle w:val="Tabletext"/>
            </w:pPr>
            <w:r w:rsidRPr="0094181F">
              <w:t>-$55,559</w:t>
            </w:r>
          </w:p>
        </w:tc>
      </w:tr>
    </w:tbl>
    <w:p w:rsidR="00C5321C" w:rsidRDefault="00C5321C" w:rsidP="00C5321C"/>
    <w:p w:rsidR="00C5321C" w:rsidRPr="00F848C7" w:rsidRDefault="00C5321C" w:rsidP="00C5321C">
      <w:pPr>
        <w:sectPr w:rsidR="00C5321C" w:rsidRPr="00F848C7" w:rsidSect="00BA1D8B">
          <w:type w:val="continuous"/>
          <w:pgSz w:w="11907" w:h="16840" w:code="9"/>
          <w:pgMar w:top="1418" w:right="1418" w:bottom="1701" w:left="1814" w:header="720" w:footer="720" w:gutter="0"/>
          <w:paperSrc w:first="7" w:other="7"/>
          <w:pgNumType w:start="194"/>
          <w:cols w:space="720"/>
          <w:noEndnote/>
          <w:docGrid w:linePitch="299"/>
        </w:sectPr>
      </w:pPr>
    </w:p>
    <w:p w:rsidR="00FF05EE" w:rsidRDefault="00AE4BEB" w:rsidP="00881BD2">
      <w:pPr>
        <w:pStyle w:val="Heading1"/>
      </w:pPr>
      <w:bookmarkStart w:id="654" w:name="_Toc169931879"/>
      <w:bookmarkStart w:id="655" w:name="_Toc258501814"/>
      <w:bookmarkStart w:id="656" w:name="_Toc337546935"/>
      <w:r>
        <w:lastRenderedPageBreak/>
        <w:t xml:space="preserve">List of </w:t>
      </w:r>
      <w:r w:rsidR="00FF05EE">
        <w:t>References</w:t>
      </w:r>
      <w:bookmarkEnd w:id="654"/>
      <w:bookmarkEnd w:id="655"/>
      <w:bookmarkEnd w:id="656"/>
    </w:p>
    <w:p w:rsidR="00566C92" w:rsidRPr="00DF2DC1" w:rsidRDefault="00566C92" w:rsidP="00566C92">
      <w:proofErr w:type="gramStart"/>
      <w:r w:rsidRPr="003A52C3">
        <w:t>Altmen</w:t>
      </w:r>
      <w:r>
        <w:t xml:space="preserve"> DG</w:t>
      </w:r>
      <w:r w:rsidRPr="003A52C3">
        <w:t xml:space="preserve"> and Bland </w:t>
      </w:r>
      <w:r>
        <w:t>JM.</w:t>
      </w:r>
      <w:proofErr w:type="gramEnd"/>
      <w:r>
        <w:t xml:space="preserve"> </w:t>
      </w:r>
      <w:r w:rsidRPr="00DF2DC1">
        <w:t>Diagnostic tests 2: predictive</w:t>
      </w:r>
      <w:r>
        <w:t xml:space="preserve"> values. </w:t>
      </w:r>
      <w:r w:rsidRPr="00DF2DC1">
        <w:t>BMJ 1994</w:t>
      </w:r>
      <w:proofErr w:type="gramStart"/>
      <w:r w:rsidRPr="00DF2DC1">
        <w:t>;309:102</w:t>
      </w:r>
      <w:proofErr w:type="gramEnd"/>
    </w:p>
    <w:p w:rsidR="00566C92" w:rsidRDefault="00566C92" w:rsidP="00566C92">
      <w:r w:rsidRPr="0051365F">
        <w:t>Arbyn M,</w:t>
      </w:r>
      <w:r w:rsidRPr="00845F52">
        <w:t xml:space="preserve"> Sasieni P, Meijer CJ, Clavel C, Koliopoulos G, Dillner J. Clinical applications of HPV testing: a summary of meta</w:t>
      </w:r>
      <w:r>
        <w:t>-analyses. Vaccine 2006; 24(S3):78–89.</w:t>
      </w:r>
    </w:p>
    <w:p w:rsidR="00566C92" w:rsidRDefault="00566C92" w:rsidP="00566C92">
      <w:r w:rsidRPr="007F7F69">
        <w:t xml:space="preserve">Arbyn </w:t>
      </w:r>
      <w:r>
        <w:t xml:space="preserve">M, Bergeron C, Klinhammer P, Martin0Hirsch P, Siebers AG, Bulten J. Liquid Compared </w:t>
      </w:r>
      <w:proofErr w:type="gramStart"/>
      <w:r>
        <w:t>With</w:t>
      </w:r>
      <w:proofErr w:type="gramEnd"/>
      <w:r>
        <w:t xml:space="preserve"> Conventional Cervical Cytology: A Systematic Review and Meta-analysis. Obstetrics and gynecology 2008: 111(1):167-177</w:t>
      </w:r>
    </w:p>
    <w:p w:rsidR="00566C92" w:rsidRPr="003A52C3" w:rsidRDefault="00566C92" w:rsidP="00566C92">
      <w:proofErr w:type="gramStart"/>
      <w:r w:rsidRPr="007F7F69">
        <w:t xml:space="preserve">Arbyn </w:t>
      </w:r>
      <w:r>
        <w:t>M, Ronco G, Cuzick J, Wentzensen N, Castle PE.</w:t>
      </w:r>
      <w:proofErr w:type="gramEnd"/>
      <w:r>
        <w:t xml:space="preserve"> How to evaluate emerging technologies in cervical cancer screening? </w:t>
      </w:r>
      <w:r w:rsidRPr="007F7F69">
        <w:t>Int J Cancer. 2009 December 1; 125(11): 2489–2496.</w:t>
      </w:r>
    </w:p>
    <w:p w:rsidR="00566C92" w:rsidRDefault="00566C92" w:rsidP="00566C92">
      <w:proofErr w:type="gramStart"/>
      <w:r w:rsidRPr="00A978A9">
        <w:t>Australian Institute of Health and Welfare 2012.</w:t>
      </w:r>
      <w:proofErr w:type="gramEnd"/>
      <w:r w:rsidRPr="00A978A9">
        <w:t xml:space="preserve"> </w:t>
      </w:r>
      <w:proofErr w:type="gramStart"/>
      <w:r w:rsidRPr="00A978A9">
        <w:t>Cervical screening in Australia 2009–2010.</w:t>
      </w:r>
      <w:proofErr w:type="gramEnd"/>
      <w:r w:rsidRPr="00A978A9">
        <w:t xml:space="preserve"> </w:t>
      </w:r>
      <w:proofErr w:type="gramStart"/>
      <w:r w:rsidRPr="00A978A9">
        <w:t>Cancer series 67.</w:t>
      </w:r>
      <w:proofErr w:type="gramEnd"/>
      <w:r w:rsidRPr="00A978A9">
        <w:t xml:space="preserve"> Cat. </w:t>
      </w:r>
      <w:proofErr w:type="gramStart"/>
      <w:r w:rsidRPr="00A978A9">
        <w:t>no</w:t>
      </w:r>
      <w:proofErr w:type="gramEnd"/>
      <w:r w:rsidRPr="00A978A9">
        <w:t>. CAN 63. Canberra: AIHW.</w:t>
      </w:r>
    </w:p>
    <w:p w:rsidR="00566C92" w:rsidRPr="000A29D8" w:rsidRDefault="00566C92" w:rsidP="00566C92">
      <w:proofErr w:type="gramStart"/>
      <w:r>
        <w:t>AIHW 2007</w:t>
      </w:r>
      <w:r w:rsidRPr="000A29D8">
        <w:t>.</w:t>
      </w:r>
      <w:proofErr w:type="gramEnd"/>
      <w:r w:rsidRPr="000A29D8">
        <w:t xml:space="preserve"> </w:t>
      </w:r>
      <w:proofErr w:type="gramStart"/>
      <w:r w:rsidRPr="000A29D8">
        <w:t>ACIM (Australian Cancer Incidence and Mortality) Books.</w:t>
      </w:r>
      <w:proofErr w:type="gramEnd"/>
      <w:r w:rsidRPr="000A29D8">
        <w:t xml:space="preserve"> </w:t>
      </w:r>
      <w:r>
        <w:t xml:space="preserve">Canberra: Australian </w:t>
      </w:r>
      <w:r w:rsidRPr="000A29D8">
        <w:t xml:space="preserve">Institute of Health and Welfare. </w:t>
      </w:r>
      <w:r w:rsidRPr="00CF6D7F">
        <w:t>http://www.aihw.gov.au/cancer/</w:t>
      </w:r>
    </w:p>
    <w:p w:rsidR="00566C92" w:rsidRDefault="00295B89" w:rsidP="00566C92">
      <w:proofErr w:type="gramStart"/>
      <w:r w:rsidRPr="00295B89">
        <w:t xml:space="preserve">Ashfaq R, </w:t>
      </w:r>
      <w:r w:rsidR="00566C92" w:rsidRPr="00D94D1B">
        <w:t>Gibbons D, Vela C, Saborrian MH, Iliya F. ThinPrep Pap test.</w:t>
      </w:r>
      <w:proofErr w:type="gramEnd"/>
      <w:r w:rsidR="00566C92" w:rsidRPr="00D94D1B">
        <w:t xml:space="preserve"> </w:t>
      </w:r>
      <w:proofErr w:type="gramStart"/>
      <w:r w:rsidR="00566C92" w:rsidRPr="00D94D1B">
        <w:t>Accuracy for glandular disease.</w:t>
      </w:r>
      <w:proofErr w:type="gramEnd"/>
      <w:r w:rsidR="00566C92" w:rsidRPr="00D94D1B">
        <w:t xml:space="preserve"> </w:t>
      </w:r>
      <w:proofErr w:type="gramStart"/>
      <w:r w:rsidR="00566C92" w:rsidRPr="00D94D1B">
        <w:t>Acta Cytol 1999;</w:t>
      </w:r>
      <w:r w:rsidR="00566C92">
        <w:t xml:space="preserve"> 43:81-85.</w:t>
      </w:r>
      <w:proofErr w:type="gramEnd"/>
    </w:p>
    <w:p w:rsidR="00566C92" w:rsidRDefault="00566C92" w:rsidP="00566C92">
      <w:r w:rsidRPr="003A52C3">
        <w:t xml:space="preserve">Beerman H, van Dorst EB, Kuenen-Boumeester V, Hogendoorn PC. </w:t>
      </w:r>
      <w:proofErr w:type="gramStart"/>
      <w:r w:rsidRPr="003A52C3">
        <w:t>Superior performance of liquid-based versus conventional cytology in a population-based cervical cancer screening program.</w:t>
      </w:r>
      <w:proofErr w:type="gramEnd"/>
      <w:r w:rsidRPr="003A52C3">
        <w:t xml:space="preserve"> Gynecol Oncol. 2009 Mar</w:t>
      </w:r>
      <w:proofErr w:type="gramStart"/>
      <w:r w:rsidRPr="003A52C3">
        <w:t>;112</w:t>
      </w:r>
      <w:proofErr w:type="gramEnd"/>
      <w:r w:rsidRPr="003A52C3">
        <w:t xml:space="preserve">(3):572-6. </w:t>
      </w:r>
    </w:p>
    <w:p w:rsidR="00566C92" w:rsidRPr="003A52C3" w:rsidRDefault="00566C92" w:rsidP="00566C92">
      <w:r w:rsidRPr="00355437">
        <w:t xml:space="preserve">Belsley </w:t>
      </w:r>
      <w:r>
        <w:t xml:space="preserve">NA, Tambouret RH, Misdraji J, Muzikansky A, Russell DK, Wilbur DC. Cytologic Features of Endocervical Glandular Lesions: Comparison of SurePath, ThinPrep, and Conventional Smear Specimen Preparations. </w:t>
      </w:r>
      <w:proofErr w:type="gramStart"/>
      <w:r>
        <w:t>Diagn.</w:t>
      </w:r>
      <w:proofErr w:type="gramEnd"/>
      <w:r>
        <w:t xml:space="preserve"> </w:t>
      </w:r>
      <w:proofErr w:type="gramStart"/>
      <w:r>
        <w:t>Cytopathol.</w:t>
      </w:r>
      <w:proofErr w:type="gramEnd"/>
      <w:r>
        <w:t xml:space="preserve"> </w:t>
      </w:r>
      <w:proofErr w:type="gramStart"/>
      <w:r>
        <w:t>2008; 36:232–237.</w:t>
      </w:r>
      <w:proofErr w:type="gramEnd"/>
    </w:p>
    <w:p w:rsidR="00566C92" w:rsidRPr="003A52C3" w:rsidRDefault="00566C92" w:rsidP="00566C92">
      <w:r w:rsidRPr="003A52C3">
        <w:t xml:space="preserve">Bentz JS, Rowe LR, Gopez EV, Marshall CJ. </w:t>
      </w:r>
      <w:proofErr w:type="gramStart"/>
      <w:r w:rsidRPr="003A52C3">
        <w:t>The unsatisfactory ThinPrep Pap Test. Missed opportunity for disease detection.</w:t>
      </w:r>
      <w:proofErr w:type="gramEnd"/>
      <w:r w:rsidRPr="003A52C3">
        <w:t xml:space="preserve"> Am J Clin Pathol 2002</w:t>
      </w:r>
      <w:proofErr w:type="gramStart"/>
      <w:r w:rsidRPr="003A52C3">
        <w:t>;117:457</w:t>
      </w:r>
      <w:proofErr w:type="gramEnd"/>
      <w:r w:rsidRPr="003A52C3">
        <w:t>-463.</w:t>
      </w:r>
    </w:p>
    <w:p w:rsidR="00566C92" w:rsidRDefault="00566C92" w:rsidP="00566C92">
      <w:r w:rsidRPr="00DF2DC1">
        <w:t>Bigras G, Rieder MA, Lambercy JM</w:t>
      </w:r>
      <w:proofErr w:type="gramStart"/>
      <w:r w:rsidRPr="00DF2DC1">
        <w:t xml:space="preserve">, </w:t>
      </w:r>
      <w:r>
        <w:t xml:space="preserve"> .</w:t>
      </w:r>
      <w:proofErr w:type="gramEnd"/>
      <w:r>
        <w:t xml:space="preserve"> Keeping collecting device </w:t>
      </w:r>
      <w:r w:rsidRPr="00DF2DC1">
        <w:t>in liquid medium is mandatory t</w:t>
      </w:r>
      <w:r>
        <w:t xml:space="preserve">o ensure optimized liquid-based </w:t>
      </w:r>
      <w:r w:rsidRPr="00DF2DC1">
        <w:t>cervical cytologic sampling. J Low Genit Tract Dis 2003</w:t>
      </w:r>
      <w:proofErr w:type="gramStart"/>
      <w:r w:rsidRPr="00DF2DC1">
        <w:t>;7:168e74</w:t>
      </w:r>
      <w:proofErr w:type="gramEnd"/>
      <w:r w:rsidRPr="00DF2DC1">
        <w:t>.</w:t>
      </w:r>
    </w:p>
    <w:p w:rsidR="00566C92" w:rsidRDefault="00566C92" w:rsidP="00566C92">
      <w:r w:rsidRPr="003A52C3">
        <w:t>Biscotti C, Dawson A, Dziura B, Galup L, Darragh T, Rahemtulla A, and Wills-Frank L. Assisted primary screening using the authomated ThinPrep imaging system. Am J Clin Pathol 2005</w:t>
      </w:r>
      <w:proofErr w:type="gramStart"/>
      <w:r w:rsidRPr="003A52C3">
        <w:t>;123:281</w:t>
      </w:r>
      <w:proofErr w:type="gramEnd"/>
      <w:r w:rsidRPr="003A52C3">
        <w:t>-287.</w:t>
      </w:r>
    </w:p>
    <w:p w:rsidR="00566C92" w:rsidRDefault="00566C92" w:rsidP="00566C92">
      <w:r w:rsidRPr="009234AA">
        <w:lastRenderedPageBreak/>
        <w:t>Bl</w:t>
      </w:r>
      <w:r>
        <w:t xml:space="preserve">omfield P, Saville M. </w:t>
      </w:r>
      <w:r w:rsidRPr="009234AA">
        <w:t>Outstanding problems – glandular lesions</w:t>
      </w:r>
      <w:r>
        <w:t>. Cancer Forum Produced by the Cancer Council Australia July 2008; 32(2):81-84</w:t>
      </w:r>
    </w:p>
    <w:p w:rsidR="00566C92" w:rsidRDefault="00566C92" w:rsidP="00566C92">
      <w:r w:rsidRPr="00F073A8">
        <w:t xml:space="preserve">Bossuyt </w:t>
      </w:r>
      <w:r>
        <w:t xml:space="preserve">PM, Reitsma JB, Bruns DE, Gatsonis CA, Glasziou PP, Irwig LM, Lijmer JG, Moher D, Rennie D. Towards complete and accurate reporting of studies of diagnostic accuracy: the STARD initiative. </w:t>
      </w:r>
      <w:r w:rsidRPr="00F073A8">
        <w:t>BMJ 2003</w:t>
      </w:r>
      <w:proofErr w:type="gramStart"/>
      <w:r w:rsidRPr="00F073A8">
        <w:t>;326:41</w:t>
      </w:r>
      <w:proofErr w:type="gramEnd"/>
      <w:r w:rsidRPr="00F073A8">
        <w:t>–4</w:t>
      </w:r>
      <w:r>
        <w:t>.</w:t>
      </w:r>
      <w:r w:rsidRPr="00F073A8">
        <w:t xml:space="preserve"> </w:t>
      </w:r>
    </w:p>
    <w:p w:rsidR="00566C92" w:rsidRDefault="00566C92" w:rsidP="00566C92">
      <w:proofErr w:type="gramStart"/>
      <w:r w:rsidRPr="00D94D1B">
        <w:t xml:space="preserve">Bucher </w:t>
      </w:r>
      <w:r>
        <w:t>HC, Gyatt GH, Griffith LE, Walter SD.</w:t>
      </w:r>
      <w:proofErr w:type="gramEnd"/>
      <w:r>
        <w:t xml:space="preserve"> </w:t>
      </w:r>
      <w:proofErr w:type="gramStart"/>
      <w:r>
        <w:t>The results of Direct and Indirect Treatment Comparisons in Meta-Analysis of Randomised Controlled Trials.</w:t>
      </w:r>
      <w:proofErr w:type="gramEnd"/>
      <w:r>
        <w:t xml:space="preserve"> J Clin Epidemiol 1997; 50(6):683-691.</w:t>
      </w:r>
    </w:p>
    <w:p w:rsidR="00566C92" w:rsidRPr="003A52C3" w:rsidRDefault="00566C92" w:rsidP="00566C92">
      <w:r w:rsidRPr="00F073A8">
        <w:t xml:space="preserve">Canfell </w:t>
      </w:r>
      <w:r>
        <w:t>K, Kang YJ, Clements M, Myat Moa A, Beral V. Normal endometrial cells in cervical cytology: systematic review of prevalence and relation to significant endometrial pathology</w:t>
      </w:r>
      <w:r w:rsidRPr="00F073A8">
        <w:t xml:space="preserve"> J Med Screen 2008;</w:t>
      </w:r>
      <w:r>
        <w:t xml:space="preserve"> </w:t>
      </w:r>
      <w:r w:rsidRPr="00F073A8">
        <w:t>15:188–198</w:t>
      </w:r>
      <w:r>
        <w:t>.</w:t>
      </w:r>
    </w:p>
    <w:p w:rsidR="00566C92" w:rsidRDefault="00566C92" w:rsidP="00566C92">
      <w:proofErr w:type="gramStart"/>
      <w:r w:rsidRPr="000A29D8">
        <w:t>Castle PE, Stoler MH, Solomon D, Schiffman M.</w:t>
      </w:r>
      <w:proofErr w:type="gramEnd"/>
      <w:r w:rsidRPr="000A29D8">
        <w:t xml:space="preserve"> The relationship of comm</w:t>
      </w:r>
      <w:r>
        <w:t xml:space="preserve">unity biopsy-diagnosed cervical </w:t>
      </w:r>
      <w:r w:rsidRPr="000A29D8">
        <w:t>intraepithelial neoplasia grade 2 to the quality control pathol</w:t>
      </w:r>
      <w:r>
        <w:t xml:space="preserve">ogy-reviewed diagnoses: an ALTS </w:t>
      </w:r>
      <w:r w:rsidRPr="000A29D8">
        <w:t>report, Am.J.Clin.Pathol.</w:t>
      </w:r>
      <w:r>
        <w:t xml:space="preserve"> 2007; 127(5):</w:t>
      </w:r>
      <w:r w:rsidRPr="000A29D8">
        <w:t>805–815.</w:t>
      </w:r>
      <w:r w:rsidRPr="003A52C3">
        <w:t xml:space="preserve"> </w:t>
      </w:r>
    </w:p>
    <w:p w:rsidR="00566C92" w:rsidRPr="003A52C3" w:rsidRDefault="00566C92" w:rsidP="00566C92">
      <w:r w:rsidRPr="003A52C3">
        <w:t>Castle PE, Schiffman M, Wheeler CM, Solomon D. Evidence for Frequent Regression of Cervical Intraepithelial Neoplasia-Grade 2. Obstet Gynecol 2009</w:t>
      </w:r>
      <w:proofErr w:type="gramStart"/>
      <w:r w:rsidRPr="003A52C3">
        <w:t>;113:18</w:t>
      </w:r>
      <w:proofErr w:type="gramEnd"/>
      <w:r w:rsidRPr="003A52C3">
        <w:t>–25.</w:t>
      </w:r>
    </w:p>
    <w:p w:rsidR="00566C92" w:rsidRPr="003A52C3" w:rsidRDefault="00566C92" w:rsidP="00566C92">
      <w:r w:rsidRPr="003A52C3">
        <w:t>Colgan TJ, McLachlin CM, Cotterchio M</w:t>
      </w:r>
      <w:proofErr w:type="gramStart"/>
      <w:r w:rsidRPr="003A52C3">
        <w:t xml:space="preserve">, </w:t>
      </w:r>
      <w:r>
        <w:t xml:space="preserve"> </w:t>
      </w:r>
      <w:r w:rsidRPr="003A52C3">
        <w:t>.</w:t>
      </w:r>
      <w:proofErr w:type="gramEnd"/>
      <w:r w:rsidRPr="003A52C3">
        <w:t xml:space="preserve"> </w:t>
      </w:r>
      <w:proofErr w:type="gramStart"/>
      <w:r w:rsidRPr="003A52C3">
        <w:t>Results of the implementation of liquid-based cytology — surepath in the Ontario screening program.</w:t>
      </w:r>
      <w:proofErr w:type="gramEnd"/>
      <w:r w:rsidRPr="003A52C3">
        <w:t xml:space="preserve"> Cancer Cytopathol 2004</w:t>
      </w:r>
      <w:proofErr w:type="gramStart"/>
      <w:r w:rsidRPr="003A52C3">
        <w:t>;102:362</w:t>
      </w:r>
      <w:proofErr w:type="gramEnd"/>
      <w:r w:rsidRPr="003A52C3">
        <w:t>–7.</w:t>
      </w:r>
    </w:p>
    <w:p w:rsidR="00566C92" w:rsidRPr="003A52C3" w:rsidRDefault="00566C92" w:rsidP="00566C92">
      <w:r w:rsidRPr="003A52C3">
        <w:t>Confortini M, Bergeron C, Desai M, Negri G, Dalla Palma P, Montanari G, Pellegrini A, Ronco G; New Technologies for Cervical Cancer Screening Study Cytology Group. Accuracy of liquid-based cytology: comparison of the results obtained within a randomized controlled trial (the New Technologies for Cervical Cancer Screening Study) and an external group of experts. Cancer Cytopathology, 2010; 118(4):203-208.</w:t>
      </w:r>
    </w:p>
    <w:p w:rsidR="00566C92" w:rsidRPr="003A52C3" w:rsidRDefault="00566C92" w:rsidP="00566C92">
      <w:r w:rsidRPr="003A52C3">
        <w:t>Dalla Palma P, Giorgi Rossi P, Collina G, Buccoliero AM, Ghiringhello B, Lestani M, Onnis G, Aldovini D, Galanti G, Casadei G, Aldi M, Gomes V, Giubilato P, Ronco G; NTCC Pathology Group. 2008 The risk of false-positive histology according to the reason for colposcopy referral in cervical cancer screening: a blind revision of all histologic lesions found in the NTCC trial. Am J Clin Pathol, 2008; 129(1):75-80.</w:t>
      </w:r>
    </w:p>
    <w:p w:rsidR="00566C92" w:rsidRPr="003A52C3" w:rsidRDefault="00566C92" w:rsidP="00566C92">
      <w:r>
        <w:t xml:space="preserve">DAP 1157: </w:t>
      </w:r>
      <w:r w:rsidRPr="00960E9F">
        <w:t>F</w:t>
      </w:r>
      <w:r>
        <w:t xml:space="preserve">inal Decision Analytical Protocol </w:t>
      </w:r>
      <w:r w:rsidRPr="00960E9F">
        <w:t xml:space="preserve">(DAP) to guide the assessment of cell enrichment </w:t>
      </w:r>
      <w:r>
        <w:t>liquid-based</w:t>
      </w:r>
      <w:r w:rsidRPr="00960E9F">
        <w:t xml:space="preserve"> cytology in routine screening for the prevention of cervical cancer</w:t>
      </w:r>
      <w:r>
        <w:t xml:space="preserve">. </w:t>
      </w:r>
      <w:r w:rsidRPr="003A52C3">
        <w:t>May 2012</w:t>
      </w:r>
    </w:p>
    <w:p w:rsidR="00566C92" w:rsidRDefault="00566C92" w:rsidP="00566C92">
      <w:r w:rsidRPr="003A52C3">
        <w:lastRenderedPageBreak/>
        <w:t>Davey</w:t>
      </w:r>
      <w:r>
        <w:t xml:space="preserve"> E, Barratt A, Irwig L, Chan SF, Macaskill P, Mannes P, Saville AM. </w:t>
      </w:r>
      <w:proofErr w:type="gramStart"/>
      <w:r w:rsidRPr="00BB6FE9">
        <w:t>Effect of study design and q</w:t>
      </w:r>
      <w:r>
        <w:t xml:space="preserve">uality on unsatisfactory rates, </w:t>
      </w:r>
      <w:r w:rsidRPr="00BB6FE9">
        <w:t xml:space="preserve">cytology classifications, and </w:t>
      </w:r>
      <w:r>
        <w:t xml:space="preserve">accuracy in liquid-based versus </w:t>
      </w:r>
      <w:r w:rsidRPr="00BB6FE9">
        <w:t>conventional cervical cytology: a systematic review</w:t>
      </w:r>
      <w:r>
        <w:t>.</w:t>
      </w:r>
      <w:proofErr w:type="gramEnd"/>
      <w:r>
        <w:t xml:space="preserve"> </w:t>
      </w:r>
      <w:r w:rsidRPr="000310FE">
        <w:t>Lancet 2006; 367: 122–32</w:t>
      </w:r>
    </w:p>
    <w:p w:rsidR="00566C92" w:rsidRDefault="00566C92" w:rsidP="00566C92">
      <w:r>
        <w:t xml:space="preserve">Davey E. </w:t>
      </w:r>
      <w:r w:rsidRPr="000310FE">
        <w:t>Effect of study design and quality on unsatisfactory rates, cytology c</w:t>
      </w:r>
      <w:r>
        <w:t xml:space="preserve">lassifications, and accuracy in </w:t>
      </w:r>
      <w:r w:rsidRPr="000310FE">
        <w:t>liquid-based versus conventional cervical cytology: a systematic review</w:t>
      </w:r>
      <w:r>
        <w:t>. T</w:t>
      </w:r>
      <w:r w:rsidRPr="000310FE">
        <w:t>he</w:t>
      </w:r>
      <w:r>
        <w:t xml:space="preserve"> L</w:t>
      </w:r>
      <w:r w:rsidRPr="000310FE">
        <w:t>ancet</w:t>
      </w:r>
      <w:r>
        <w:t>,</w:t>
      </w:r>
      <w:r w:rsidRPr="000310FE">
        <w:t xml:space="preserve"> Published online January 14, 2006</w:t>
      </w:r>
      <w:r>
        <w:t>:</w:t>
      </w:r>
      <w:r w:rsidRPr="000310FE">
        <w:t xml:space="preserve"> Webappendix</w:t>
      </w:r>
    </w:p>
    <w:p w:rsidR="00566C92" w:rsidRPr="003A52C3" w:rsidRDefault="00566C92" w:rsidP="00566C92">
      <w:r w:rsidRPr="005F2D3D">
        <w:t xml:space="preserve">Davey E, Irwig L, Macaskill P, Chan SF, D’Assuncao J, Richards A, </w:t>
      </w:r>
      <w:r>
        <w:t xml:space="preserve"> </w:t>
      </w:r>
      <w:r w:rsidRPr="005F2D3D">
        <w:t>. Cervical cytology reading times: a comparison between ThinPrep imager and conventional methods, Diagn Cytopathol. 2007 Sep</w:t>
      </w:r>
      <w:proofErr w:type="gramStart"/>
      <w:r w:rsidRPr="005F2D3D">
        <w:t>;35</w:t>
      </w:r>
      <w:proofErr w:type="gramEnd"/>
      <w:r w:rsidRPr="005F2D3D">
        <w:t>(9):550-4.</w:t>
      </w:r>
    </w:p>
    <w:p w:rsidR="00566C92" w:rsidRDefault="00566C92" w:rsidP="00566C92">
      <w:r w:rsidRPr="00E438FE">
        <w:t>DoHA 2006.</w:t>
      </w:r>
      <w:r>
        <w:t xml:space="preserve"> Performance measures for Australian Laboratories reporting cervical cytology. </w:t>
      </w:r>
      <w:proofErr w:type="gramStart"/>
      <w:r>
        <w:t>Publications production unit, Australian Government Department of Health and Ageing.</w:t>
      </w:r>
      <w:proofErr w:type="gramEnd"/>
    </w:p>
    <w:p w:rsidR="00566C92" w:rsidRPr="003A52C3" w:rsidRDefault="00566C92" w:rsidP="00566C92">
      <w:proofErr w:type="gramStart"/>
      <w:r>
        <w:t>DoHA .</w:t>
      </w:r>
      <w:proofErr w:type="gramEnd"/>
      <w:r>
        <w:t xml:space="preserve"> </w:t>
      </w:r>
      <w:proofErr w:type="gramStart"/>
      <w:r w:rsidRPr="001D5AFA">
        <w:t>Australian Government Department of Health and Ageing.</w:t>
      </w:r>
      <w:proofErr w:type="gramEnd"/>
      <w:r w:rsidRPr="001D5AFA">
        <w:t xml:space="preserve"> </w:t>
      </w:r>
      <w:proofErr w:type="gramStart"/>
      <w:r w:rsidRPr="001D5AFA">
        <w:t>National Cervical Screening Program</w:t>
      </w:r>
      <w:r>
        <w:t>.</w:t>
      </w:r>
      <w:proofErr w:type="gramEnd"/>
      <w:r>
        <w:t xml:space="preserve"> </w:t>
      </w:r>
      <w:r w:rsidRPr="001D5AFA">
        <w:t>http://www.cancerscreening.gov.au/internet/screening/publishing.nsf/Content/cervical-about#overview</w:t>
      </w:r>
    </w:p>
    <w:p w:rsidR="00566C92" w:rsidRPr="003A52C3" w:rsidRDefault="00566C92" w:rsidP="00566C92">
      <w:proofErr w:type="gramStart"/>
      <w:r w:rsidRPr="005033D5">
        <w:t>Egger M, Smith GD, Altman DG.</w:t>
      </w:r>
      <w:proofErr w:type="gramEnd"/>
      <w:r w:rsidRPr="005033D5">
        <w:t xml:space="preserve"> Systematic Reviews in Health Care: Meta-analysis in context. </w:t>
      </w:r>
      <w:proofErr w:type="gramStart"/>
      <w:r w:rsidRPr="005033D5">
        <w:t>Second Edition.</w:t>
      </w:r>
      <w:proofErr w:type="gramEnd"/>
      <w:r w:rsidRPr="005033D5">
        <w:t xml:space="preserve"> </w:t>
      </w:r>
      <w:proofErr w:type="gramStart"/>
      <w:r w:rsidRPr="005033D5">
        <w:t>BMJ publishing, London; 2003.</w:t>
      </w:r>
      <w:proofErr w:type="gramEnd"/>
    </w:p>
    <w:p w:rsidR="00566C92" w:rsidRDefault="00566C92" w:rsidP="00566C92">
      <w:r w:rsidRPr="003A52C3">
        <w:t>Ellis, Renshaw and Dudding Individual estimated sensitivity and workload for manual screening of SP gynaecologic cytology. Diagnostic Cytopathology 2010</w:t>
      </w:r>
    </w:p>
    <w:p w:rsidR="00566C92" w:rsidRPr="003A52C3" w:rsidRDefault="00566C92" w:rsidP="00566C92">
      <w:r w:rsidRPr="00607DCB">
        <w:t>Farnsworth, A</w:t>
      </w:r>
      <w:r>
        <w:t>.</w:t>
      </w:r>
      <w:r w:rsidRPr="00607DCB">
        <w:t xml:space="preserve"> Liquid-based cytology: an Australian experience. Cytopathology 2003, 14, 48–52 </w:t>
      </w:r>
    </w:p>
    <w:p w:rsidR="00566C92" w:rsidRPr="003A52C3" w:rsidRDefault="00566C92" w:rsidP="00566C92">
      <w:r w:rsidRPr="003A52C3">
        <w:t>Fontaine</w:t>
      </w:r>
      <w:r>
        <w:t xml:space="preserve"> D, Narine N, Naugler C.</w:t>
      </w:r>
      <w:r w:rsidRPr="003A52C3">
        <w:t xml:space="preserve"> </w:t>
      </w:r>
      <w:r w:rsidRPr="00E80A66">
        <w:t>Un</w:t>
      </w:r>
      <w:r>
        <w:t xml:space="preserve">satisfactory rates vary between </w:t>
      </w:r>
      <w:r w:rsidRPr="00E80A66">
        <w:t xml:space="preserve">cervical </w:t>
      </w:r>
      <w:r>
        <w:t xml:space="preserve">cytology samples prepared using </w:t>
      </w:r>
      <w:r w:rsidRPr="00E80A66">
        <w:t>T</w:t>
      </w:r>
      <w:r>
        <w:t xml:space="preserve">hinPrep and SurePath platforms: </w:t>
      </w:r>
      <w:r w:rsidRPr="00E80A66">
        <w:t>a review and meta-analysis</w:t>
      </w:r>
      <w:r>
        <w:t xml:space="preserve">. BMJ Open 2012; 2:e000847. </w:t>
      </w:r>
      <w:proofErr w:type="gramStart"/>
      <w:r>
        <w:t>doi:</w:t>
      </w:r>
      <w:proofErr w:type="gramEnd"/>
      <w:r>
        <w:t>10.1136/bmjopen-2012-</w:t>
      </w:r>
      <w:r w:rsidRPr="000310FE">
        <w:t>000847</w:t>
      </w:r>
    </w:p>
    <w:p w:rsidR="00566C92" w:rsidRPr="003A52C3" w:rsidRDefault="00566C92" w:rsidP="00566C92">
      <w:r w:rsidRPr="003A52C3">
        <w:t>Fregnani JH, Scapulatempo C, Haikel RL, Mauad EC, Campacci N, Longatto-Filho A. Liquid-based cytology improves detection of cervical intraepithelial lesion in Low and High-risk women for HPV related diseases. Abstract presented at the Global Academic Program (GAP), 14-16 May 2012, Oslo, Norway.</w:t>
      </w:r>
    </w:p>
    <w:p w:rsidR="00566C92" w:rsidRPr="003A52C3" w:rsidRDefault="00566C92" w:rsidP="00566C92">
      <w:r w:rsidRPr="003A52C3">
        <w:t xml:space="preserve">Giorgi-Rossi P, Segnan N, Zappa M, Naldoni C, Zorzi M, Confortini M, Merito M, Cuzick J, Ronco G; NTCC Working Group. The impact of new technologies in cervical cancer screening: </w:t>
      </w:r>
      <w:r w:rsidRPr="003A52C3">
        <w:lastRenderedPageBreak/>
        <w:t>results of the recruitment phase of a large randomised controlled trial from a public health perspective. Int J Cancer, 2007; 121(12):2729-2734.</w:t>
      </w:r>
    </w:p>
    <w:p w:rsidR="00566C92" w:rsidRDefault="00566C92" w:rsidP="00566C92">
      <w:proofErr w:type="gramStart"/>
      <w:r w:rsidRPr="00607DCB">
        <w:t>Higgins JPT, Green S (editors).</w:t>
      </w:r>
      <w:proofErr w:type="gramEnd"/>
      <w:r w:rsidRPr="00607DCB">
        <w:t xml:space="preserve"> Cochrane Handbook for Systematic Reviews of Interventions </w:t>
      </w:r>
      <w:r>
        <w:t xml:space="preserve">Version </w:t>
      </w:r>
      <w:r w:rsidRPr="001542C4">
        <w:t>5.1.2</w:t>
      </w:r>
      <w:r>
        <w:t xml:space="preserve"> [updated March 2011</w:t>
      </w:r>
      <w:r w:rsidRPr="00607DCB">
        <w:t xml:space="preserve">]. </w:t>
      </w:r>
      <w:proofErr w:type="gramStart"/>
      <w:r>
        <w:t>The Cochrane Collaboration, 2011</w:t>
      </w:r>
      <w:r w:rsidRPr="00607DCB">
        <w:t>.</w:t>
      </w:r>
      <w:proofErr w:type="gramEnd"/>
      <w:r w:rsidRPr="00607DCB">
        <w:t xml:space="preserve"> </w:t>
      </w:r>
      <w:proofErr w:type="gramStart"/>
      <w:r w:rsidRPr="00607DCB">
        <w:t xml:space="preserve">Available from </w:t>
      </w:r>
      <w:hyperlink r:id="rId50" w:history="1">
        <w:r w:rsidRPr="007D4888">
          <w:rPr>
            <w:rStyle w:val="Hyperlink"/>
            <w:shd w:val="clear" w:color="auto" w:fill="auto"/>
          </w:rPr>
          <w:t>www.cochrane-handbook.org</w:t>
        </w:r>
      </w:hyperlink>
      <w:r w:rsidRPr="00607DCB">
        <w:t>.</w:t>
      </w:r>
      <w:proofErr w:type="gramEnd"/>
    </w:p>
    <w:p w:rsidR="00566C92" w:rsidRPr="003A52C3" w:rsidRDefault="00566C92" w:rsidP="00566C92">
      <w:proofErr w:type="gramStart"/>
      <w:r w:rsidRPr="003A52C3">
        <w:t>Hoda</w:t>
      </w:r>
      <w:r>
        <w:t xml:space="preserve"> RS, Loukeris K, Abdul-Karim FW.</w:t>
      </w:r>
      <w:proofErr w:type="gramEnd"/>
      <w:r w:rsidRPr="003A52C3">
        <w:t xml:space="preserve"> </w:t>
      </w:r>
      <w:r>
        <w:t xml:space="preserve">Gynecologic Cytology on Conventional and Liquid-Based Preparations: </w:t>
      </w:r>
      <w:r w:rsidRPr="00E80A66">
        <w:t>A Compr</w:t>
      </w:r>
      <w:r>
        <w:t xml:space="preserve">ehensive Review of Similarities </w:t>
      </w:r>
      <w:r w:rsidRPr="00E80A66">
        <w:t>and Differences</w:t>
      </w:r>
      <w:r>
        <w:t xml:space="preserve">. </w:t>
      </w:r>
      <w:r w:rsidRPr="00E80A66">
        <w:t>Diagnostic Cytopathology</w:t>
      </w:r>
      <w:r>
        <w:t xml:space="preserve"> 2012, 00:000-000 </w:t>
      </w:r>
      <w:r w:rsidRPr="00E80A66">
        <w:t>DOI 10.1002/dc</w:t>
      </w:r>
      <w:r>
        <w:t>.</w:t>
      </w:r>
    </w:p>
    <w:p w:rsidR="00566C92" w:rsidRPr="003A52C3" w:rsidRDefault="00566C92" w:rsidP="00566C92">
      <w:r>
        <w:t xml:space="preserve">Chapter One: </w:t>
      </w:r>
      <w:r w:rsidRPr="003A52C3">
        <w:t>Equivocal cytology</w:t>
      </w:r>
      <w:r w:rsidRPr="00437F75">
        <w:t xml:space="preserve"> </w:t>
      </w:r>
      <w:r w:rsidRPr="003A52C3">
        <w:t>Table 1 p.12</w:t>
      </w:r>
      <w:r>
        <w:t xml:space="preserve"> (Date accessed: 26.08.12) </w:t>
      </w:r>
      <w:r w:rsidRPr="003A52C3">
        <w:t>https://openaccess.leidenuniv.nl/bitstream/handle/1887/4435/01.pdf?sequence=13</w:t>
      </w:r>
      <w:r>
        <w:t xml:space="preserve"> Chapter 1, Equivocal cytology;</w:t>
      </w:r>
    </w:p>
    <w:p w:rsidR="00566C92" w:rsidRPr="003A52C3" w:rsidRDefault="00566C92" w:rsidP="00566C92">
      <w:r w:rsidRPr="003A52C3">
        <w:t>Ikenberg H, Harlfinger W, Neis K, Jordan B, Konig J, Klug S. A Randomized Trial Comparing Conventional Cytology to Liquid-Based Cytology with Computer-Assistance: Results of the RHINE-SAAR Study EUROGIN 2011Congress, held in Lisbon, May 8 - 11, 2011.</w:t>
      </w:r>
    </w:p>
    <w:p w:rsidR="00566C92" w:rsidRPr="003A52C3" w:rsidRDefault="00566C92" w:rsidP="00566C92">
      <w:r w:rsidRPr="003A52C3">
        <w:t>Ikenberg H, Harlfinger W, Neis K, Konig J, Klug S. A Randomized Trial Comparing Conventional Cytology to Liquid-Based Cytology with Computer-Assistance: Results of the RHINE-SAAR Study. Journal of Cytopathology, 2011; 22(Suppl. 1):55-183.</w:t>
      </w:r>
    </w:p>
    <w:p w:rsidR="00566C92" w:rsidRPr="003A52C3" w:rsidRDefault="00566C92" w:rsidP="00566C92">
      <w:r w:rsidRPr="003A52C3">
        <w:t>Ikenberg H, Klug S, Jordan B, Harlfinger W, Malter A, Brinkmann-Smetanay, Konig J, Neis K. Results of the RHIN-SAAR Study: A Randomized Trial Comparing Conventional Cytology to Thinlayer Cytology with the ThinPrep Imaging System. Acta cytologica V54 N3 (supplement) May-June 2010</w:t>
      </w:r>
    </w:p>
    <w:p w:rsidR="00566C92" w:rsidRPr="003A52C3" w:rsidRDefault="00566C92" w:rsidP="00566C92">
      <w:r w:rsidRPr="003A52C3">
        <w:t xml:space="preserve">Ikenberg H, Klug S, Jordan B, Spieth S, Harlfinger W, </w:t>
      </w:r>
      <w:proofErr w:type="gramStart"/>
      <w:r w:rsidRPr="003A52C3">
        <w:t>Neis</w:t>
      </w:r>
      <w:proofErr w:type="gramEnd"/>
      <w:r w:rsidRPr="003A52C3">
        <w:t xml:space="preserve"> K. Results of the Randomized German RHINE-SAAR Study: The ThinPrep Imaging System is Superior to Conventional Cytology. EUROGIN 2010 Congress, held in Monte Carlo, from February 17 to February 20, 2010.</w:t>
      </w:r>
    </w:p>
    <w:p w:rsidR="00566C92" w:rsidRPr="003A52C3" w:rsidRDefault="00566C92" w:rsidP="00566C92">
      <w:proofErr w:type="gramStart"/>
      <w:r w:rsidRPr="003A52C3">
        <w:t>Ikenberg H. Results of the RHINE-SAAR Study, a Randomized Trial Comparing Conventional Cytology with Thinlayer cytology and Computer-Assistance.</w:t>
      </w:r>
      <w:proofErr w:type="gramEnd"/>
      <w:r w:rsidRPr="003A52C3">
        <w:t xml:space="preserve"> 5th European Congress of the European Federation for Colposcopy and Cervical Pathology, 27-29 May 2010</w:t>
      </w:r>
    </w:p>
    <w:p w:rsidR="00566C92" w:rsidRPr="003A52C3" w:rsidRDefault="00566C92" w:rsidP="00566C92">
      <w:r w:rsidRPr="003A52C3">
        <w:t>Islam S, West AM, Saboorian MH, Ashfaq R. Reprocessing unsatisfactory ThinPrep Papanicolaou test specimens increases sample adequacy and detection of significant cervicovaginal lesions. Cancer Cyopathol 2004</w:t>
      </w:r>
      <w:proofErr w:type="gramStart"/>
      <w:r w:rsidRPr="003A52C3">
        <w:t>;102</w:t>
      </w:r>
      <w:proofErr w:type="gramEnd"/>
      <w:r w:rsidRPr="003A52C3">
        <w:t>(2):67-73.</w:t>
      </w:r>
    </w:p>
    <w:p w:rsidR="00566C92" w:rsidRPr="003A52C3" w:rsidRDefault="00566C92" w:rsidP="00566C92">
      <w:r w:rsidRPr="003A52C3">
        <w:lastRenderedPageBreak/>
        <w:t>Kitchener HC, Blanks R, Cubie H, Desai M, Dunn G, Legood R, Gray A, Sadique Z, Moss S. Automation-assisted versus manual reading of cervical cytology (MAVARIC): A randomised controlled trial. Health Technology Assessment 2011; Vol. 15: No. 3</w:t>
      </w:r>
    </w:p>
    <w:p w:rsidR="00566C92" w:rsidRDefault="00566C92" w:rsidP="00566C92">
      <w:r w:rsidRPr="003A52C3">
        <w:t>Kitchener HC, Blanks R, Dunn G, Gunn L, Desai M, Albrow R, Mather J, Rana DN, Cubie H, Moore C, Legood R, Gray A and Moss S. Automation-assisted versus manual cytology (MAVARIC): a randomised controlled trial. Lancet Oncol 2011; 12:56-64</w:t>
      </w:r>
    </w:p>
    <w:p w:rsidR="00566C92" w:rsidRDefault="00566C92" w:rsidP="00566C92">
      <w:r w:rsidRPr="00D94D1B">
        <w:t xml:space="preserve">Klinkhammer PJ, Meerding WJ, Rosier PF, Hanselaar AG. Liquid based Cervical Cytology. </w:t>
      </w:r>
      <w:proofErr w:type="gramStart"/>
      <w:r w:rsidRPr="00D94D1B">
        <w:t>A Review of the Literature with Methods of Evidence-based Medicine.</w:t>
      </w:r>
      <w:proofErr w:type="gramEnd"/>
      <w:r w:rsidRPr="00D94D1B">
        <w:t xml:space="preserve"> Cancer (Cancer Cytopathology) 2003; 99(5):263-271.</w:t>
      </w:r>
    </w:p>
    <w:p w:rsidR="00566C92" w:rsidRDefault="00566C92" w:rsidP="00566C92">
      <w:r>
        <w:t>Krahn M, McLachlin M, Pham B, Rosen B, Sander B, Grootendorst P, Tomlinson G, John- Baptiste A, Frikemerid M, Hong Chen M, Woo G, Anonychuk A, Carcone S, Witteman H, Chen W, Liu K, Sampson M, Tricco A. Liquid-based techniques for cervical cancer screening: systematic review and cost-effectiveness analysis [Technology report number 103]. Ottawa: Canadian Agency for Drugs and Technologies in Health; 2008.</w:t>
      </w:r>
    </w:p>
    <w:p w:rsidR="00566C92" w:rsidRDefault="00566C92" w:rsidP="00566C92">
      <w:proofErr w:type="gramStart"/>
      <w:r>
        <w:t>Li Ke-min1, Yin Ru-tie1, Kang De-yin, Wu Wei-wei, Wen Jin.</w:t>
      </w:r>
      <w:proofErr w:type="gramEnd"/>
      <w:r>
        <w:t xml:space="preserve"> Diagnostic Accuracy of Liquid-Based Cytology versus Conventional Cytology for Cervical Neoplasia: A Systematic Review of Randomized Controlled Trials. Chinese Journal of Evidence-Based Medicine 2011; 11(10): 1133-1139</w:t>
      </w:r>
    </w:p>
    <w:p w:rsidR="00566C92" w:rsidRPr="00472419" w:rsidRDefault="00566C92" w:rsidP="00566C92">
      <w:r>
        <w:t xml:space="preserve">Li K. Diagnostic accuracy of liquid-based cytology versus conventional cytology for cervical cancer neoplasia: a systematic review of randomised studies. </w:t>
      </w:r>
      <w:r w:rsidRPr="001A5CDD">
        <w:t>Abstracts presented at the International Gynecologic Cancer Society Regional Meeting on Gynecologic Cancers</w:t>
      </w:r>
      <w:r>
        <w:t xml:space="preserve">. </w:t>
      </w:r>
      <w:r w:rsidRPr="00472419">
        <w:t>International Journal of Gynecological Cancer ∙ Volume 21, Number S2, May 2011</w:t>
      </w:r>
      <w:r>
        <w:t xml:space="preserve"> page 51.</w:t>
      </w:r>
    </w:p>
    <w:p w:rsidR="00566C92" w:rsidRPr="003A52C3" w:rsidRDefault="00566C92" w:rsidP="00566C92">
      <w:r w:rsidRPr="003A52C3">
        <w:t xml:space="preserve">Longatti-Filho A, Fregnani JH, Scapulatempo C, Haikel R, Carloni AC, Souza NC, Campacci N, Mauad. Surepath liquid-based cytology improved the detection of high grade lesions in remote rural areas. Preliminary results of RODEO study. Abstract presented at the 17th International </w:t>
      </w:r>
      <w:r>
        <w:t>Meeting of the European</w:t>
      </w:r>
      <w:r w:rsidRPr="003A52C3">
        <w:t xml:space="preserve"> Society of Gynaecological Oncology. International Journal of Gynecological Cancer, 2011; 21Suppl 3</w:t>
      </w:r>
    </w:p>
    <w:p w:rsidR="00566C92" w:rsidRPr="003A52C3" w:rsidRDefault="00566C92" w:rsidP="00566C92">
      <w:r w:rsidRPr="003A52C3">
        <w:t>Maccallini V, Angeloni C, Caraceni D, Fortunato C, Venditti MA, Gabriele G, Antonelli C, Lattanzi A, Puliti D, Ciatto S, Confortini M, Sani C, Zappa M. Comparison of the conventional cervical smear and liquid-based cytology: Results of a controlled, prospective study in the Abruzzo Region of Italy. Acta Cytologica, 2008; 52(5):568-574</w:t>
      </w:r>
    </w:p>
    <w:p w:rsidR="00566C92" w:rsidRPr="003A52C3" w:rsidRDefault="00566C92" w:rsidP="00566C92">
      <w:proofErr w:type="gramStart"/>
      <w:r w:rsidRPr="003A52C3">
        <w:lastRenderedPageBreak/>
        <w:t>Medical Services Advisory Committee 2002</w:t>
      </w:r>
      <w:r>
        <w:t>.</w:t>
      </w:r>
      <w:proofErr w:type="gramEnd"/>
      <w:r>
        <w:t xml:space="preserve"> </w:t>
      </w:r>
      <w:proofErr w:type="gramStart"/>
      <w:r>
        <w:t>Liquid Based cytology for cervical screening.</w:t>
      </w:r>
      <w:proofErr w:type="gramEnd"/>
      <w:r>
        <w:t xml:space="preserve"> </w:t>
      </w:r>
      <w:proofErr w:type="gramStart"/>
      <w:r>
        <w:t>MSAC reference 12a.</w:t>
      </w:r>
      <w:proofErr w:type="gramEnd"/>
      <w:r>
        <w:t xml:space="preserve"> </w:t>
      </w:r>
      <w:proofErr w:type="gramStart"/>
      <w:r>
        <w:t>Assessment report.</w:t>
      </w:r>
      <w:proofErr w:type="gramEnd"/>
      <w:r>
        <w:t xml:space="preserve"> August 2002.</w:t>
      </w:r>
    </w:p>
    <w:p w:rsidR="00566C92" w:rsidRDefault="00566C92" w:rsidP="00566C92">
      <w:proofErr w:type="gramStart"/>
      <w:r w:rsidRPr="003A52C3">
        <w:t>Medical S</w:t>
      </w:r>
      <w:r>
        <w:t>ervices Advisory Committee 2009.</w:t>
      </w:r>
      <w:proofErr w:type="gramEnd"/>
      <w:r>
        <w:t xml:space="preserve"> </w:t>
      </w:r>
      <w:proofErr w:type="gramStart"/>
      <w:r w:rsidRPr="00960E9F">
        <w:t>Automation</w:t>
      </w:r>
      <w:r>
        <w:t>-</w:t>
      </w:r>
      <w:r w:rsidRPr="00960E9F">
        <w:t>assisted</w:t>
      </w:r>
      <w:r>
        <w:t xml:space="preserve"> and liquid-based cytology for cervical cancer </w:t>
      </w:r>
      <w:r w:rsidRPr="00960E9F">
        <w:t>screening</w:t>
      </w:r>
      <w:r>
        <w:t>.</w:t>
      </w:r>
      <w:proofErr w:type="gramEnd"/>
      <w:r>
        <w:t xml:space="preserve"> </w:t>
      </w:r>
      <w:proofErr w:type="gramStart"/>
      <w:r>
        <w:t xml:space="preserve">MSAC application 1122 </w:t>
      </w:r>
      <w:r w:rsidRPr="00960E9F">
        <w:t>Assessment report</w:t>
      </w:r>
      <w:r>
        <w:t>.</w:t>
      </w:r>
      <w:proofErr w:type="gramEnd"/>
      <w:r>
        <w:t xml:space="preserve"> September 2009.</w:t>
      </w:r>
    </w:p>
    <w:p w:rsidR="0042689C" w:rsidRPr="003A52C3" w:rsidRDefault="00553FBE" w:rsidP="00566C92">
      <w:r w:rsidRPr="00553FBE">
        <w:t xml:space="preserve">Melnikow J, Kulasingam S, Slee C, Helms J, Kuppermann M, Birch S, McGahan C, Coldman A, Chan B, Sawaya G. Surveillance After Treatment for Cervical Intraepithelial Neoplasia. </w:t>
      </w:r>
      <w:proofErr w:type="gramStart"/>
      <w:r w:rsidRPr="00553FBE">
        <w:t>Outcomes, Costs, and Cost-Effectiveness.</w:t>
      </w:r>
      <w:proofErr w:type="gramEnd"/>
      <w:r w:rsidRPr="00553FBE">
        <w:t xml:space="preserve"> Obstet Gynecol. 2010 Nov; 116(5):1158-70.</w:t>
      </w:r>
    </w:p>
    <w:p w:rsidR="00566C92" w:rsidRPr="003A52C3" w:rsidRDefault="00566C92" w:rsidP="00566C92">
      <w:proofErr w:type="gramStart"/>
      <w:r w:rsidRPr="003A52C3">
        <w:t>Nance KV.</w:t>
      </w:r>
      <w:proofErr w:type="gramEnd"/>
      <w:r w:rsidRPr="003A52C3">
        <w:t xml:space="preserve"> </w:t>
      </w:r>
      <w:proofErr w:type="gramStart"/>
      <w:r w:rsidRPr="003A52C3">
        <w:t>Evolution of Pap testing at a community hospital — a ten year experience.</w:t>
      </w:r>
      <w:proofErr w:type="gramEnd"/>
      <w:r w:rsidRPr="003A52C3">
        <w:t xml:space="preserve"> Diagnostic Cytopathol 2006</w:t>
      </w:r>
      <w:proofErr w:type="gramStart"/>
      <w:r w:rsidRPr="003A52C3">
        <w:t>;35:148</w:t>
      </w:r>
      <w:proofErr w:type="gramEnd"/>
      <w:r w:rsidRPr="003A52C3">
        <w:t xml:space="preserve">–53. </w:t>
      </w:r>
    </w:p>
    <w:p w:rsidR="00566C92" w:rsidRDefault="00566C92" w:rsidP="00566C92">
      <w:proofErr w:type="gramStart"/>
      <w:r w:rsidRPr="003A52C3">
        <w:t>NHMRC</w:t>
      </w:r>
      <w:r>
        <w:t>.</w:t>
      </w:r>
      <w:proofErr w:type="gramEnd"/>
      <w:r w:rsidRPr="003A52C3">
        <w:t xml:space="preserve"> </w:t>
      </w:r>
      <w:proofErr w:type="gramStart"/>
      <w:r w:rsidRPr="003A52C3">
        <w:t>Screening to Prevent Cervical Cancer</w:t>
      </w:r>
      <w:r>
        <w:t>:</w:t>
      </w:r>
      <w:r w:rsidRPr="003A52C3">
        <w:t xml:space="preserve"> Guidelines</w:t>
      </w:r>
      <w:r>
        <w:t xml:space="preserve"> for the Management of Asymptomatic Women with Screen Detected Abnormalities.</w:t>
      </w:r>
      <w:proofErr w:type="gramEnd"/>
      <w:r>
        <w:t xml:space="preserve"> </w:t>
      </w:r>
      <w:proofErr w:type="gramStart"/>
      <w:r>
        <w:t>Approved by the Australian Government National Health and Medical research Council on 9 June 2005.</w:t>
      </w:r>
      <w:proofErr w:type="gramEnd"/>
    </w:p>
    <w:p w:rsidR="00566C92" w:rsidRPr="000A29D8" w:rsidRDefault="00566C92" w:rsidP="00566C92">
      <w:proofErr w:type="gramStart"/>
      <w:r w:rsidRPr="007D3F62">
        <w:t>National Institute</w:t>
      </w:r>
      <w:r w:rsidRPr="000A29D8">
        <w:t xml:space="preserve"> for Clinical Excellence </w:t>
      </w:r>
      <w:r>
        <w:t xml:space="preserve">(NICE) </w:t>
      </w:r>
      <w:r w:rsidRPr="000A29D8">
        <w:t>2003, Guidance on the use of liquid-based cytology for cervical screening.</w:t>
      </w:r>
      <w:proofErr w:type="gramEnd"/>
      <w:r w:rsidRPr="000A29D8">
        <w:t xml:space="preserve"> Technology Appraisal 69.London, UK: National Institute for Clinical Excellence, NHS.</w:t>
      </w:r>
      <w:r>
        <w:t xml:space="preserve"> </w:t>
      </w:r>
    </w:p>
    <w:p w:rsidR="00566C92" w:rsidRDefault="00566C92" w:rsidP="00566C92">
      <w:proofErr w:type="gramStart"/>
      <w:r w:rsidRPr="003A52C3">
        <w:t>National Cancer Screening Service</w:t>
      </w:r>
      <w:r>
        <w:t>.</w:t>
      </w:r>
      <w:proofErr w:type="gramEnd"/>
      <w:r>
        <w:t xml:space="preserve"> </w:t>
      </w:r>
      <w:proofErr w:type="gramStart"/>
      <w:r>
        <w:t xml:space="preserve">Guidelines for </w:t>
      </w:r>
      <w:r w:rsidRPr="003A52C3">
        <w:t>Q</w:t>
      </w:r>
      <w:r>
        <w:t xml:space="preserve">uality </w:t>
      </w:r>
      <w:r w:rsidRPr="003A52C3">
        <w:t>A</w:t>
      </w:r>
      <w:r>
        <w:t>ssurance in Cervical Screening.</w:t>
      </w:r>
      <w:proofErr w:type="gramEnd"/>
      <w:r>
        <w:t xml:space="preserve"> Cervical Check, the National Cervical Screening Program</w:t>
      </w:r>
      <w:r w:rsidRPr="003A52C3">
        <w:t>, Ireland, 2008</w:t>
      </w:r>
      <w:r>
        <w:t xml:space="preserve"> (Date accessed: 26.08.12) </w:t>
      </w:r>
      <w:hyperlink r:id="rId51" w:history="1">
        <w:r w:rsidR="001B5B6E" w:rsidRPr="00497A76">
          <w:rPr>
            <w:rStyle w:val="Hyperlink"/>
            <w:shd w:val="clear" w:color="auto" w:fill="auto"/>
          </w:rPr>
          <w:t>http://www.cancerscreening.ie/publications/QA_final_web_version.pdf</w:t>
        </w:r>
      </w:hyperlink>
      <w:r>
        <w:t>.</w:t>
      </w:r>
    </w:p>
    <w:p w:rsidR="001B5B6E" w:rsidRPr="003A52C3" w:rsidRDefault="001B5B6E" w:rsidP="00566C92">
      <w:proofErr w:type="gramStart"/>
      <w:r>
        <w:t>New Zealand National Cervical Screening Programme.</w:t>
      </w:r>
      <w:proofErr w:type="gramEnd"/>
      <w:r>
        <w:t xml:space="preserve"> Monitoring Report Number 34, 1 July -31 Demcember 2010.</w:t>
      </w:r>
      <w:r w:rsidR="00237C5D">
        <w:t xml:space="preserve"> NZ: National Screening Unit (Date accessed 08.10.12) </w:t>
      </w:r>
      <w:r w:rsidR="00237C5D" w:rsidRPr="00237C5D">
        <w:t>http://www.nsu.govt.nz/health-professionals/1063.aspx</w:t>
      </w:r>
    </w:p>
    <w:p w:rsidR="00566C92" w:rsidRPr="003A52C3" w:rsidRDefault="00566C92" w:rsidP="00566C92">
      <w:r w:rsidRPr="003A52C3">
        <w:t xml:space="preserve">Nygard </w:t>
      </w:r>
      <w:r>
        <w:t xml:space="preserve">JF, Sauer T, Nygard M, Skare GB, Thoresen S. </w:t>
      </w:r>
      <w:r w:rsidRPr="003A52C3">
        <w:t>CIN 2/3 and cervical c</w:t>
      </w:r>
      <w:r>
        <w:t xml:space="preserve">ancer in an organised screening </w:t>
      </w:r>
      <w:r w:rsidRPr="003A52C3">
        <w:t>programme after an</w:t>
      </w:r>
      <w:r>
        <w:t xml:space="preserve"> unsatisfactory or a normal Pap </w:t>
      </w:r>
      <w:r w:rsidRPr="003A52C3">
        <w:t>smear: a seven-year pro</w:t>
      </w:r>
      <w:r>
        <w:t xml:space="preserve">spective study of the Norwegian </w:t>
      </w:r>
      <w:r w:rsidRPr="003A52C3">
        <w:t>population-based screening programme</w:t>
      </w:r>
      <w:r>
        <w:t>.</w:t>
      </w:r>
      <w:r w:rsidRPr="003A52C3">
        <w:t xml:space="preserve"> </w:t>
      </w:r>
      <w:r>
        <w:t xml:space="preserve">J Med Screen 2004, </w:t>
      </w:r>
      <w:r w:rsidRPr="003A52C3">
        <w:t>11:70–76</w:t>
      </w:r>
      <w:r>
        <w:t>.</w:t>
      </w:r>
    </w:p>
    <w:p w:rsidR="00566C92" w:rsidRPr="003A52C3" w:rsidRDefault="00566C92" w:rsidP="00566C92">
      <w:r w:rsidRPr="003A52C3">
        <w:t xml:space="preserve">Obwegeser JH, Brack S. Does liquid-based technology really improve detection of </w:t>
      </w:r>
      <w:proofErr w:type="gramStart"/>
      <w:r w:rsidRPr="003A52C3">
        <w:t>Cervical</w:t>
      </w:r>
      <w:proofErr w:type="gramEnd"/>
      <w:r w:rsidRPr="003A52C3">
        <w:t xml:space="preserve"> neoplasia? </w:t>
      </w:r>
      <w:proofErr w:type="gramStart"/>
      <w:r w:rsidRPr="003A52C3">
        <w:t>A Prospective, Randomized Trial Comparing g the ThinPrep Pap Test with the Conventional Pap Test, Including Follow-up of HSIL cases.</w:t>
      </w:r>
      <w:proofErr w:type="gramEnd"/>
      <w:r w:rsidRPr="003A52C3">
        <w:t xml:space="preserve"> Acta Cytologica, 2001; 45(5):709-714.</w:t>
      </w:r>
    </w:p>
    <w:p w:rsidR="00566C92" w:rsidRDefault="00566C92" w:rsidP="00566C92">
      <w:r w:rsidRPr="003A52C3">
        <w:t xml:space="preserve">Palmer TJ, Nicoll SM, McKean ME, Park AJ, Bishop D, Baker L, Imrie JEA. Prospective parallel randomized trial of the </w:t>
      </w:r>
      <w:proofErr w:type="gramStart"/>
      <w:r w:rsidRPr="003A52C3">
        <w:t>MultiCyte(</w:t>
      </w:r>
      <w:proofErr w:type="gramEnd"/>
      <w:r w:rsidRPr="003A52C3">
        <w:t xml:space="preserve">trademark) ThinPrep(registered trademark) imaging system: </w:t>
      </w:r>
      <w:r w:rsidRPr="003A52C3">
        <w:lastRenderedPageBreak/>
        <w:t xml:space="preserve">The Scottish experience. </w:t>
      </w:r>
      <w:proofErr w:type="gramStart"/>
      <w:r w:rsidRPr="003A52C3">
        <w:t>Cytopathology.</w:t>
      </w:r>
      <w:proofErr w:type="gramEnd"/>
      <w:r w:rsidRPr="003A52C3">
        <w:t xml:space="preserve"> 2012 May 22. </w:t>
      </w:r>
      <w:proofErr w:type="gramStart"/>
      <w:r w:rsidRPr="003A52C3">
        <w:t>doi</w:t>
      </w:r>
      <w:proofErr w:type="gramEnd"/>
      <w:r w:rsidRPr="003A52C3">
        <w:t>: 10.1111/j.1365-2303.2012.00982.x. [Epub ahead of print]</w:t>
      </w:r>
    </w:p>
    <w:p w:rsidR="00566C92" w:rsidRPr="003A52C3" w:rsidRDefault="00566C92" w:rsidP="00566C92">
      <w:r w:rsidRPr="00E9410D">
        <w:t xml:space="preserve">Payne </w:t>
      </w:r>
      <w:r>
        <w:t>N, Chilcott J, McGoogan E. Liquid-based cytology in cervical screening: a rapid and systematic review.</w:t>
      </w:r>
      <w:r w:rsidRPr="00E9410D">
        <w:t xml:space="preserve"> Health Technology</w:t>
      </w:r>
      <w:r>
        <w:t xml:space="preserve"> Assessment 2000; 4(18): i-73</w:t>
      </w:r>
    </w:p>
    <w:p w:rsidR="00566C92" w:rsidRDefault="00566C92" w:rsidP="00566C92">
      <w:r w:rsidRPr="003A52C3">
        <w:t>PBAC guidelines</w:t>
      </w:r>
      <w:r>
        <w:t xml:space="preserve"> V4.3 2008:</w:t>
      </w:r>
      <w:r w:rsidRPr="003A52C3">
        <w:t xml:space="preserve"> </w:t>
      </w:r>
      <w:r>
        <w:t xml:space="preserve">Guidelines for preparing </w:t>
      </w:r>
      <w:r w:rsidRPr="000C3DE7">
        <w:t>su</w:t>
      </w:r>
      <w:r>
        <w:t xml:space="preserve">bmissions to the Pharmaceutical Benefits Advisory Committee (Version 4.3) Australian Government Department of Health and Ageing, </w:t>
      </w:r>
      <w:r w:rsidRPr="000C3DE7">
        <w:t>December 2008</w:t>
      </w:r>
      <w:r>
        <w:t>.</w:t>
      </w:r>
    </w:p>
    <w:p w:rsidR="00566C92" w:rsidRDefault="00566C92" w:rsidP="00566C92">
      <w:r w:rsidRPr="0051365F">
        <w:t>Peto J,</w:t>
      </w:r>
      <w:r w:rsidRPr="000A29D8">
        <w:t xml:space="preserve"> Gilham C, Fletcher O, Matthews FE.</w:t>
      </w:r>
      <w:r>
        <w:t xml:space="preserve"> </w:t>
      </w:r>
      <w:proofErr w:type="gramStart"/>
      <w:r w:rsidRPr="000A29D8">
        <w:t>The cervical cancer epidemic that screening has prevented</w:t>
      </w:r>
      <w:r>
        <w:t xml:space="preserve"> in the UK.</w:t>
      </w:r>
      <w:proofErr w:type="gramEnd"/>
      <w:r w:rsidRPr="000A29D8">
        <w:t xml:space="preserve"> </w:t>
      </w:r>
      <w:r>
        <w:t>Lancet 2004; 364(9430):</w:t>
      </w:r>
      <w:r w:rsidRPr="000A29D8">
        <w:t>249–256.</w:t>
      </w:r>
      <w:r w:rsidRPr="005033D5">
        <w:t xml:space="preserve"> </w:t>
      </w:r>
    </w:p>
    <w:p w:rsidR="00566C92" w:rsidRPr="003A52C3" w:rsidRDefault="00566C92" w:rsidP="00566C92">
      <w:r w:rsidRPr="005033D5">
        <w:t>Raab</w:t>
      </w:r>
      <w:r>
        <w:t xml:space="preserve"> SS, </w:t>
      </w:r>
      <w:r w:rsidRPr="00845F52">
        <w:t xml:space="preserve">Grzybicki DM, Hart AR, Kiely </w:t>
      </w:r>
      <w:r>
        <w:t>S, Andrew-JaJa C, Scioscia E Jr. Willingness to pay for new Papanicolaou test technologies. American Journal of Clinical Pathology</w:t>
      </w:r>
      <w:r w:rsidRPr="005033D5">
        <w:t xml:space="preserve"> 2002</w:t>
      </w:r>
      <w:r>
        <w:t>; 117(4):524-533.</w:t>
      </w:r>
    </w:p>
    <w:p w:rsidR="00566C92" w:rsidRDefault="00566C92" w:rsidP="00566C92">
      <w:r w:rsidRPr="003A52C3">
        <w:t>Ransdell JS, Davey DD, Zaleski S. Clinicopathologic correlation of the unsatisfactory Papanicolaou smear. Cancer Cytopathol 1997</w:t>
      </w:r>
      <w:proofErr w:type="gramStart"/>
      <w:r w:rsidRPr="003A52C3">
        <w:t>;81:139</w:t>
      </w:r>
      <w:proofErr w:type="gramEnd"/>
      <w:r w:rsidRPr="003A52C3">
        <w:t>-143.</w:t>
      </w:r>
    </w:p>
    <w:p w:rsidR="00566C92" w:rsidRPr="003A52C3" w:rsidRDefault="00566C92" w:rsidP="00566C92">
      <w:r>
        <w:t xml:space="preserve">Ronco G, Vineis C, Montanari G, Orlassino R, Parisio F, Arnaud S,  . </w:t>
      </w:r>
      <w:proofErr w:type="gramStart"/>
      <w:r>
        <w:t>Impact of the AutoPap (currently FocalPoint) primary screening system location guide use on interpretation time and diagnosis.</w:t>
      </w:r>
      <w:proofErr w:type="gramEnd"/>
      <w:r>
        <w:t xml:space="preserve"> Cancer Cytopathol 2003</w:t>
      </w:r>
      <w:proofErr w:type="gramStart"/>
      <w:r>
        <w:t>;99:83</w:t>
      </w:r>
      <w:proofErr w:type="gramEnd"/>
      <w:r>
        <w:t>–8.</w:t>
      </w:r>
    </w:p>
    <w:p w:rsidR="00566C92" w:rsidRPr="003A52C3" w:rsidRDefault="00566C92" w:rsidP="00566C92">
      <w:r w:rsidRPr="003A52C3">
        <w:t xml:space="preserve">Ronco G, Cuzick J, Pierotti P, Cariaggi MP, Dalla Palma P, Naldoni C, Ghiringhello B, Giorgi-Rossi P, Minucci D, Parisio F, Pojer A, Schiboni ML, Sintoni C, Zorzi M, Segnan N, </w:t>
      </w:r>
      <w:proofErr w:type="gramStart"/>
      <w:r w:rsidRPr="003A52C3">
        <w:t>Confortini</w:t>
      </w:r>
      <w:proofErr w:type="gramEnd"/>
      <w:r w:rsidRPr="003A52C3">
        <w:t xml:space="preserve"> M. Accuracy of </w:t>
      </w:r>
      <w:r>
        <w:t>liquid-based</w:t>
      </w:r>
      <w:r w:rsidRPr="003A52C3">
        <w:t xml:space="preserve"> versus conventional cytology: overall results of new technologies for cervical cancer screening: randomised controlled trial. BMJ, 2007; 335(7609):28. Epub May 21 2007.</w:t>
      </w:r>
    </w:p>
    <w:p w:rsidR="00566C92" w:rsidRPr="003A52C3" w:rsidRDefault="00566C92" w:rsidP="00566C92">
      <w:r w:rsidRPr="003A52C3">
        <w:t>Ronco G, Giorgi-Rossi P, Carozzi F, Dalla Palma P, Del Mistro A, De Marco L, De Lillo M, Naldoni C, Pierotti P, Rizzolo R, Segnan N, Schincaglia P, Zorzi M, Confortini M, Cuzick J; New Technologies for Cervical Cancer screening Working Group. Human papillomavirus testing and liquid-based cytology in primary screening of women younger than 35 years: results at recruitment for a randomised controlled trial. Lancet Oncol, 2006; 7(7):547-555.</w:t>
      </w:r>
    </w:p>
    <w:p w:rsidR="00566C92" w:rsidRPr="003A52C3" w:rsidRDefault="00566C92" w:rsidP="00566C92">
      <w:r w:rsidRPr="003A52C3">
        <w:t>Ronco G, Segnan N, Giorgi-Rossi P, Zappa M, Casadei GP, Carozzi F, Dalla Palma P, Del Mistro A, Folicaldi S, Gillio-Tos A, Nardo G, Naldoni C, Schincaglia P, Zorzi M, Confortini M, Cuzick J; New Technologies for Cervical Cancer Working Group. Human papillomavirus testing and liquid-based cytology: results at recruitment from the new technologies for cervical cancer randomized controlled trial. J Natl Cancer Inst, 2006; 98(11):765-774.</w:t>
      </w:r>
    </w:p>
    <w:p w:rsidR="00566C92" w:rsidRDefault="00566C92" w:rsidP="00566C92">
      <w:r w:rsidRPr="00AC35CE">
        <w:lastRenderedPageBreak/>
        <w:t>Schiffman M, Solomon</w:t>
      </w:r>
      <w:r w:rsidRPr="00BE02CC">
        <w:t xml:space="preserve"> D.</w:t>
      </w:r>
      <w:r>
        <w:t xml:space="preserve"> </w:t>
      </w:r>
      <w:r w:rsidRPr="00BE02CC">
        <w:t>Findings to date from the ASCUS-LSIL Triage Study (ALTS).</w:t>
      </w:r>
      <w:r>
        <w:t xml:space="preserve"> </w:t>
      </w:r>
      <w:r w:rsidRPr="00BE02CC">
        <w:t>Arch Pathol Lab Med. 2003 Aug</w:t>
      </w:r>
      <w:proofErr w:type="gramStart"/>
      <w:r w:rsidRPr="00BE02CC">
        <w:t>;127</w:t>
      </w:r>
      <w:proofErr w:type="gramEnd"/>
      <w:r w:rsidRPr="00BE02CC">
        <w:t>(8):946-9.</w:t>
      </w:r>
    </w:p>
    <w:p w:rsidR="00566C92" w:rsidRPr="003A52C3" w:rsidRDefault="00566C92" w:rsidP="00566C92">
      <w:r w:rsidRPr="00D94D1B">
        <w:t>Schorge JO, Hossein Saboorian M, Hynan L, Ashfaq R. ThinPrep detection of cervical and endometrial adenocarcinoma: a retrospective cohort study. Cancer 2002; 96:338-343.</w:t>
      </w:r>
    </w:p>
    <w:p w:rsidR="00566C92" w:rsidRPr="003A52C3" w:rsidRDefault="00566C92" w:rsidP="00566C92">
      <w:r w:rsidRPr="003A52C3">
        <w:t>Siebers AG, Klinkhamer PJ, Arbyn M, Raifu AO, Massuger LF, Bulten J. Cytologic Detection of Cervical Abnormalities Using Liquid-Based Compared With Conventional Cytology: A Randomized Controlled Trial. Obstetrics &amp; Gynecology, 2008; 112(6):1327-1334</w:t>
      </w:r>
    </w:p>
    <w:p w:rsidR="00566C92" w:rsidRPr="003A52C3" w:rsidRDefault="00566C92" w:rsidP="00566C92">
      <w:r w:rsidRPr="003A52C3">
        <w:t>Siebers AG, Klinkhamer PJ, Grefte JM, Massuger LF, Vedder JE, Beijers-Broos A. Comparison of liquid-based cytology with conventional cytology for detection of cervical cancer precursors: A randomized controlled trial. JAMA 2009, 302(16):1757-1764</w:t>
      </w:r>
    </w:p>
    <w:p w:rsidR="00566C92" w:rsidRDefault="00566C92" w:rsidP="00566C92">
      <w:r w:rsidRPr="003A52C3">
        <w:t>Strander B, Andersson-Ellström A, Milsom I, Rådberg T, Ryd W. Liquid-based cytology versus conventional Papanicolaou smear in an organized screening program : a prospective randomized study. Cancer, 2007; 111(5):285-291.</w:t>
      </w:r>
    </w:p>
    <w:p w:rsidR="00566C92" w:rsidRDefault="00566C92" w:rsidP="00566C92">
      <w:r>
        <w:t>Sweeney BJ, Haq Z, Happel JF, Weinstein B, Schneider D.</w:t>
      </w:r>
      <w:r w:rsidRPr="006A1DDA">
        <w:t xml:space="preserve"> </w:t>
      </w:r>
      <w:r>
        <w:t>Comparison of the effectiveness of two liquid-based Papanicolaou systems in the handling of adverse limiting factors, such as excessive blood.</w:t>
      </w:r>
      <w:r w:rsidRPr="006A1DDA">
        <w:t xml:space="preserve"> </w:t>
      </w:r>
      <w:proofErr w:type="gramStart"/>
      <w:r>
        <w:t>Cancer.</w:t>
      </w:r>
      <w:proofErr w:type="gramEnd"/>
      <w:r>
        <w:t xml:space="preserve"> 2006 Feb 25</w:t>
      </w:r>
      <w:proofErr w:type="gramStart"/>
      <w:r>
        <w:t>;108</w:t>
      </w:r>
      <w:proofErr w:type="gramEnd"/>
      <w:r>
        <w:t>(1):27-31.</w:t>
      </w:r>
    </w:p>
    <w:p w:rsidR="00566C92" w:rsidRDefault="00566C92" w:rsidP="00566C92">
      <w:r w:rsidRPr="003A52C3">
        <w:t>TOMBOLA Group. Cytological surveillance compared with immediate referral for colposcopy in management of women with low grade cervical abnormalities: multicentre randomised controlled trial. BMJ 2009</w:t>
      </w:r>
      <w:proofErr w:type="gramStart"/>
      <w:r w:rsidRPr="003A52C3">
        <w:t>;339</w:t>
      </w:r>
      <w:proofErr w:type="gramEnd"/>
    </w:p>
    <w:p w:rsidR="00DC6EEA" w:rsidRPr="003A52C3" w:rsidRDefault="00DC6EEA" w:rsidP="00566C92">
      <w:r>
        <w:t xml:space="preserve">Van </w:t>
      </w:r>
      <w:proofErr w:type="gramStart"/>
      <w:r>
        <w:t>Ballegooijen.M.,</w:t>
      </w:r>
      <w:proofErr w:type="gramEnd"/>
      <w:r>
        <w:t xml:space="preserve"> and Hermens. </w:t>
      </w:r>
      <w:proofErr w:type="gramStart"/>
      <w:r>
        <w:t>R., Cervical cancer screening in The Netherlands.</w:t>
      </w:r>
      <w:proofErr w:type="gramEnd"/>
      <w:r>
        <w:t xml:space="preserve"> European Journal of Cancer 2000; 36:2244-2246</w:t>
      </w:r>
    </w:p>
    <w:p w:rsidR="00566C92" w:rsidRDefault="00566C92" w:rsidP="00566C92">
      <w:r>
        <w:t xml:space="preserve">Vesco KK, Whitlock EP, Eder M, Lin J, Burda BU, Senger CA, Holmes RS, Fu R, </w:t>
      </w:r>
      <w:proofErr w:type="gramStart"/>
      <w:r>
        <w:t>Zuber</w:t>
      </w:r>
      <w:proofErr w:type="gramEnd"/>
      <w:r>
        <w:t xml:space="preserve"> S. Screening for Cervical Cancer: A Systematic Evidence Review for the U.S. Preventive Services Task Force. Evidence Synthesis No. 86. </w:t>
      </w:r>
      <w:proofErr w:type="gramStart"/>
      <w:r>
        <w:t>AHRQ Publication No. 11-05156-EF-1.</w:t>
      </w:r>
      <w:proofErr w:type="gramEnd"/>
      <w:r>
        <w:t xml:space="preserve"> Rockville, MD: Agency for Healthcare Research and Quality; May 2011.</w:t>
      </w:r>
    </w:p>
    <w:p w:rsidR="00566C92" w:rsidRPr="00704EBA" w:rsidRDefault="00566C92" w:rsidP="00566C92">
      <w:r w:rsidRPr="00365E0B">
        <w:t>Wordsworth</w:t>
      </w:r>
      <w:r>
        <w:t xml:space="preserve"> S, Ryan M, Skåtun D, Waugh N</w:t>
      </w:r>
      <w:r w:rsidRPr="00704EBA">
        <w:t>. Women's preferences for cervic</w:t>
      </w:r>
      <w:r>
        <w:t xml:space="preserve">al cancer screening: a study </w:t>
      </w:r>
      <w:r w:rsidRPr="00704EBA">
        <w:t>usin</w:t>
      </w:r>
      <w:r>
        <w:t xml:space="preserve">g a discrete choice experiment. </w:t>
      </w:r>
      <w:proofErr w:type="gramStart"/>
      <w:r w:rsidRPr="00704EBA">
        <w:t>International Journal of Technology Assessment in Health Care</w:t>
      </w:r>
      <w:r>
        <w:t>.</w:t>
      </w:r>
      <w:proofErr w:type="gramEnd"/>
      <w:r>
        <w:t xml:space="preserve"> 2006; 22(3):</w:t>
      </w:r>
      <w:r w:rsidRPr="00704EBA">
        <w:t>344–350.</w:t>
      </w:r>
    </w:p>
    <w:p w:rsidR="00566C92" w:rsidRPr="003A52C3" w:rsidRDefault="00566C92" w:rsidP="00566C92">
      <w:r w:rsidRPr="003A52C3">
        <w:lastRenderedPageBreak/>
        <w:t>Wright TC. Pathology of HPV infection at the cytologic and histologic levels: Basis for a 2-tiered morphologic classification system. International Journal of Gynecology and Obstetrics 2006, 94(Supplement 1):S22-S31.</w:t>
      </w:r>
    </w:p>
    <w:p w:rsidR="00B32A75" w:rsidRDefault="00566C92" w:rsidP="00B32A75">
      <w:r w:rsidRPr="00845F52">
        <w:t xml:space="preserve">Zhang </w:t>
      </w:r>
      <w:r>
        <w:t xml:space="preserve">J, Yu KF. What’s the Relative Risk? </w:t>
      </w:r>
      <w:proofErr w:type="gramStart"/>
      <w:r>
        <w:t>A method of correcting the Odds Ratio in Cohort Studies of Common Outcomes.</w:t>
      </w:r>
      <w:proofErr w:type="gramEnd"/>
      <w:r>
        <w:t xml:space="preserve"> JAMA 1998; 280:1690-1691</w:t>
      </w:r>
      <w:bookmarkStart w:id="657" w:name="_GoBack"/>
      <w:bookmarkEnd w:id="657"/>
    </w:p>
    <w:p w:rsidR="00BC0FE6" w:rsidRDefault="00BC0FE6" w:rsidP="00BC0FE6"/>
    <w:p w:rsidR="00BC0FE6" w:rsidRPr="00F848C7" w:rsidRDefault="00BC0FE6" w:rsidP="00BC0FE6">
      <w:pPr>
        <w:sectPr w:rsidR="00BC0FE6" w:rsidRPr="00F848C7" w:rsidSect="008846BA">
          <w:headerReference w:type="default" r:id="rId52"/>
          <w:footerReference w:type="default" r:id="rId53"/>
          <w:pgSz w:w="11907" w:h="16840" w:code="9"/>
          <w:pgMar w:top="1418" w:right="1418" w:bottom="1701" w:left="1814" w:header="720" w:footer="720" w:gutter="0"/>
          <w:paperSrc w:first="7" w:other="7"/>
          <w:cols w:space="720"/>
          <w:noEndnote/>
          <w:docGrid w:linePitch="299"/>
        </w:sectPr>
      </w:pPr>
    </w:p>
    <w:p w:rsidR="00941EC6" w:rsidRDefault="00941EC6" w:rsidP="00941EC6">
      <w:pPr>
        <w:pStyle w:val="Heading1"/>
      </w:pPr>
      <w:bookmarkStart w:id="658" w:name="_Ref336434683"/>
      <w:bookmarkStart w:id="659" w:name="_Ref336434763"/>
      <w:bookmarkStart w:id="660" w:name="_Toc337546936"/>
      <w:r>
        <w:lastRenderedPageBreak/>
        <w:t>Appendix A</w:t>
      </w:r>
      <w:bookmarkEnd w:id="658"/>
      <w:bookmarkEnd w:id="659"/>
      <w:bookmarkEnd w:id="660"/>
    </w:p>
    <w:p w:rsidR="00941EC6" w:rsidRPr="003A52C3" w:rsidRDefault="00CB6A66" w:rsidP="00054963">
      <w:r>
        <w:rPr>
          <w:noProof/>
          <w:lang w:eastAsia="en-AU"/>
        </w:rPr>
        <w:drawing>
          <wp:inline distT="0" distB="0" distL="0" distR="0">
            <wp:extent cx="5355590" cy="7190740"/>
            <wp:effectExtent l="0" t="0" r="0"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5590" cy="7190740"/>
                    </a:xfrm>
                    <a:prstGeom prst="rect">
                      <a:avLst/>
                    </a:prstGeom>
                    <a:noFill/>
                    <a:ln>
                      <a:noFill/>
                    </a:ln>
                  </pic:spPr>
                </pic:pic>
              </a:graphicData>
            </a:graphic>
          </wp:inline>
        </w:drawing>
      </w:r>
    </w:p>
    <w:p w:rsidR="001E7FB4" w:rsidRPr="00C27274" w:rsidRDefault="00C27274" w:rsidP="00C27274">
      <w:pPr>
        <w:pStyle w:val="Caption"/>
      </w:pPr>
      <w:bookmarkStart w:id="661" w:name="_Toc337547079"/>
      <w:r>
        <w:t xml:space="preserve">Figure </w:t>
      </w:r>
      <w:fldSimple w:instr=" SEQ Figure \* ARABIC ">
        <w:r w:rsidR="003361A8">
          <w:rPr>
            <w:noProof/>
          </w:rPr>
          <w:t>23</w:t>
        </w:r>
      </w:fldSimple>
      <w:r>
        <w:tab/>
      </w:r>
      <w:r w:rsidR="000704A6">
        <w:t>Management of participants testing positive in screening program (based on NHMRC 2005, Final DAP May 2012 Appendix A)</w:t>
      </w:r>
      <w:bookmarkEnd w:id="661"/>
    </w:p>
    <w:p w:rsidR="00D102BD" w:rsidRPr="009A65C8" w:rsidRDefault="00D102BD" w:rsidP="00054963"/>
    <w:p w:rsidR="003F791C" w:rsidRDefault="003F791C">
      <w:pPr>
        <w:sectPr w:rsidR="003F791C" w:rsidSect="008846BA">
          <w:headerReference w:type="default" r:id="rId55"/>
          <w:pgSz w:w="11907" w:h="16839" w:code="9"/>
          <w:pgMar w:top="1701" w:right="1418" w:bottom="1418" w:left="1701" w:header="720" w:footer="720" w:gutter="0"/>
          <w:paperSrc w:first="4035" w:other="4035"/>
          <w:cols w:space="720"/>
          <w:noEndnote/>
        </w:sectPr>
      </w:pPr>
    </w:p>
    <w:p w:rsidR="003F791C" w:rsidRPr="003F791C" w:rsidRDefault="003F791C" w:rsidP="003F791C">
      <w:pPr>
        <w:pStyle w:val="Heading1"/>
      </w:pPr>
      <w:bookmarkStart w:id="662" w:name="_Toc337546937"/>
      <w:r>
        <w:lastRenderedPageBreak/>
        <w:t>Appendix B</w:t>
      </w:r>
      <w:bookmarkEnd w:id="662"/>
    </w:p>
    <w:p w:rsidR="003F791C" w:rsidRDefault="003F791C" w:rsidP="003F791C">
      <w:pPr>
        <w:pStyle w:val="Heading40"/>
      </w:pPr>
      <w:r>
        <w:t>True positive: false positive and Incremental rate of true positive</w:t>
      </w:r>
    </w:p>
    <w:p w:rsidR="003F791C" w:rsidRDefault="003F791C" w:rsidP="003F791C">
      <w:r>
        <w:t>The ratio of true positive to false positive tests and incremental rate of true positive results have been calculated for the purposes of the submission, as required by the DAP, and are presented below.</w:t>
      </w:r>
    </w:p>
    <w:p w:rsidR="003F791C" w:rsidRPr="002561B1" w:rsidRDefault="003F791C" w:rsidP="003F791C">
      <w:pPr>
        <w:pStyle w:val="Heading50"/>
      </w:pPr>
      <w:r>
        <w:t>Cell enrichment LBC vs. CC</w:t>
      </w:r>
    </w:p>
    <w:p w:rsidR="003F791C" w:rsidRDefault="003F791C" w:rsidP="003F791C">
      <w:pPr>
        <w:pStyle w:val="Tablenotes"/>
        <w:spacing w:before="0" w:after="240" w:line="360" w:lineRule="auto"/>
        <w:rPr>
          <w:rFonts w:ascii="Californian FB" w:hAnsi="Californian FB"/>
          <w:sz w:val="22"/>
          <w:szCs w:val="24"/>
        </w:rPr>
      </w:pPr>
      <w:r>
        <w:rPr>
          <w:rFonts w:ascii="Californian FB" w:hAnsi="Californian FB"/>
          <w:sz w:val="22"/>
          <w:szCs w:val="24"/>
        </w:rPr>
        <w:t>Generally there was similar to lower rate of true positive results for CIN 1+ across all test thresholds with cell enrichment LBC compared with CC in the Beerman trial (</w:t>
      </w:r>
      <w:r w:rsidR="00086C77">
        <w:fldChar w:fldCharType="begin"/>
      </w:r>
      <w:r w:rsidR="00086C77">
        <w:instrText xml:space="preserve"> REF _Ref332836745 \h  \* MERGEFORMAT </w:instrText>
      </w:r>
      <w:r w:rsidR="00086C77">
        <w:fldChar w:fldCharType="separate"/>
      </w:r>
      <w:r w:rsidR="003361A8" w:rsidRPr="003361A8">
        <w:rPr>
          <w:rFonts w:ascii="Californian FB" w:hAnsi="Californian FB"/>
          <w:sz w:val="22"/>
          <w:szCs w:val="24"/>
        </w:rPr>
        <w:t>Table 105</w:t>
      </w:r>
      <w:r w:rsidR="00086C77">
        <w:fldChar w:fldCharType="end"/>
      </w:r>
      <w:r>
        <w:rPr>
          <w:rFonts w:ascii="Californian FB" w:hAnsi="Californian FB"/>
          <w:sz w:val="22"/>
          <w:szCs w:val="24"/>
        </w:rPr>
        <w:t>). The incremental rate of true positives for cell enrichment LBC compared with CC was less than one in all cases except for the SCC test threshold which resulted in three more CIN 1+ cases detected with CC.</w:t>
      </w:r>
    </w:p>
    <w:p w:rsidR="003F791C" w:rsidRDefault="003F791C" w:rsidP="003F791C">
      <w:pPr>
        <w:pStyle w:val="Caption"/>
      </w:pPr>
      <w:bookmarkStart w:id="663" w:name="_Ref332836745"/>
      <w:bookmarkStart w:id="664" w:name="_Toc331766496"/>
      <w:bookmarkStart w:id="665" w:name="_Toc335666032"/>
      <w:bookmarkStart w:id="666" w:name="_Toc337547045"/>
      <w:r>
        <w:t xml:space="preserve">Table </w:t>
      </w:r>
      <w:fldSimple w:instr=" SEQ Table \* ARABIC ">
        <w:r w:rsidR="003361A8">
          <w:rPr>
            <w:noProof/>
          </w:rPr>
          <w:t>105</w:t>
        </w:r>
      </w:fldSimple>
      <w:bookmarkEnd w:id="663"/>
      <w:r>
        <w:tab/>
        <w:t>True positive: false positive; for h</w:t>
      </w:r>
      <w:r w:rsidRPr="00702AD5">
        <w:t>istology CIN 1+</w:t>
      </w:r>
      <w:r>
        <w:t xml:space="preserve"> CC versus cell enrichment LBC: Beerman 2009</w:t>
      </w:r>
      <w:bookmarkEnd w:id="664"/>
      <w:bookmarkEnd w:id="665"/>
      <w:bookmarkEnd w:id="66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5"/>
        <w:gridCol w:w="567"/>
        <w:gridCol w:w="940"/>
        <w:gridCol w:w="868"/>
        <w:gridCol w:w="753"/>
        <w:gridCol w:w="904"/>
        <w:gridCol w:w="1356"/>
        <w:gridCol w:w="2561"/>
      </w:tblGrid>
      <w:tr w:rsidR="003F791C" w:rsidRPr="008D1686" w:rsidTr="00F84223">
        <w:tc>
          <w:tcPr>
            <w:tcW w:w="586" w:type="pct"/>
          </w:tcPr>
          <w:p w:rsidR="003F791C" w:rsidRPr="008D1686" w:rsidRDefault="003F791C" w:rsidP="00F84223">
            <w:pPr>
              <w:pStyle w:val="Tabletext"/>
              <w:rPr>
                <w:b/>
              </w:rPr>
            </w:pPr>
          </w:p>
        </w:tc>
        <w:tc>
          <w:tcPr>
            <w:tcW w:w="1318" w:type="pct"/>
            <w:gridSpan w:val="3"/>
          </w:tcPr>
          <w:p w:rsidR="003F791C" w:rsidRPr="008D1686" w:rsidRDefault="003F791C" w:rsidP="00F84223">
            <w:pPr>
              <w:pStyle w:val="Tabletext"/>
              <w:rPr>
                <w:b/>
              </w:rPr>
            </w:pPr>
            <w:r w:rsidRPr="008D1686">
              <w:rPr>
                <w:b/>
              </w:rPr>
              <w:t>Conventional</w:t>
            </w:r>
          </w:p>
        </w:tc>
        <w:tc>
          <w:tcPr>
            <w:tcW w:w="1673" w:type="pct"/>
            <w:gridSpan w:val="3"/>
          </w:tcPr>
          <w:p w:rsidR="003F791C" w:rsidRPr="008D1686" w:rsidRDefault="003F791C" w:rsidP="00F84223">
            <w:pPr>
              <w:pStyle w:val="Tabletext"/>
              <w:rPr>
                <w:b/>
              </w:rPr>
            </w:pPr>
            <w:r w:rsidRPr="008D1686">
              <w:rPr>
                <w:b/>
              </w:rPr>
              <w:t>LBC</w:t>
            </w:r>
          </w:p>
        </w:tc>
        <w:tc>
          <w:tcPr>
            <w:tcW w:w="1422" w:type="pct"/>
          </w:tcPr>
          <w:p w:rsidR="003F791C" w:rsidRPr="008D1686" w:rsidRDefault="003F791C" w:rsidP="00F84223">
            <w:pPr>
              <w:pStyle w:val="Tabletext"/>
              <w:rPr>
                <w:b/>
              </w:rPr>
            </w:pPr>
            <w:r w:rsidRPr="008D1686">
              <w:rPr>
                <w:b/>
              </w:rPr>
              <w:t>Incremental rate true positive</w:t>
            </w:r>
          </w:p>
        </w:tc>
      </w:tr>
      <w:tr w:rsidR="003F791C" w:rsidRPr="008D1686" w:rsidTr="00F84223">
        <w:tc>
          <w:tcPr>
            <w:tcW w:w="586" w:type="pct"/>
          </w:tcPr>
          <w:p w:rsidR="003F791C" w:rsidRPr="008D1686" w:rsidRDefault="003F791C" w:rsidP="00F84223">
            <w:pPr>
              <w:pStyle w:val="Tabletext"/>
              <w:rPr>
                <w:b/>
              </w:rPr>
            </w:pPr>
            <w:r w:rsidRPr="008D1686">
              <w:rPr>
                <w:b/>
              </w:rPr>
              <w:t>Test threshold</w:t>
            </w:r>
          </w:p>
        </w:tc>
        <w:tc>
          <w:tcPr>
            <w:tcW w:w="315" w:type="pct"/>
          </w:tcPr>
          <w:p w:rsidR="003F791C" w:rsidRPr="008D1686" w:rsidRDefault="003F791C" w:rsidP="00F84223">
            <w:pPr>
              <w:pStyle w:val="Tabletext"/>
              <w:rPr>
                <w:b/>
              </w:rPr>
            </w:pPr>
            <w:r w:rsidRPr="008D1686">
              <w:rPr>
                <w:b/>
              </w:rPr>
              <w:t>TP</w:t>
            </w:r>
          </w:p>
        </w:tc>
        <w:tc>
          <w:tcPr>
            <w:tcW w:w="522" w:type="pct"/>
          </w:tcPr>
          <w:p w:rsidR="003F791C" w:rsidRPr="008D1686" w:rsidRDefault="003F791C" w:rsidP="00F84223">
            <w:pPr>
              <w:pStyle w:val="Tabletext"/>
              <w:rPr>
                <w:b/>
              </w:rPr>
            </w:pPr>
            <w:r w:rsidRPr="008D1686">
              <w:rPr>
                <w:b/>
              </w:rPr>
              <w:t>FP</w:t>
            </w:r>
          </w:p>
        </w:tc>
        <w:tc>
          <w:tcPr>
            <w:tcW w:w="482" w:type="pct"/>
          </w:tcPr>
          <w:p w:rsidR="003F791C" w:rsidRPr="008D1686" w:rsidRDefault="003F791C" w:rsidP="00F84223">
            <w:pPr>
              <w:pStyle w:val="Tabletext"/>
              <w:rPr>
                <w:b/>
              </w:rPr>
            </w:pPr>
            <w:r w:rsidRPr="008D1686">
              <w:rPr>
                <w:b/>
              </w:rPr>
              <w:t>TP:FP</w:t>
            </w:r>
          </w:p>
        </w:tc>
        <w:tc>
          <w:tcPr>
            <w:tcW w:w="418" w:type="pct"/>
          </w:tcPr>
          <w:p w:rsidR="003F791C" w:rsidRPr="008D1686" w:rsidRDefault="003F791C" w:rsidP="00F84223">
            <w:pPr>
              <w:pStyle w:val="Tabletext"/>
              <w:rPr>
                <w:b/>
              </w:rPr>
            </w:pPr>
            <w:r w:rsidRPr="008D1686">
              <w:rPr>
                <w:b/>
              </w:rPr>
              <w:t>TP</w:t>
            </w:r>
          </w:p>
        </w:tc>
        <w:tc>
          <w:tcPr>
            <w:tcW w:w="502" w:type="pct"/>
          </w:tcPr>
          <w:p w:rsidR="003F791C" w:rsidRPr="008D1686" w:rsidRDefault="003F791C" w:rsidP="00F84223">
            <w:pPr>
              <w:pStyle w:val="Tabletext"/>
              <w:rPr>
                <w:b/>
              </w:rPr>
            </w:pPr>
            <w:r w:rsidRPr="008D1686">
              <w:rPr>
                <w:b/>
              </w:rPr>
              <w:t>FP</w:t>
            </w:r>
          </w:p>
        </w:tc>
        <w:tc>
          <w:tcPr>
            <w:tcW w:w="753" w:type="pct"/>
          </w:tcPr>
          <w:p w:rsidR="003F791C" w:rsidRPr="008D1686" w:rsidRDefault="003F791C" w:rsidP="00F84223">
            <w:pPr>
              <w:pStyle w:val="Tabletext"/>
              <w:rPr>
                <w:b/>
              </w:rPr>
            </w:pPr>
            <w:r w:rsidRPr="008D1686">
              <w:rPr>
                <w:b/>
              </w:rPr>
              <w:t>TP:FP</w:t>
            </w:r>
          </w:p>
        </w:tc>
        <w:tc>
          <w:tcPr>
            <w:tcW w:w="1422" w:type="pct"/>
            <w:vAlign w:val="bottom"/>
          </w:tcPr>
          <w:p w:rsidR="003F791C" w:rsidRPr="008D1686" w:rsidRDefault="003F791C" w:rsidP="00F84223">
            <w:pPr>
              <w:pStyle w:val="Tabletext"/>
              <w:rPr>
                <w:b/>
              </w:rPr>
            </w:pPr>
          </w:p>
        </w:tc>
      </w:tr>
      <w:tr w:rsidR="003F791C" w:rsidTr="00F84223">
        <w:tc>
          <w:tcPr>
            <w:tcW w:w="586" w:type="pct"/>
          </w:tcPr>
          <w:p w:rsidR="003F791C" w:rsidRDefault="003F791C" w:rsidP="00F84223">
            <w:pPr>
              <w:pStyle w:val="Tabletext"/>
            </w:pPr>
            <w:r>
              <w:t>ASCUS+</w:t>
            </w:r>
          </w:p>
        </w:tc>
        <w:tc>
          <w:tcPr>
            <w:tcW w:w="315" w:type="pct"/>
          </w:tcPr>
          <w:p w:rsidR="003F791C" w:rsidRDefault="003F791C" w:rsidP="00925117">
            <w:pPr>
              <w:pStyle w:val="Tabletext"/>
            </w:pPr>
            <w:r>
              <w:t>3</w:t>
            </w:r>
            <w:r w:rsidR="00925117">
              <w:t>47</w:t>
            </w:r>
          </w:p>
        </w:tc>
        <w:tc>
          <w:tcPr>
            <w:tcW w:w="522" w:type="pct"/>
          </w:tcPr>
          <w:p w:rsidR="003F791C" w:rsidRDefault="003F791C" w:rsidP="00F84223">
            <w:pPr>
              <w:pStyle w:val="Tabletext"/>
            </w:pPr>
            <w:r>
              <w:t>930</w:t>
            </w:r>
          </w:p>
        </w:tc>
        <w:tc>
          <w:tcPr>
            <w:tcW w:w="482" w:type="pct"/>
            <w:vAlign w:val="bottom"/>
          </w:tcPr>
          <w:p w:rsidR="003F791C" w:rsidRPr="0028143F" w:rsidRDefault="003F791C" w:rsidP="00925117">
            <w:pPr>
              <w:pStyle w:val="Tabletext"/>
            </w:pPr>
            <w:r>
              <w:t>0.</w:t>
            </w:r>
            <w:r w:rsidR="00925117">
              <w:t>37</w:t>
            </w:r>
            <w:r w:rsidRPr="0028143F">
              <w:t>:1</w:t>
            </w:r>
          </w:p>
        </w:tc>
        <w:tc>
          <w:tcPr>
            <w:tcW w:w="418" w:type="pct"/>
          </w:tcPr>
          <w:p w:rsidR="003F791C" w:rsidRDefault="003F791C" w:rsidP="00F84223">
            <w:pPr>
              <w:pStyle w:val="Tabletext"/>
            </w:pPr>
            <w:r>
              <w:t>309</w:t>
            </w:r>
          </w:p>
        </w:tc>
        <w:tc>
          <w:tcPr>
            <w:tcW w:w="502" w:type="pct"/>
          </w:tcPr>
          <w:p w:rsidR="003F791C" w:rsidRDefault="003F791C" w:rsidP="00F84223">
            <w:pPr>
              <w:pStyle w:val="Tabletext"/>
            </w:pPr>
            <w:r>
              <w:t>789</w:t>
            </w:r>
          </w:p>
        </w:tc>
        <w:tc>
          <w:tcPr>
            <w:tcW w:w="753" w:type="pct"/>
            <w:vAlign w:val="bottom"/>
          </w:tcPr>
          <w:p w:rsidR="003F791C" w:rsidRPr="0028143F" w:rsidRDefault="003F791C" w:rsidP="00F84223">
            <w:pPr>
              <w:pStyle w:val="Tabletext"/>
            </w:pPr>
            <w:r>
              <w:t>0.39</w:t>
            </w:r>
            <w:r w:rsidRPr="0028143F">
              <w:t>:1</w:t>
            </w:r>
          </w:p>
        </w:tc>
        <w:tc>
          <w:tcPr>
            <w:tcW w:w="1422" w:type="pct"/>
            <w:vAlign w:val="bottom"/>
          </w:tcPr>
          <w:p w:rsidR="003F791C" w:rsidRPr="0028143F" w:rsidRDefault="003F791C" w:rsidP="00925117">
            <w:pPr>
              <w:pStyle w:val="Tabletext"/>
            </w:pPr>
            <w:r>
              <w:t>0.</w:t>
            </w:r>
            <w:r w:rsidR="00925117">
              <w:t>018517</w:t>
            </w:r>
          </w:p>
        </w:tc>
      </w:tr>
      <w:tr w:rsidR="003F791C" w:rsidTr="00F84223">
        <w:tc>
          <w:tcPr>
            <w:tcW w:w="586" w:type="pct"/>
          </w:tcPr>
          <w:p w:rsidR="003F791C" w:rsidRDefault="003F791C" w:rsidP="00F84223">
            <w:pPr>
              <w:pStyle w:val="Tabletext"/>
            </w:pPr>
            <w:r>
              <w:t>LSIL+</w:t>
            </w:r>
          </w:p>
        </w:tc>
        <w:tc>
          <w:tcPr>
            <w:tcW w:w="315" w:type="pct"/>
          </w:tcPr>
          <w:p w:rsidR="003F791C" w:rsidRDefault="003F791C" w:rsidP="00F84223">
            <w:pPr>
              <w:pStyle w:val="Tabletext"/>
            </w:pPr>
            <w:r>
              <w:t>300</w:t>
            </w:r>
          </w:p>
        </w:tc>
        <w:tc>
          <w:tcPr>
            <w:tcW w:w="522" w:type="pct"/>
          </w:tcPr>
          <w:p w:rsidR="003F791C" w:rsidRDefault="003F791C" w:rsidP="00F84223">
            <w:pPr>
              <w:pStyle w:val="Tabletext"/>
            </w:pPr>
            <w:r>
              <w:t>102</w:t>
            </w:r>
          </w:p>
        </w:tc>
        <w:tc>
          <w:tcPr>
            <w:tcW w:w="482" w:type="pct"/>
            <w:vAlign w:val="bottom"/>
          </w:tcPr>
          <w:p w:rsidR="003F791C" w:rsidRPr="0028143F" w:rsidRDefault="003F791C" w:rsidP="00F84223">
            <w:pPr>
              <w:pStyle w:val="Tabletext"/>
            </w:pPr>
            <w:r w:rsidRPr="0028143F">
              <w:t>2.94:1</w:t>
            </w:r>
          </w:p>
        </w:tc>
        <w:tc>
          <w:tcPr>
            <w:tcW w:w="418" w:type="pct"/>
          </w:tcPr>
          <w:p w:rsidR="003F791C" w:rsidRDefault="003F791C" w:rsidP="00F84223">
            <w:pPr>
              <w:pStyle w:val="Tabletext"/>
            </w:pPr>
            <w:r>
              <w:t>236</w:t>
            </w:r>
          </w:p>
        </w:tc>
        <w:tc>
          <w:tcPr>
            <w:tcW w:w="502" w:type="pct"/>
          </w:tcPr>
          <w:p w:rsidR="003F791C" w:rsidRDefault="003F791C" w:rsidP="00F84223">
            <w:pPr>
              <w:pStyle w:val="Tabletext"/>
            </w:pPr>
            <w:r>
              <w:t>86</w:t>
            </w:r>
          </w:p>
        </w:tc>
        <w:tc>
          <w:tcPr>
            <w:tcW w:w="753" w:type="pct"/>
            <w:vAlign w:val="bottom"/>
          </w:tcPr>
          <w:p w:rsidR="003F791C" w:rsidRPr="0028143F" w:rsidRDefault="003F791C" w:rsidP="00F84223">
            <w:pPr>
              <w:pStyle w:val="Tabletext"/>
            </w:pPr>
            <w:r w:rsidRPr="0028143F">
              <w:t>2.74:1</w:t>
            </w:r>
          </w:p>
        </w:tc>
        <w:tc>
          <w:tcPr>
            <w:tcW w:w="1422" w:type="pct"/>
            <w:vAlign w:val="bottom"/>
          </w:tcPr>
          <w:p w:rsidR="003F791C" w:rsidRPr="0028143F" w:rsidRDefault="003F791C" w:rsidP="00F84223">
            <w:pPr>
              <w:pStyle w:val="Tabletext"/>
            </w:pPr>
            <w:r w:rsidRPr="0028143F">
              <w:t>-0.19699</w:t>
            </w:r>
          </w:p>
        </w:tc>
      </w:tr>
      <w:tr w:rsidR="003F791C" w:rsidTr="00F84223">
        <w:tc>
          <w:tcPr>
            <w:tcW w:w="586" w:type="pct"/>
          </w:tcPr>
          <w:p w:rsidR="003F791C" w:rsidRDefault="003F791C" w:rsidP="00F84223">
            <w:pPr>
              <w:pStyle w:val="Tabletext"/>
            </w:pPr>
            <w:r>
              <w:t>HSIL+</w:t>
            </w:r>
          </w:p>
        </w:tc>
        <w:tc>
          <w:tcPr>
            <w:tcW w:w="315" w:type="pct"/>
          </w:tcPr>
          <w:p w:rsidR="003F791C" w:rsidRDefault="003F791C" w:rsidP="00F84223">
            <w:pPr>
              <w:pStyle w:val="Tabletext"/>
            </w:pPr>
            <w:r>
              <w:t>247</w:t>
            </w:r>
          </w:p>
        </w:tc>
        <w:tc>
          <w:tcPr>
            <w:tcW w:w="522" w:type="pct"/>
          </w:tcPr>
          <w:p w:rsidR="003F791C" w:rsidRDefault="003F791C" w:rsidP="00F84223">
            <w:pPr>
              <w:pStyle w:val="Tabletext"/>
            </w:pPr>
            <w:r>
              <w:t>45</w:t>
            </w:r>
          </w:p>
        </w:tc>
        <w:tc>
          <w:tcPr>
            <w:tcW w:w="482" w:type="pct"/>
            <w:vAlign w:val="bottom"/>
          </w:tcPr>
          <w:p w:rsidR="003F791C" w:rsidRPr="0028143F" w:rsidRDefault="003F791C" w:rsidP="00F84223">
            <w:pPr>
              <w:pStyle w:val="Tabletext"/>
            </w:pPr>
            <w:r w:rsidRPr="0028143F">
              <w:t>5.49:1</w:t>
            </w:r>
          </w:p>
        </w:tc>
        <w:tc>
          <w:tcPr>
            <w:tcW w:w="418" w:type="pct"/>
          </w:tcPr>
          <w:p w:rsidR="003F791C" w:rsidRDefault="003F791C" w:rsidP="00F84223">
            <w:pPr>
              <w:pStyle w:val="Tabletext"/>
            </w:pPr>
            <w:r>
              <w:t>192</w:t>
            </w:r>
          </w:p>
        </w:tc>
        <w:tc>
          <w:tcPr>
            <w:tcW w:w="502" w:type="pct"/>
          </w:tcPr>
          <w:p w:rsidR="003F791C" w:rsidRDefault="003F791C" w:rsidP="00F84223">
            <w:pPr>
              <w:pStyle w:val="Tabletext"/>
            </w:pPr>
            <w:r>
              <w:t>36</w:t>
            </w:r>
          </w:p>
        </w:tc>
        <w:tc>
          <w:tcPr>
            <w:tcW w:w="753" w:type="pct"/>
            <w:vAlign w:val="bottom"/>
          </w:tcPr>
          <w:p w:rsidR="003F791C" w:rsidRPr="0028143F" w:rsidRDefault="003F791C" w:rsidP="00F84223">
            <w:pPr>
              <w:pStyle w:val="Tabletext"/>
            </w:pPr>
            <w:r w:rsidRPr="0028143F">
              <w:t>5.33:1</w:t>
            </w:r>
          </w:p>
        </w:tc>
        <w:tc>
          <w:tcPr>
            <w:tcW w:w="1422" w:type="pct"/>
            <w:vAlign w:val="bottom"/>
          </w:tcPr>
          <w:p w:rsidR="003F791C" w:rsidRPr="0028143F" w:rsidRDefault="003F791C" w:rsidP="00F84223">
            <w:pPr>
              <w:pStyle w:val="Tabletext"/>
            </w:pPr>
            <w:r w:rsidRPr="0028143F">
              <w:t>-0.15556</w:t>
            </w:r>
          </w:p>
        </w:tc>
      </w:tr>
      <w:tr w:rsidR="003F791C" w:rsidTr="00F84223">
        <w:tc>
          <w:tcPr>
            <w:tcW w:w="586" w:type="pct"/>
          </w:tcPr>
          <w:p w:rsidR="003F791C" w:rsidRDefault="003F791C" w:rsidP="00F84223">
            <w:pPr>
              <w:pStyle w:val="Tabletext"/>
            </w:pPr>
            <w:r>
              <w:t>SCC</w:t>
            </w:r>
          </w:p>
        </w:tc>
        <w:tc>
          <w:tcPr>
            <w:tcW w:w="315" w:type="pct"/>
          </w:tcPr>
          <w:p w:rsidR="003F791C" w:rsidRDefault="003F791C" w:rsidP="00F84223">
            <w:pPr>
              <w:pStyle w:val="Tabletext"/>
            </w:pPr>
            <w:r>
              <w:t>3</w:t>
            </w:r>
          </w:p>
        </w:tc>
        <w:tc>
          <w:tcPr>
            <w:tcW w:w="522" w:type="pct"/>
          </w:tcPr>
          <w:p w:rsidR="003F791C" w:rsidRDefault="003F791C" w:rsidP="00F84223">
            <w:pPr>
              <w:pStyle w:val="Tabletext"/>
            </w:pPr>
            <w:r>
              <w:t>1</w:t>
            </w:r>
          </w:p>
        </w:tc>
        <w:tc>
          <w:tcPr>
            <w:tcW w:w="482" w:type="pct"/>
            <w:vAlign w:val="bottom"/>
          </w:tcPr>
          <w:p w:rsidR="003F791C" w:rsidRPr="0028143F" w:rsidRDefault="003F791C" w:rsidP="00F84223">
            <w:pPr>
              <w:pStyle w:val="Tabletext"/>
            </w:pPr>
            <w:r w:rsidRPr="0028143F">
              <w:t>3:1</w:t>
            </w:r>
          </w:p>
        </w:tc>
        <w:tc>
          <w:tcPr>
            <w:tcW w:w="418" w:type="pct"/>
          </w:tcPr>
          <w:p w:rsidR="003F791C" w:rsidRDefault="003F791C" w:rsidP="00F84223">
            <w:pPr>
              <w:pStyle w:val="Tabletext"/>
            </w:pPr>
            <w:r>
              <w:t>2</w:t>
            </w:r>
          </w:p>
        </w:tc>
        <w:tc>
          <w:tcPr>
            <w:tcW w:w="502" w:type="pct"/>
          </w:tcPr>
          <w:p w:rsidR="003F791C" w:rsidRDefault="003F791C" w:rsidP="00F84223">
            <w:pPr>
              <w:pStyle w:val="Tabletext"/>
            </w:pPr>
            <w:r>
              <w:t>0</w:t>
            </w:r>
          </w:p>
        </w:tc>
        <w:tc>
          <w:tcPr>
            <w:tcW w:w="753" w:type="pct"/>
            <w:vAlign w:val="bottom"/>
          </w:tcPr>
          <w:p w:rsidR="003F791C" w:rsidRPr="0028143F" w:rsidRDefault="003F791C" w:rsidP="00F84223">
            <w:pPr>
              <w:pStyle w:val="Tabletext"/>
            </w:pPr>
            <w:r w:rsidRPr="0028143F">
              <w:t>0.42:1</w:t>
            </w:r>
          </w:p>
        </w:tc>
        <w:tc>
          <w:tcPr>
            <w:tcW w:w="1422" w:type="pct"/>
            <w:vAlign w:val="bottom"/>
          </w:tcPr>
          <w:p w:rsidR="003F791C" w:rsidRPr="0028143F" w:rsidRDefault="003F791C" w:rsidP="00F84223">
            <w:pPr>
              <w:pStyle w:val="Tabletext"/>
            </w:pPr>
            <w:r w:rsidRPr="0028143F">
              <w:t>-3</w:t>
            </w:r>
          </w:p>
        </w:tc>
      </w:tr>
      <w:tr w:rsidR="003F791C" w:rsidTr="00F84223">
        <w:tc>
          <w:tcPr>
            <w:tcW w:w="586" w:type="pct"/>
          </w:tcPr>
          <w:p w:rsidR="003F791C" w:rsidRDefault="003F791C" w:rsidP="00F84223">
            <w:pPr>
              <w:pStyle w:val="Tabletext"/>
            </w:pPr>
            <w:r>
              <w:t>Source</w:t>
            </w:r>
          </w:p>
        </w:tc>
        <w:tc>
          <w:tcPr>
            <w:tcW w:w="4414" w:type="pct"/>
            <w:gridSpan w:val="7"/>
          </w:tcPr>
          <w:p w:rsidR="003F791C" w:rsidRPr="0028143F" w:rsidRDefault="005F6015" w:rsidP="00F84223">
            <w:pPr>
              <w:pStyle w:val="Tabletext"/>
            </w:pPr>
            <w:r w:rsidRPr="005F6015">
              <w:t>Attachment 4</w:t>
            </w:r>
          </w:p>
        </w:tc>
      </w:tr>
    </w:tbl>
    <w:p w:rsidR="003F791C" w:rsidRDefault="003F791C" w:rsidP="003F791C">
      <w:pPr>
        <w:pStyle w:val="Tabletext"/>
      </w:pPr>
      <w:r>
        <w:t>Abbreviations: FP, false positive; SCC, squamous cell carcinoma; TP true positive</w:t>
      </w:r>
      <w:r>
        <w:br/>
      </w:r>
      <w:proofErr w:type="gramStart"/>
      <w:r w:rsidRPr="00B36E1D">
        <w:t>Only</w:t>
      </w:r>
      <w:proofErr w:type="gramEnd"/>
      <w:r w:rsidRPr="00B36E1D">
        <w:t xml:space="preserve"> false negative and false positive rates reported</w:t>
      </w:r>
      <w:r w:rsidR="00C27274">
        <w:t xml:space="preserve"> by Beerman</w:t>
      </w:r>
      <w:r>
        <w:t xml:space="preserve"> 2009</w:t>
      </w:r>
      <w:r w:rsidRPr="00B36E1D">
        <w:t xml:space="preserve">. True positive rates </w:t>
      </w:r>
      <w:r>
        <w:t xml:space="preserve">manually </w:t>
      </w:r>
      <w:r w:rsidRPr="00B36E1D">
        <w:t>calculated</w:t>
      </w:r>
      <w:r>
        <w:t xml:space="preserve"> for the purposes of submission</w:t>
      </w:r>
      <w:r w:rsidR="0061117D">
        <w:t xml:space="preserve"> (Attachment 4)</w:t>
      </w:r>
    </w:p>
    <w:p w:rsidR="003F791C" w:rsidRDefault="003F791C" w:rsidP="003F791C">
      <w:pPr>
        <w:pStyle w:val="Tablenotes"/>
        <w:spacing w:before="0" w:after="0"/>
      </w:pPr>
    </w:p>
    <w:p w:rsidR="003F791C" w:rsidRPr="002561B1" w:rsidRDefault="003F791C" w:rsidP="003F791C">
      <w:pPr>
        <w:pStyle w:val="Heading50"/>
      </w:pPr>
      <w:r>
        <w:t>Cell filtration LBC vs. CC</w:t>
      </w:r>
    </w:p>
    <w:p w:rsidR="003F791C" w:rsidRDefault="003F791C" w:rsidP="003F791C">
      <w:pPr>
        <w:pStyle w:val="Tablenotes"/>
        <w:spacing w:before="0" w:after="240" w:line="360" w:lineRule="auto"/>
        <w:rPr>
          <w:rFonts w:ascii="Californian FB" w:hAnsi="Californian FB"/>
          <w:sz w:val="22"/>
          <w:szCs w:val="24"/>
        </w:rPr>
      </w:pPr>
      <w:r>
        <w:rPr>
          <w:rFonts w:ascii="Californian FB" w:hAnsi="Californian FB"/>
          <w:sz w:val="22"/>
          <w:szCs w:val="24"/>
        </w:rPr>
        <w:t xml:space="preserve">Generally there was a lower rate of true positive results for all reference standards across all test thresholds with cell filtration LBC compared to CC in the NTCC trial (25 to 34 years cohort, </w:t>
      </w:r>
      <w:r w:rsidR="00086C77">
        <w:fldChar w:fldCharType="begin"/>
      </w:r>
      <w:r w:rsidR="00086C77">
        <w:instrText xml:space="preserve"> REF _Ref334777892 \h  \* MERGEFORMAT </w:instrText>
      </w:r>
      <w:r w:rsidR="00086C77">
        <w:fldChar w:fldCharType="separate"/>
      </w:r>
      <w:r w:rsidR="003361A8" w:rsidRPr="003361A8">
        <w:rPr>
          <w:rFonts w:ascii="Californian FB" w:hAnsi="Californian FB"/>
          <w:sz w:val="22"/>
          <w:szCs w:val="24"/>
        </w:rPr>
        <w:t>Table 106</w:t>
      </w:r>
      <w:r w:rsidR="00086C77">
        <w:fldChar w:fldCharType="end"/>
      </w:r>
      <w:r>
        <w:rPr>
          <w:rFonts w:ascii="Californian FB" w:hAnsi="Californian FB"/>
          <w:sz w:val="22"/>
          <w:szCs w:val="24"/>
        </w:rPr>
        <w:t>). The incremental rate of true positives for cell filtration LBC compared with CC was less than one in all cases except for the HSIL+ test threshold which resulted in one to four more histological abnormalities detected with CC.</w:t>
      </w:r>
    </w:p>
    <w:p w:rsidR="003F791C" w:rsidRDefault="003F791C" w:rsidP="003F791C">
      <w:pPr>
        <w:pStyle w:val="Caption"/>
      </w:pPr>
      <w:bookmarkStart w:id="667" w:name="_Ref334777892"/>
      <w:bookmarkStart w:id="668" w:name="_Toc335666033"/>
      <w:bookmarkStart w:id="669" w:name="_Toc337547046"/>
      <w:r>
        <w:lastRenderedPageBreak/>
        <w:t xml:space="preserve">Table </w:t>
      </w:r>
      <w:fldSimple w:instr=" SEQ Table \* ARABIC ">
        <w:r w:rsidR="003361A8">
          <w:rPr>
            <w:noProof/>
          </w:rPr>
          <w:t>106</w:t>
        </w:r>
      </w:fldSimple>
      <w:bookmarkEnd w:id="667"/>
      <w:r>
        <w:tab/>
        <w:t>True positive: false positive; for histology CIN 1+, CIN 2+ and CIN 3+ CC versus cell filtration LBC -NTCC trial: Age 25 to 34 years: Ronco 2006b</w:t>
      </w:r>
      <w:bookmarkEnd w:id="668"/>
      <w:bookmarkEnd w:id="66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852"/>
        <w:gridCol w:w="886"/>
        <w:gridCol w:w="1068"/>
        <w:gridCol w:w="999"/>
        <w:gridCol w:w="886"/>
        <w:gridCol w:w="1181"/>
        <w:gridCol w:w="1657"/>
      </w:tblGrid>
      <w:tr w:rsidR="003F791C" w:rsidRPr="00D57B9F" w:rsidTr="00F84223">
        <w:tc>
          <w:tcPr>
            <w:tcW w:w="819" w:type="pct"/>
          </w:tcPr>
          <w:p w:rsidR="003F791C" w:rsidRPr="00D57B9F" w:rsidRDefault="003F791C" w:rsidP="00F84223">
            <w:pPr>
              <w:pStyle w:val="Tabletext"/>
              <w:rPr>
                <w:b/>
              </w:rPr>
            </w:pPr>
          </w:p>
        </w:tc>
        <w:tc>
          <w:tcPr>
            <w:tcW w:w="1558" w:type="pct"/>
            <w:gridSpan w:val="3"/>
          </w:tcPr>
          <w:p w:rsidR="003F791C" w:rsidRPr="00D57B9F" w:rsidRDefault="003F791C" w:rsidP="00F84223">
            <w:pPr>
              <w:pStyle w:val="Tabletext"/>
              <w:rPr>
                <w:b/>
              </w:rPr>
            </w:pPr>
            <w:r w:rsidRPr="00D57B9F">
              <w:rPr>
                <w:b/>
              </w:rPr>
              <w:t>Conventional</w:t>
            </w:r>
          </w:p>
        </w:tc>
        <w:tc>
          <w:tcPr>
            <w:tcW w:w="1703" w:type="pct"/>
            <w:gridSpan w:val="3"/>
          </w:tcPr>
          <w:p w:rsidR="003F791C" w:rsidRPr="00D57B9F" w:rsidRDefault="003F791C" w:rsidP="00F84223">
            <w:pPr>
              <w:pStyle w:val="Tabletext"/>
              <w:rPr>
                <w:b/>
              </w:rPr>
            </w:pPr>
            <w:r w:rsidRPr="00D57B9F">
              <w:rPr>
                <w:b/>
              </w:rPr>
              <w:t>LBC</w:t>
            </w:r>
          </w:p>
        </w:tc>
        <w:tc>
          <w:tcPr>
            <w:tcW w:w="920" w:type="pct"/>
          </w:tcPr>
          <w:p w:rsidR="003F791C" w:rsidRPr="00D57B9F" w:rsidRDefault="003F791C" w:rsidP="00F84223">
            <w:pPr>
              <w:pStyle w:val="Tabletext"/>
              <w:rPr>
                <w:b/>
              </w:rPr>
            </w:pPr>
            <w:r w:rsidRPr="00D57B9F">
              <w:rPr>
                <w:b/>
              </w:rPr>
              <w:t>Incremental rate true positive</w:t>
            </w:r>
          </w:p>
        </w:tc>
      </w:tr>
      <w:tr w:rsidR="003F791C" w:rsidRPr="00D57B9F" w:rsidTr="00F84223">
        <w:tc>
          <w:tcPr>
            <w:tcW w:w="819" w:type="pct"/>
          </w:tcPr>
          <w:p w:rsidR="003F791C" w:rsidRPr="00D57B9F" w:rsidRDefault="003F791C" w:rsidP="00F84223">
            <w:pPr>
              <w:pStyle w:val="Tabletext"/>
              <w:rPr>
                <w:b/>
              </w:rPr>
            </w:pPr>
          </w:p>
        </w:tc>
        <w:tc>
          <w:tcPr>
            <w:tcW w:w="473" w:type="pct"/>
          </w:tcPr>
          <w:p w:rsidR="003F791C" w:rsidRPr="00D57B9F" w:rsidRDefault="003F791C" w:rsidP="00F84223">
            <w:pPr>
              <w:pStyle w:val="Tabletext"/>
              <w:rPr>
                <w:b/>
              </w:rPr>
            </w:pPr>
            <w:r w:rsidRPr="00D57B9F">
              <w:rPr>
                <w:b/>
              </w:rPr>
              <w:t>TP</w:t>
            </w:r>
          </w:p>
        </w:tc>
        <w:tc>
          <w:tcPr>
            <w:tcW w:w="492" w:type="pct"/>
          </w:tcPr>
          <w:p w:rsidR="003F791C" w:rsidRPr="00D57B9F" w:rsidRDefault="003F791C" w:rsidP="00F84223">
            <w:pPr>
              <w:pStyle w:val="Tabletext"/>
              <w:rPr>
                <w:b/>
              </w:rPr>
            </w:pPr>
            <w:r w:rsidRPr="00D57B9F">
              <w:rPr>
                <w:b/>
              </w:rPr>
              <w:t>FP</w:t>
            </w:r>
          </w:p>
        </w:tc>
        <w:tc>
          <w:tcPr>
            <w:tcW w:w="593" w:type="pct"/>
          </w:tcPr>
          <w:p w:rsidR="003F791C" w:rsidRPr="00D57B9F" w:rsidRDefault="003F791C" w:rsidP="00F84223">
            <w:pPr>
              <w:pStyle w:val="Tabletext"/>
              <w:rPr>
                <w:b/>
              </w:rPr>
            </w:pPr>
            <w:r w:rsidRPr="00D57B9F">
              <w:rPr>
                <w:b/>
              </w:rPr>
              <w:t>TP:FP</w:t>
            </w:r>
          </w:p>
        </w:tc>
        <w:tc>
          <w:tcPr>
            <w:tcW w:w="555" w:type="pct"/>
          </w:tcPr>
          <w:p w:rsidR="003F791C" w:rsidRPr="00D57B9F" w:rsidRDefault="003F791C" w:rsidP="00F84223">
            <w:pPr>
              <w:pStyle w:val="Tabletext"/>
              <w:rPr>
                <w:b/>
              </w:rPr>
            </w:pPr>
            <w:r w:rsidRPr="00D57B9F">
              <w:rPr>
                <w:b/>
              </w:rPr>
              <w:t>TP</w:t>
            </w:r>
          </w:p>
        </w:tc>
        <w:tc>
          <w:tcPr>
            <w:tcW w:w="492" w:type="pct"/>
          </w:tcPr>
          <w:p w:rsidR="003F791C" w:rsidRPr="00D57B9F" w:rsidRDefault="003F791C" w:rsidP="00F84223">
            <w:pPr>
              <w:pStyle w:val="Tabletext"/>
              <w:rPr>
                <w:b/>
              </w:rPr>
            </w:pPr>
            <w:r w:rsidRPr="00D57B9F">
              <w:rPr>
                <w:b/>
              </w:rPr>
              <w:t>FP</w:t>
            </w:r>
          </w:p>
        </w:tc>
        <w:tc>
          <w:tcPr>
            <w:tcW w:w="656" w:type="pct"/>
          </w:tcPr>
          <w:p w:rsidR="003F791C" w:rsidRPr="00D57B9F" w:rsidRDefault="003F791C" w:rsidP="00F84223">
            <w:pPr>
              <w:pStyle w:val="Tabletext"/>
              <w:rPr>
                <w:b/>
              </w:rPr>
            </w:pPr>
            <w:r w:rsidRPr="00D57B9F">
              <w:rPr>
                <w:b/>
              </w:rPr>
              <w:t>TP:FP</w:t>
            </w:r>
          </w:p>
        </w:tc>
        <w:tc>
          <w:tcPr>
            <w:tcW w:w="920" w:type="pct"/>
          </w:tcPr>
          <w:p w:rsidR="003F791C" w:rsidRPr="00D57B9F" w:rsidRDefault="003F791C" w:rsidP="00F84223">
            <w:pPr>
              <w:pStyle w:val="Tabletext"/>
              <w:rPr>
                <w:b/>
              </w:rPr>
            </w:pPr>
          </w:p>
        </w:tc>
      </w:tr>
      <w:tr w:rsidR="003F791C" w:rsidRPr="00D57B9F" w:rsidTr="00F84223">
        <w:tc>
          <w:tcPr>
            <w:tcW w:w="819" w:type="pct"/>
          </w:tcPr>
          <w:p w:rsidR="003F791C" w:rsidRPr="00D57B9F" w:rsidRDefault="003F791C" w:rsidP="00F84223">
            <w:pPr>
              <w:pStyle w:val="Tabletext"/>
              <w:rPr>
                <w:b/>
              </w:rPr>
            </w:pPr>
            <w:r w:rsidRPr="00D57B9F">
              <w:rPr>
                <w:b/>
              </w:rPr>
              <w:t>Test threshold</w:t>
            </w:r>
          </w:p>
        </w:tc>
        <w:tc>
          <w:tcPr>
            <w:tcW w:w="4181" w:type="pct"/>
            <w:gridSpan w:val="7"/>
          </w:tcPr>
          <w:p w:rsidR="003F791C" w:rsidRPr="00D57B9F" w:rsidRDefault="003F791C" w:rsidP="00F84223">
            <w:pPr>
              <w:pStyle w:val="Tabletext"/>
              <w:rPr>
                <w:b/>
              </w:rPr>
            </w:pPr>
            <w:r w:rsidRPr="00D57B9F">
              <w:rPr>
                <w:b/>
              </w:rPr>
              <w:t>CIN</w:t>
            </w:r>
            <w:r>
              <w:rPr>
                <w:b/>
              </w:rPr>
              <w:t xml:space="preserve"> </w:t>
            </w:r>
            <w:r w:rsidRPr="00D57B9F">
              <w:rPr>
                <w:b/>
              </w:rPr>
              <w:t>1+</w:t>
            </w:r>
          </w:p>
        </w:tc>
      </w:tr>
      <w:tr w:rsidR="003F791C" w:rsidTr="00F84223">
        <w:tc>
          <w:tcPr>
            <w:tcW w:w="819" w:type="pct"/>
          </w:tcPr>
          <w:p w:rsidR="003F791C" w:rsidRDefault="003F791C" w:rsidP="00F84223">
            <w:pPr>
              <w:pStyle w:val="Tabletext"/>
            </w:pPr>
            <w:r>
              <w:t>ASCUS+</w:t>
            </w:r>
          </w:p>
        </w:tc>
        <w:tc>
          <w:tcPr>
            <w:tcW w:w="473" w:type="pct"/>
          </w:tcPr>
          <w:p w:rsidR="003F791C" w:rsidRPr="00B80836" w:rsidRDefault="003F791C" w:rsidP="00F84223">
            <w:pPr>
              <w:pStyle w:val="Tabletext"/>
            </w:pPr>
            <w:r w:rsidRPr="00B80836">
              <w:t>71</w:t>
            </w:r>
          </w:p>
        </w:tc>
        <w:tc>
          <w:tcPr>
            <w:tcW w:w="492" w:type="pct"/>
          </w:tcPr>
          <w:p w:rsidR="003F791C" w:rsidRPr="00B80836" w:rsidRDefault="003F791C" w:rsidP="00F84223">
            <w:pPr>
              <w:pStyle w:val="Tabletext"/>
            </w:pPr>
            <w:r w:rsidRPr="00B80836">
              <w:t>142a</w:t>
            </w:r>
          </w:p>
        </w:tc>
        <w:tc>
          <w:tcPr>
            <w:tcW w:w="593" w:type="pct"/>
            <w:vAlign w:val="bottom"/>
          </w:tcPr>
          <w:p w:rsidR="003F791C" w:rsidRPr="0028143F" w:rsidRDefault="003F791C" w:rsidP="00F84223">
            <w:pPr>
              <w:pStyle w:val="Tabletext"/>
            </w:pPr>
            <w:r w:rsidRPr="0028143F">
              <w:t>0.5:1</w:t>
            </w:r>
          </w:p>
        </w:tc>
        <w:tc>
          <w:tcPr>
            <w:tcW w:w="555" w:type="pct"/>
          </w:tcPr>
          <w:p w:rsidR="003F791C" w:rsidRPr="00B80836" w:rsidRDefault="003F791C" w:rsidP="00F84223">
            <w:pPr>
              <w:pStyle w:val="Tabletext"/>
            </w:pPr>
            <w:r w:rsidRPr="00B80836">
              <w:t>162</w:t>
            </w:r>
          </w:p>
        </w:tc>
        <w:tc>
          <w:tcPr>
            <w:tcW w:w="492" w:type="pct"/>
          </w:tcPr>
          <w:p w:rsidR="003F791C" w:rsidRPr="00B80836" w:rsidRDefault="003F791C" w:rsidP="00F84223">
            <w:pPr>
              <w:pStyle w:val="Tabletext"/>
            </w:pPr>
            <w:r w:rsidRPr="00B80836">
              <w:t>337a</w:t>
            </w:r>
          </w:p>
        </w:tc>
        <w:tc>
          <w:tcPr>
            <w:tcW w:w="656" w:type="pct"/>
            <w:vAlign w:val="bottom"/>
          </w:tcPr>
          <w:p w:rsidR="003F791C" w:rsidRPr="0028143F" w:rsidRDefault="003F791C" w:rsidP="00F84223">
            <w:pPr>
              <w:pStyle w:val="Tabletext"/>
            </w:pPr>
            <w:r w:rsidRPr="0028143F">
              <w:t>0.48:1</w:t>
            </w:r>
          </w:p>
        </w:tc>
        <w:tc>
          <w:tcPr>
            <w:tcW w:w="920" w:type="pct"/>
            <w:vAlign w:val="bottom"/>
          </w:tcPr>
          <w:p w:rsidR="003F791C" w:rsidRPr="0028143F" w:rsidRDefault="003F791C" w:rsidP="00F84223">
            <w:pPr>
              <w:pStyle w:val="Tabletext"/>
            </w:pPr>
            <w:r w:rsidRPr="0028143F">
              <w:t>-0.01929</w:t>
            </w:r>
          </w:p>
        </w:tc>
      </w:tr>
      <w:tr w:rsidR="003F791C" w:rsidTr="00F84223">
        <w:tc>
          <w:tcPr>
            <w:tcW w:w="819" w:type="pct"/>
          </w:tcPr>
          <w:p w:rsidR="003F791C" w:rsidRDefault="003F791C" w:rsidP="00F84223">
            <w:pPr>
              <w:pStyle w:val="Tabletext"/>
            </w:pPr>
            <w:r>
              <w:t>LSIL+</w:t>
            </w:r>
          </w:p>
        </w:tc>
        <w:tc>
          <w:tcPr>
            <w:tcW w:w="473" w:type="pct"/>
          </w:tcPr>
          <w:p w:rsidR="003F791C" w:rsidRPr="00B80836" w:rsidRDefault="003F791C" w:rsidP="00F84223">
            <w:pPr>
              <w:pStyle w:val="Tabletext"/>
            </w:pPr>
            <w:r w:rsidRPr="00B80836">
              <w:t>49</w:t>
            </w:r>
          </w:p>
        </w:tc>
        <w:tc>
          <w:tcPr>
            <w:tcW w:w="492" w:type="pct"/>
          </w:tcPr>
          <w:p w:rsidR="003F791C" w:rsidRPr="00B80836" w:rsidRDefault="003F791C" w:rsidP="00F84223">
            <w:pPr>
              <w:pStyle w:val="Tabletext"/>
            </w:pPr>
            <w:r w:rsidRPr="00B80836">
              <w:t>72a</w:t>
            </w:r>
          </w:p>
        </w:tc>
        <w:tc>
          <w:tcPr>
            <w:tcW w:w="593" w:type="pct"/>
            <w:vAlign w:val="bottom"/>
          </w:tcPr>
          <w:p w:rsidR="003F791C" w:rsidRPr="0028143F" w:rsidRDefault="003F791C" w:rsidP="00F84223">
            <w:pPr>
              <w:pStyle w:val="Tabletext"/>
            </w:pPr>
            <w:r w:rsidRPr="0028143F">
              <w:t>0.68:1</w:t>
            </w:r>
          </w:p>
        </w:tc>
        <w:tc>
          <w:tcPr>
            <w:tcW w:w="555" w:type="pct"/>
          </w:tcPr>
          <w:p w:rsidR="003F791C" w:rsidRPr="00B80836" w:rsidRDefault="003F791C" w:rsidP="00F84223">
            <w:pPr>
              <w:pStyle w:val="Tabletext"/>
            </w:pPr>
            <w:r w:rsidRPr="00B80836">
              <w:t>113</w:t>
            </w:r>
          </w:p>
        </w:tc>
        <w:tc>
          <w:tcPr>
            <w:tcW w:w="492" w:type="pct"/>
          </w:tcPr>
          <w:p w:rsidR="003F791C" w:rsidRPr="00B80836" w:rsidRDefault="003F791C" w:rsidP="00F84223">
            <w:pPr>
              <w:pStyle w:val="Tabletext"/>
            </w:pPr>
            <w:r w:rsidRPr="00B80836">
              <w:t>142a</w:t>
            </w:r>
          </w:p>
        </w:tc>
        <w:tc>
          <w:tcPr>
            <w:tcW w:w="656" w:type="pct"/>
            <w:vAlign w:val="bottom"/>
          </w:tcPr>
          <w:p w:rsidR="003F791C" w:rsidRPr="0028143F" w:rsidRDefault="003F791C" w:rsidP="00F84223">
            <w:pPr>
              <w:pStyle w:val="Tabletext"/>
            </w:pPr>
            <w:r w:rsidRPr="0028143F">
              <w:t>0.8:1</w:t>
            </w:r>
          </w:p>
        </w:tc>
        <w:tc>
          <w:tcPr>
            <w:tcW w:w="920" w:type="pct"/>
            <w:vAlign w:val="bottom"/>
          </w:tcPr>
          <w:p w:rsidR="003F791C" w:rsidRPr="0028143F" w:rsidRDefault="003F791C" w:rsidP="00F84223">
            <w:pPr>
              <w:pStyle w:val="Tabletext"/>
            </w:pPr>
            <w:r w:rsidRPr="0028143F">
              <w:t>0.115219</w:t>
            </w:r>
          </w:p>
        </w:tc>
      </w:tr>
      <w:tr w:rsidR="003F791C" w:rsidTr="00F84223">
        <w:tc>
          <w:tcPr>
            <w:tcW w:w="819" w:type="pct"/>
          </w:tcPr>
          <w:p w:rsidR="003F791C" w:rsidRDefault="003F791C" w:rsidP="00F84223">
            <w:pPr>
              <w:pStyle w:val="Tabletext"/>
            </w:pPr>
            <w:r>
              <w:t>HSIL+</w:t>
            </w:r>
          </w:p>
        </w:tc>
        <w:tc>
          <w:tcPr>
            <w:tcW w:w="473" w:type="pct"/>
          </w:tcPr>
          <w:p w:rsidR="003F791C" w:rsidRPr="00B80836" w:rsidRDefault="003F791C" w:rsidP="00F84223">
            <w:pPr>
              <w:pStyle w:val="Tabletext"/>
            </w:pPr>
            <w:r w:rsidRPr="00B80836">
              <w:t>13</w:t>
            </w:r>
          </w:p>
        </w:tc>
        <w:tc>
          <w:tcPr>
            <w:tcW w:w="492" w:type="pct"/>
          </w:tcPr>
          <w:p w:rsidR="003F791C" w:rsidRPr="00B80836" w:rsidRDefault="003F791C" w:rsidP="00F84223">
            <w:pPr>
              <w:pStyle w:val="Tabletext"/>
            </w:pPr>
            <w:r w:rsidRPr="00B80836">
              <w:t>3a</w:t>
            </w:r>
          </w:p>
        </w:tc>
        <w:tc>
          <w:tcPr>
            <w:tcW w:w="593" w:type="pct"/>
            <w:vAlign w:val="bottom"/>
          </w:tcPr>
          <w:p w:rsidR="003F791C" w:rsidRPr="0028143F" w:rsidRDefault="003F791C" w:rsidP="00F84223">
            <w:pPr>
              <w:pStyle w:val="Tabletext"/>
            </w:pPr>
            <w:r w:rsidRPr="0028143F">
              <w:t>4.33:1</w:t>
            </w:r>
          </w:p>
        </w:tc>
        <w:tc>
          <w:tcPr>
            <w:tcW w:w="555" w:type="pct"/>
          </w:tcPr>
          <w:p w:rsidR="003F791C" w:rsidRPr="00B80836" w:rsidRDefault="003F791C" w:rsidP="00F84223">
            <w:pPr>
              <w:pStyle w:val="Tabletext"/>
            </w:pPr>
            <w:r w:rsidRPr="00B80836">
              <w:t>24</w:t>
            </w:r>
          </w:p>
        </w:tc>
        <w:tc>
          <w:tcPr>
            <w:tcW w:w="492" w:type="pct"/>
          </w:tcPr>
          <w:p w:rsidR="003F791C" w:rsidRPr="00B80836" w:rsidRDefault="003F791C" w:rsidP="00F84223">
            <w:pPr>
              <w:pStyle w:val="Tabletext"/>
            </w:pPr>
            <w:r w:rsidRPr="00B80836">
              <w:t>12a</w:t>
            </w:r>
          </w:p>
        </w:tc>
        <w:tc>
          <w:tcPr>
            <w:tcW w:w="656" w:type="pct"/>
            <w:vAlign w:val="bottom"/>
          </w:tcPr>
          <w:p w:rsidR="003F791C" w:rsidRPr="0028143F" w:rsidRDefault="003F791C" w:rsidP="00F84223">
            <w:pPr>
              <w:pStyle w:val="Tabletext"/>
            </w:pPr>
            <w:r w:rsidRPr="0028143F">
              <w:t>2:1</w:t>
            </w:r>
          </w:p>
        </w:tc>
        <w:tc>
          <w:tcPr>
            <w:tcW w:w="920" w:type="pct"/>
            <w:vAlign w:val="bottom"/>
          </w:tcPr>
          <w:p w:rsidR="003F791C" w:rsidRPr="0028143F" w:rsidRDefault="003F791C" w:rsidP="00F84223">
            <w:pPr>
              <w:pStyle w:val="Tabletext"/>
            </w:pPr>
            <w:r w:rsidRPr="0028143F">
              <w:t>-2.33333</w:t>
            </w:r>
          </w:p>
        </w:tc>
      </w:tr>
      <w:tr w:rsidR="003F791C" w:rsidRPr="00D57B9F" w:rsidTr="00F84223">
        <w:tc>
          <w:tcPr>
            <w:tcW w:w="819" w:type="pct"/>
          </w:tcPr>
          <w:p w:rsidR="003F791C" w:rsidRPr="00D57B9F" w:rsidRDefault="003F791C" w:rsidP="00F84223">
            <w:pPr>
              <w:pStyle w:val="Tabletext"/>
              <w:rPr>
                <w:b/>
              </w:rPr>
            </w:pPr>
          </w:p>
        </w:tc>
        <w:tc>
          <w:tcPr>
            <w:tcW w:w="4181" w:type="pct"/>
            <w:gridSpan w:val="7"/>
          </w:tcPr>
          <w:p w:rsidR="003F791C" w:rsidRPr="00D57B9F" w:rsidRDefault="003F791C" w:rsidP="00F84223">
            <w:pPr>
              <w:pStyle w:val="Tabletext"/>
              <w:rPr>
                <w:b/>
              </w:rPr>
            </w:pPr>
            <w:r w:rsidRPr="00D57B9F">
              <w:rPr>
                <w:b/>
              </w:rPr>
              <w:t>CIN</w:t>
            </w:r>
            <w:r>
              <w:rPr>
                <w:b/>
              </w:rPr>
              <w:t xml:space="preserve"> </w:t>
            </w:r>
            <w:r w:rsidRPr="00D57B9F">
              <w:rPr>
                <w:b/>
              </w:rPr>
              <w:t>2+</w:t>
            </w:r>
          </w:p>
        </w:tc>
      </w:tr>
      <w:tr w:rsidR="003F791C" w:rsidTr="00F84223">
        <w:tc>
          <w:tcPr>
            <w:tcW w:w="819" w:type="pct"/>
          </w:tcPr>
          <w:p w:rsidR="003F791C" w:rsidRPr="008E39AD" w:rsidRDefault="003F791C" w:rsidP="00F84223">
            <w:pPr>
              <w:pStyle w:val="Tabletext"/>
            </w:pPr>
            <w:r w:rsidRPr="008E39AD">
              <w:t>ASCUS+</w:t>
            </w:r>
          </w:p>
        </w:tc>
        <w:tc>
          <w:tcPr>
            <w:tcW w:w="473" w:type="pct"/>
          </w:tcPr>
          <w:p w:rsidR="003F791C" w:rsidRPr="008E39AD" w:rsidRDefault="003F791C" w:rsidP="00F84223">
            <w:pPr>
              <w:pStyle w:val="Tabletext"/>
            </w:pPr>
            <w:r w:rsidRPr="008E39AD">
              <w:t>33</w:t>
            </w:r>
          </w:p>
        </w:tc>
        <w:tc>
          <w:tcPr>
            <w:tcW w:w="492" w:type="pct"/>
          </w:tcPr>
          <w:p w:rsidR="003F791C" w:rsidRPr="008E39AD" w:rsidRDefault="003F791C" w:rsidP="00F84223">
            <w:pPr>
              <w:pStyle w:val="Tabletext"/>
            </w:pPr>
            <w:r w:rsidRPr="008E39AD">
              <w:t>180a</w:t>
            </w:r>
          </w:p>
        </w:tc>
        <w:tc>
          <w:tcPr>
            <w:tcW w:w="593" w:type="pct"/>
            <w:vAlign w:val="bottom"/>
          </w:tcPr>
          <w:p w:rsidR="003F791C" w:rsidRPr="0028143F" w:rsidRDefault="003F791C" w:rsidP="00F84223">
            <w:pPr>
              <w:pStyle w:val="Tabletext"/>
            </w:pPr>
            <w:r w:rsidRPr="0028143F">
              <w:t>0.18:1</w:t>
            </w:r>
          </w:p>
        </w:tc>
        <w:tc>
          <w:tcPr>
            <w:tcW w:w="555" w:type="pct"/>
          </w:tcPr>
          <w:p w:rsidR="003F791C" w:rsidRPr="008E39AD" w:rsidRDefault="003F791C" w:rsidP="00F84223">
            <w:pPr>
              <w:pStyle w:val="Tabletext"/>
            </w:pPr>
            <w:r w:rsidRPr="008E39AD">
              <w:t>45</w:t>
            </w:r>
          </w:p>
        </w:tc>
        <w:tc>
          <w:tcPr>
            <w:tcW w:w="492" w:type="pct"/>
          </w:tcPr>
          <w:p w:rsidR="003F791C" w:rsidRPr="008E39AD" w:rsidRDefault="003F791C" w:rsidP="00F84223">
            <w:pPr>
              <w:pStyle w:val="Tabletext"/>
            </w:pPr>
            <w:r w:rsidRPr="008E39AD">
              <w:t>454a</w:t>
            </w:r>
          </w:p>
        </w:tc>
        <w:tc>
          <w:tcPr>
            <w:tcW w:w="656" w:type="pct"/>
            <w:vAlign w:val="bottom"/>
          </w:tcPr>
          <w:p w:rsidR="003F791C" w:rsidRPr="0028143F" w:rsidRDefault="003F791C" w:rsidP="00F84223">
            <w:pPr>
              <w:pStyle w:val="Tabletext"/>
            </w:pPr>
            <w:r w:rsidRPr="0028143F">
              <w:t>0.1:1</w:t>
            </w:r>
          </w:p>
        </w:tc>
        <w:tc>
          <w:tcPr>
            <w:tcW w:w="920" w:type="pct"/>
            <w:vAlign w:val="bottom"/>
          </w:tcPr>
          <w:p w:rsidR="003F791C" w:rsidRPr="0028143F" w:rsidRDefault="003F791C" w:rsidP="00F84223">
            <w:pPr>
              <w:pStyle w:val="Tabletext"/>
            </w:pPr>
            <w:r w:rsidRPr="0028143F">
              <w:t>-0.08421</w:t>
            </w:r>
          </w:p>
        </w:tc>
      </w:tr>
      <w:tr w:rsidR="003F791C" w:rsidTr="00F84223">
        <w:tc>
          <w:tcPr>
            <w:tcW w:w="819" w:type="pct"/>
          </w:tcPr>
          <w:p w:rsidR="003F791C" w:rsidRPr="008E39AD" w:rsidRDefault="003F791C" w:rsidP="00F84223">
            <w:pPr>
              <w:pStyle w:val="Tabletext"/>
            </w:pPr>
            <w:r w:rsidRPr="008E39AD">
              <w:t>LSIL+</w:t>
            </w:r>
          </w:p>
        </w:tc>
        <w:tc>
          <w:tcPr>
            <w:tcW w:w="473" w:type="pct"/>
          </w:tcPr>
          <w:p w:rsidR="003F791C" w:rsidRPr="008E39AD" w:rsidRDefault="003F791C" w:rsidP="00F84223">
            <w:pPr>
              <w:pStyle w:val="Tabletext"/>
            </w:pPr>
            <w:r w:rsidRPr="008E39AD">
              <w:t>28</w:t>
            </w:r>
          </w:p>
        </w:tc>
        <w:tc>
          <w:tcPr>
            <w:tcW w:w="492" w:type="pct"/>
          </w:tcPr>
          <w:p w:rsidR="003F791C" w:rsidRPr="008E39AD" w:rsidRDefault="003F791C" w:rsidP="00F84223">
            <w:pPr>
              <w:pStyle w:val="Tabletext"/>
            </w:pPr>
            <w:r w:rsidRPr="008E39AD">
              <w:t>93a</w:t>
            </w:r>
          </w:p>
        </w:tc>
        <w:tc>
          <w:tcPr>
            <w:tcW w:w="593" w:type="pct"/>
            <w:vAlign w:val="bottom"/>
          </w:tcPr>
          <w:p w:rsidR="003F791C" w:rsidRPr="0028143F" w:rsidRDefault="003F791C" w:rsidP="00F84223">
            <w:pPr>
              <w:pStyle w:val="Tabletext"/>
            </w:pPr>
            <w:r w:rsidRPr="0028143F">
              <w:t>0.3:1</w:t>
            </w:r>
          </w:p>
        </w:tc>
        <w:tc>
          <w:tcPr>
            <w:tcW w:w="555" w:type="pct"/>
          </w:tcPr>
          <w:p w:rsidR="003F791C" w:rsidRPr="008E39AD" w:rsidRDefault="003F791C" w:rsidP="00F84223">
            <w:pPr>
              <w:pStyle w:val="Tabletext"/>
            </w:pPr>
            <w:r w:rsidRPr="008E39AD">
              <w:t>33</w:t>
            </w:r>
          </w:p>
        </w:tc>
        <w:tc>
          <w:tcPr>
            <w:tcW w:w="492" w:type="pct"/>
          </w:tcPr>
          <w:p w:rsidR="003F791C" w:rsidRPr="008E39AD" w:rsidRDefault="003F791C" w:rsidP="00F84223">
            <w:pPr>
              <w:pStyle w:val="Tabletext"/>
            </w:pPr>
            <w:r w:rsidRPr="008E39AD">
              <w:t>222a</w:t>
            </w:r>
          </w:p>
        </w:tc>
        <w:tc>
          <w:tcPr>
            <w:tcW w:w="656" w:type="pct"/>
            <w:vAlign w:val="bottom"/>
          </w:tcPr>
          <w:p w:rsidR="003F791C" w:rsidRPr="0028143F" w:rsidRDefault="003F791C" w:rsidP="00F84223">
            <w:pPr>
              <w:pStyle w:val="Tabletext"/>
            </w:pPr>
            <w:r w:rsidRPr="0028143F">
              <w:t>0.15:1</w:t>
            </w:r>
          </w:p>
        </w:tc>
        <w:tc>
          <w:tcPr>
            <w:tcW w:w="920" w:type="pct"/>
            <w:vAlign w:val="bottom"/>
          </w:tcPr>
          <w:p w:rsidR="003F791C" w:rsidRPr="0028143F" w:rsidRDefault="003F791C" w:rsidP="00F84223">
            <w:pPr>
              <w:pStyle w:val="Tabletext"/>
            </w:pPr>
            <w:r w:rsidRPr="0028143F">
              <w:t>-0.15243</w:t>
            </w:r>
          </w:p>
        </w:tc>
      </w:tr>
      <w:tr w:rsidR="003F791C" w:rsidTr="00F84223">
        <w:tc>
          <w:tcPr>
            <w:tcW w:w="819" w:type="pct"/>
          </w:tcPr>
          <w:p w:rsidR="003F791C" w:rsidRPr="008E39AD" w:rsidRDefault="003F791C" w:rsidP="00F84223">
            <w:pPr>
              <w:pStyle w:val="Tabletext"/>
            </w:pPr>
            <w:r w:rsidRPr="008E39AD">
              <w:t>HSIL+</w:t>
            </w:r>
          </w:p>
        </w:tc>
        <w:tc>
          <w:tcPr>
            <w:tcW w:w="473" w:type="pct"/>
          </w:tcPr>
          <w:p w:rsidR="003F791C" w:rsidRPr="008E39AD" w:rsidRDefault="003F791C" w:rsidP="00F84223">
            <w:pPr>
              <w:pStyle w:val="Tabletext"/>
            </w:pPr>
            <w:r w:rsidRPr="008E39AD">
              <w:t>13</w:t>
            </w:r>
          </w:p>
        </w:tc>
        <w:tc>
          <w:tcPr>
            <w:tcW w:w="492" w:type="pct"/>
          </w:tcPr>
          <w:p w:rsidR="003F791C" w:rsidRPr="008E39AD" w:rsidRDefault="003F791C" w:rsidP="00F84223">
            <w:pPr>
              <w:pStyle w:val="Tabletext"/>
            </w:pPr>
            <w:r w:rsidRPr="008E39AD">
              <w:t>3a</w:t>
            </w:r>
          </w:p>
        </w:tc>
        <w:tc>
          <w:tcPr>
            <w:tcW w:w="593" w:type="pct"/>
            <w:vAlign w:val="bottom"/>
          </w:tcPr>
          <w:p w:rsidR="003F791C" w:rsidRPr="0028143F" w:rsidRDefault="003F791C" w:rsidP="00F84223">
            <w:pPr>
              <w:pStyle w:val="Tabletext"/>
            </w:pPr>
            <w:r w:rsidRPr="0028143F">
              <w:t>4.33:1</w:t>
            </w:r>
          </w:p>
        </w:tc>
        <w:tc>
          <w:tcPr>
            <w:tcW w:w="555" w:type="pct"/>
          </w:tcPr>
          <w:p w:rsidR="003F791C" w:rsidRPr="008E39AD" w:rsidRDefault="003F791C" w:rsidP="00F84223">
            <w:pPr>
              <w:pStyle w:val="Tabletext"/>
            </w:pPr>
            <w:r w:rsidRPr="008E39AD">
              <w:t>11</w:t>
            </w:r>
          </w:p>
        </w:tc>
        <w:tc>
          <w:tcPr>
            <w:tcW w:w="492" w:type="pct"/>
          </w:tcPr>
          <w:p w:rsidR="003F791C" w:rsidRPr="008E39AD" w:rsidRDefault="003F791C" w:rsidP="00F84223">
            <w:pPr>
              <w:pStyle w:val="Tabletext"/>
            </w:pPr>
            <w:r w:rsidRPr="008E39AD">
              <w:t>25a</w:t>
            </w:r>
          </w:p>
        </w:tc>
        <w:tc>
          <w:tcPr>
            <w:tcW w:w="656" w:type="pct"/>
            <w:vAlign w:val="bottom"/>
          </w:tcPr>
          <w:p w:rsidR="003F791C" w:rsidRPr="0028143F" w:rsidRDefault="003F791C" w:rsidP="00F84223">
            <w:pPr>
              <w:pStyle w:val="Tabletext"/>
            </w:pPr>
            <w:r w:rsidRPr="0028143F">
              <w:t>0.44:1</w:t>
            </w:r>
          </w:p>
        </w:tc>
        <w:tc>
          <w:tcPr>
            <w:tcW w:w="920" w:type="pct"/>
            <w:vAlign w:val="bottom"/>
          </w:tcPr>
          <w:p w:rsidR="003F791C" w:rsidRPr="0028143F" w:rsidRDefault="003F791C" w:rsidP="00F84223">
            <w:pPr>
              <w:pStyle w:val="Tabletext"/>
            </w:pPr>
            <w:r w:rsidRPr="0028143F">
              <w:t>-3.89333</w:t>
            </w:r>
          </w:p>
        </w:tc>
      </w:tr>
      <w:tr w:rsidR="003F791C" w:rsidRPr="00D57B9F" w:rsidTr="00F84223">
        <w:tc>
          <w:tcPr>
            <w:tcW w:w="819" w:type="pct"/>
          </w:tcPr>
          <w:p w:rsidR="003F791C" w:rsidRPr="00D57B9F" w:rsidRDefault="003F791C" w:rsidP="00F84223">
            <w:pPr>
              <w:pStyle w:val="Tabletext"/>
              <w:rPr>
                <w:b/>
              </w:rPr>
            </w:pPr>
          </w:p>
        </w:tc>
        <w:tc>
          <w:tcPr>
            <w:tcW w:w="4181" w:type="pct"/>
            <w:gridSpan w:val="7"/>
          </w:tcPr>
          <w:p w:rsidR="003F791C" w:rsidRPr="00D57B9F" w:rsidRDefault="003F791C" w:rsidP="00F84223">
            <w:pPr>
              <w:pStyle w:val="Tabletext"/>
              <w:rPr>
                <w:b/>
              </w:rPr>
            </w:pPr>
            <w:r w:rsidRPr="00D57B9F">
              <w:rPr>
                <w:b/>
              </w:rPr>
              <w:t>CIN</w:t>
            </w:r>
            <w:r>
              <w:rPr>
                <w:b/>
              </w:rPr>
              <w:t xml:space="preserve"> </w:t>
            </w:r>
            <w:r w:rsidRPr="00D57B9F">
              <w:rPr>
                <w:b/>
              </w:rPr>
              <w:t>3+</w:t>
            </w:r>
          </w:p>
        </w:tc>
      </w:tr>
      <w:tr w:rsidR="003F791C" w:rsidTr="00F84223">
        <w:tc>
          <w:tcPr>
            <w:tcW w:w="819" w:type="pct"/>
          </w:tcPr>
          <w:p w:rsidR="003F791C" w:rsidRPr="004E21F8" w:rsidRDefault="003F791C" w:rsidP="00F84223">
            <w:pPr>
              <w:pStyle w:val="Tabletext"/>
            </w:pPr>
            <w:r w:rsidRPr="004E21F8">
              <w:t>ASCUS+</w:t>
            </w:r>
          </w:p>
        </w:tc>
        <w:tc>
          <w:tcPr>
            <w:tcW w:w="473" w:type="pct"/>
          </w:tcPr>
          <w:p w:rsidR="003F791C" w:rsidRPr="004E21F8" w:rsidRDefault="003F791C" w:rsidP="00F84223">
            <w:pPr>
              <w:pStyle w:val="Tabletext"/>
            </w:pPr>
            <w:r w:rsidRPr="004E21F8">
              <w:t>22</w:t>
            </w:r>
          </w:p>
        </w:tc>
        <w:tc>
          <w:tcPr>
            <w:tcW w:w="492" w:type="pct"/>
          </w:tcPr>
          <w:p w:rsidR="003F791C" w:rsidRPr="004E21F8" w:rsidRDefault="003F791C" w:rsidP="00F84223">
            <w:pPr>
              <w:pStyle w:val="Tabletext"/>
            </w:pPr>
            <w:r w:rsidRPr="004E21F8">
              <w:t>191a</w:t>
            </w:r>
          </w:p>
        </w:tc>
        <w:tc>
          <w:tcPr>
            <w:tcW w:w="593" w:type="pct"/>
            <w:vAlign w:val="bottom"/>
          </w:tcPr>
          <w:p w:rsidR="003F791C" w:rsidRPr="0028143F" w:rsidRDefault="003F791C" w:rsidP="00F84223">
            <w:pPr>
              <w:pStyle w:val="Tabletext"/>
            </w:pPr>
            <w:r w:rsidRPr="0028143F">
              <w:t>0.12:1</w:t>
            </w:r>
          </w:p>
        </w:tc>
        <w:tc>
          <w:tcPr>
            <w:tcW w:w="555" w:type="pct"/>
          </w:tcPr>
          <w:p w:rsidR="003F791C" w:rsidRPr="004E21F8" w:rsidRDefault="003F791C" w:rsidP="00F84223">
            <w:pPr>
              <w:pStyle w:val="Tabletext"/>
            </w:pPr>
            <w:r w:rsidRPr="004E21F8">
              <w:t>14</w:t>
            </w:r>
          </w:p>
        </w:tc>
        <w:tc>
          <w:tcPr>
            <w:tcW w:w="492" w:type="pct"/>
          </w:tcPr>
          <w:p w:rsidR="003F791C" w:rsidRPr="004E21F8" w:rsidRDefault="003F791C" w:rsidP="00F84223">
            <w:pPr>
              <w:pStyle w:val="Tabletext"/>
            </w:pPr>
            <w:r w:rsidRPr="004E21F8">
              <w:t>485a</w:t>
            </w:r>
          </w:p>
        </w:tc>
        <w:tc>
          <w:tcPr>
            <w:tcW w:w="656" w:type="pct"/>
            <w:vAlign w:val="bottom"/>
          </w:tcPr>
          <w:p w:rsidR="003F791C" w:rsidRPr="0028143F" w:rsidRDefault="003F791C" w:rsidP="00F84223">
            <w:pPr>
              <w:pStyle w:val="Tabletext"/>
            </w:pPr>
            <w:r w:rsidRPr="0028143F">
              <w:t>0.03:1</w:t>
            </w:r>
          </w:p>
        </w:tc>
        <w:tc>
          <w:tcPr>
            <w:tcW w:w="920" w:type="pct"/>
            <w:vAlign w:val="bottom"/>
          </w:tcPr>
          <w:p w:rsidR="003F791C" w:rsidRPr="0028143F" w:rsidRDefault="003F791C" w:rsidP="00F84223">
            <w:pPr>
              <w:pStyle w:val="Tabletext"/>
            </w:pPr>
            <w:r w:rsidRPr="0028143F">
              <w:t>-0.08632</w:t>
            </w:r>
          </w:p>
        </w:tc>
      </w:tr>
      <w:tr w:rsidR="003F791C" w:rsidTr="00F84223">
        <w:tc>
          <w:tcPr>
            <w:tcW w:w="819" w:type="pct"/>
          </w:tcPr>
          <w:p w:rsidR="003F791C" w:rsidRPr="004E21F8" w:rsidRDefault="003F791C" w:rsidP="00F84223">
            <w:pPr>
              <w:pStyle w:val="Tabletext"/>
            </w:pPr>
            <w:r w:rsidRPr="004E21F8">
              <w:t>LSIL+</w:t>
            </w:r>
          </w:p>
        </w:tc>
        <w:tc>
          <w:tcPr>
            <w:tcW w:w="473" w:type="pct"/>
          </w:tcPr>
          <w:p w:rsidR="003F791C" w:rsidRPr="004E21F8" w:rsidRDefault="003F791C" w:rsidP="00F84223">
            <w:pPr>
              <w:pStyle w:val="Tabletext"/>
            </w:pPr>
            <w:r w:rsidRPr="004E21F8">
              <w:t>18</w:t>
            </w:r>
          </w:p>
        </w:tc>
        <w:tc>
          <w:tcPr>
            <w:tcW w:w="492" w:type="pct"/>
          </w:tcPr>
          <w:p w:rsidR="003F791C" w:rsidRPr="004E21F8" w:rsidRDefault="003F791C" w:rsidP="00F84223">
            <w:pPr>
              <w:pStyle w:val="Tabletext"/>
            </w:pPr>
            <w:r w:rsidRPr="004E21F8">
              <w:t>103a</w:t>
            </w:r>
          </w:p>
        </w:tc>
        <w:tc>
          <w:tcPr>
            <w:tcW w:w="593" w:type="pct"/>
            <w:vAlign w:val="bottom"/>
          </w:tcPr>
          <w:p w:rsidR="003F791C" w:rsidRPr="0028143F" w:rsidRDefault="003F791C" w:rsidP="00F84223">
            <w:pPr>
              <w:pStyle w:val="Tabletext"/>
            </w:pPr>
            <w:r w:rsidRPr="0028143F">
              <w:t>0.17:1</w:t>
            </w:r>
          </w:p>
        </w:tc>
        <w:tc>
          <w:tcPr>
            <w:tcW w:w="555" w:type="pct"/>
          </w:tcPr>
          <w:p w:rsidR="003F791C" w:rsidRPr="004E21F8" w:rsidRDefault="003F791C" w:rsidP="00F84223">
            <w:pPr>
              <w:pStyle w:val="Tabletext"/>
            </w:pPr>
            <w:r w:rsidRPr="004E21F8">
              <w:t>7</w:t>
            </w:r>
          </w:p>
        </w:tc>
        <w:tc>
          <w:tcPr>
            <w:tcW w:w="492" w:type="pct"/>
          </w:tcPr>
          <w:p w:rsidR="003F791C" w:rsidRPr="004E21F8" w:rsidRDefault="003F791C" w:rsidP="00F84223">
            <w:pPr>
              <w:pStyle w:val="Tabletext"/>
            </w:pPr>
            <w:r w:rsidRPr="004E21F8">
              <w:t>248a</w:t>
            </w:r>
          </w:p>
        </w:tc>
        <w:tc>
          <w:tcPr>
            <w:tcW w:w="656" w:type="pct"/>
            <w:vAlign w:val="bottom"/>
          </w:tcPr>
          <w:p w:rsidR="003F791C" w:rsidRPr="0028143F" w:rsidRDefault="003F791C" w:rsidP="00F84223">
            <w:pPr>
              <w:pStyle w:val="Tabletext"/>
            </w:pPr>
            <w:r w:rsidRPr="0028143F">
              <w:t>0.03:1</w:t>
            </w:r>
          </w:p>
        </w:tc>
        <w:tc>
          <w:tcPr>
            <w:tcW w:w="920" w:type="pct"/>
            <w:vAlign w:val="bottom"/>
          </w:tcPr>
          <w:p w:rsidR="003F791C" w:rsidRPr="0028143F" w:rsidRDefault="003F791C" w:rsidP="00F84223">
            <w:pPr>
              <w:pStyle w:val="Tabletext"/>
            </w:pPr>
            <w:r w:rsidRPr="0028143F">
              <w:t>-0.14653</w:t>
            </w:r>
          </w:p>
        </w:tc>
      </w:tr>
      <w:tr w:rsidR="003F791C" w:rsidTr="00F84223">
        <w:tc>
          <w:tcPr>
            <w:tcW w:w="819" w:type="pct"/>
          </w:tcPr>
          <w:p w:rsidR="003F791C" w:rsidRPr="004E21F8" w:rsidRDefault="003F791C" w:rsidP="00F84223">
            <w:pPr>
              <w:pStyle w:val="Tabletext"/>
            </w:pPr>
            <w:r w:rsidRPr="004E21F8">
              <w:t>HSIL+</w:t>
            </w:r>
          </w:p>
        </w:tc>
        <w:tc>
          <w:tcPr>
            <w:tcW w:w="473" w:type="pct"/>
          </w:tcPr>
          <w:p w:rsidR="003F791C" w:rsidRPr="004E21F8" w:rsidRDefault="003F791C" w:rsidP="00F84223">
            <w:pPr>
              <w:pStyle w:val="Tabletext"/>
            </w:pPr>
            <w:r w:rsidRPr="004E21F8">
              <w:t>9</w:t>
            </w:r>
          </w:p>
        </w:tc>
        <w:tc>
          <w:tcPr>
            <w:tcW w:w="492" w:type="pct"/>
          </w:tcPr>
          <w:p w:rsidR="003F791C" w:rsidRPr="004E21F8" w:rsidRDefault="003F791C" w:rsidP="00F84223">
            <w:pPr>
              <w:pStyle w:val="Tabletext"/>
            </w:pPr>
            <w:r w:rsidRPr="004E21F8">
              <w:t>7a</w:t>
            </w:r>
          </w:p>
        </w:tc>
        <w:tc>
          <w:tcPr>
            <w:tcW w:w="593" w:type="pct"/>
            <w:vAlign w:val="bottom"/>
          </w:tcPr>
          <w:p w:rsidR="003F791C" w:rsidRPr="0028143F" w:rsidRDefault="003F791C" w:rsidP="00F84223">
            <w:pPr>
              <w:pStyle w:val="Tabletext"/>
            </w:pPr>
            <w:r w:rsidRPr="0028143F">
              <w:t>1.29:1</w:t>
            </w:r>
          </w:p>
        </w:tc>
        <w:tc>
          <w:tcPr>
            <w:tcW w:w="555" w:type="pct"/>
          </w:tcPr>
          <w:p w:rsidR="003F791C" w:rsidRPr="004E21F8" w:rsidRDefault="003F791C" w:rsidP="00F84223">
            <w:pPr>
              <w:pStyle w:val="Tabletext"/>
            </w:pPr>
            <w:r w:rsidRPr="004E21F8">
              <w:t>5</w:t>
            </w:r>
          </w:p>
        </w:tc>
        <w:tc>
          <w:tcPr>
            <w:tcW w:w="492" w:type="pct"/>
          </w:tcPr>
          <w:p w:rsidR="003F791C" w:rsidRPr="004E21F8" w:rsidRDefault="003F791C" w:rsidP="00F84223">
            <w:pPr>
              <w:pStyle w:val="Tabletext"/>
            </w:pPr>
            <w:r w:rsidRPr="004E21F8">
              <w:t>31a</w:t>
            </w:r>
          </w:p>
        </w:tc>
        <w:tc>
          <w:tcPr>
            <w:tcW w:w="656" w:type="pct"/>
            <w:vAlign w:val="bottom"/>
          </w:tcPr>
          <w:p w:rsidR="003F791C" w:rsidRPr="0028143F" w:rsidRDefault="003F791C" w:rsidP="00F84223">
            <w:pPr>
              <w:pStyle w:val="Tabletext"/>
            </w:pPr>
            <w:r w:rsidRPr="0028143F">
              <w:t>0.16:1</w:t>
            </w:r>
          </w:p>
        </w:tc>
        <w:tc>
          <w:tcPr>
            <w:tcW w:w="920" w:type="pct"/>
            <w:vAlign w:val="bottom"/>
          </w:tcPr>
          <w:p w:rsidR="003F791C" w:rsidRPr="0028143F" w:rsidRDefault="003F791C" w:rsidP="00F84223">
            <w:pPr>
              <w:pStyle w:val="Tabletext"/>
            </w:pPr>
            <w:r w:rsidRPr="0028143F">
              <w:t>-1.12442</w:t>
            </w:r>
          </w:p>
        </w:tc>
      </w:tr>
      <w:tr w:rsidR="003F791C" w:rsidTr="00F84223">
        <w:tc>
          <w:tcPr>
            <w:tcW w:w="819" w:type="pct"/>
          </w:tcPr>
          <w:p w:rsidR="003F791C" w:rsidRPr="004E21F8" w:rsidRDefault="003F791C" w:rsidP="00F84223">
            <w:pPr>
              <w:pStyle w:val="Tabletext"/>
            </w:pPr>
            <w:r>
              <w:t>Source</w:t>
            </w:r>
          </w:p>
        </w:tc>
        <w:tc>
          <w:tcPr>
            <w:tcW w:w="4181" w:type="pct"/>
            <w:gridSpan w:val="7"/>
          </w:tcPr>
          <w:p w:rsidR="003F791C" w:rsidRPr="0028143F" w:rsidRDefault="005F6015" w:rsidP="00F84223">
            <w:pPr>
              <w:pStyle w:val="Tabletext"/>
            </w:pPr>
            <w:r w:rsidRPr="005F6015">
              <w:t>Attachment 4</w:t>
            </w:r>
          </w:p>
        </w:tc>
      </w:tr>
    </w:tbl>
    <w:p w:rsidR="003F791C" w:rsidRDefault="003F791C" w:rsidP="00AB012A">
      <w:pPr>
        <w:pStyle w:val="Tabletext"/>
        <w:numPr>
          <w:ilvl w:val="0"/>
          <w:numId w:val="28"/>
        </w:numPr>
      </w:pPr>
      <w:r>
        <w:t>Does not include those patients who did not have a colposcopy as the reason that no colposcopy was performed is not explained. It is possible that the patient was lost to follow up and therefore inclusion in the FP category would be inappropriate</w:t>
      </w:r>
    </w:p>
    <w:p w:rsidR="003F791C" w:rsidRDefault="003F791C" w:rsidP="003F791C"/>
    <w:p w:rsidR="003F791C" w:rsidRDefault="003F791C" w:rsidP="003F791C">
      <w:pPr>
        <w:pStyle w:val="Tablenotes"/>
        <w:spacing w:before="0" w:after="240" w:line="360" w:lineRule="auto"/>
        <w:rPr>
          <w:rFonts w:ascii="Californian FB" w:hAnsi="Californian FB"/>
          <w:sz w:val="22"/>
          <w:szCs w:val="24"/>
        </w:rPr>
      </w:pPr>
      <w:r>
        <w:rPr>
          <w:rFonts w:ascii="Californian FB" w:hAnsi="Californian FB"/>
          <w:sz w:val="22"/>
          <w:szCs w:val="24"/>
        </w:rPr>
        <w:t xml:space="preserve">Generally there was a lower rate of true positive results for all reference standards across all test thresholds with cell filtration LBC compared to CC in the NTCC trial (35 to 60 years cohort, </w:t>
      </w:r>
      <w:r w:rsidR="00086C77">
        <w:fldChar w:fldCharType="begin"/>
      </w:r>
      <w:r w:rsidR="00086C77">
        <w:instrText xml:space="preserve"> REF _Ref334778091 \h  \* MERGEFORMAT </w:instrText>
      </w:r>
      <w:r w:rsidR="00086C77">
        <w:fldChar w:fldCharType="separate"/>
      </w:r>
      <w:r w:rsidR="003361A8" w:rsidRPr="003361A8">
        <w:rPr>
          <w:rFonts w:ascii="Californian FB" w:hAnsi="Californian FB"/>
          <w:sz w:val="22"/>
          <w:szCs w:val="24"/>
        </w:rPr>
        <w:t>Table 107</w:t>
      </w:r>
      <w:r w:rsidR="00086C77">
        <w:fldChar w:fldCharType="end"/>
      </w:r>
      <w:r>
        <w:rPr>
          <w:rFonts w:ascii="Californian FB" w:hAnsi="Californian FB"/>
          <w:sz w:val="22"/>
          <w:szCs w:val="24"/>
        </w:rPr>
        <w:t>). The incremental rate of true positives for cell filtration LBC compared with CC was less than 1 in all cases.</w:t>
      </w:r>
    </w:p>
    <w:p w:rsidR="003F791C" w:rsidRDefault="003F791C" w:rsidP="003F791C">
      <w:pPr>
        <w:pStyle w:val="Caption"/>
      </w:pPr>
      <w:bookmarkStart w:id="670" w:name="_Ref334778091"/>
      <w:bookmarkStart w:id="671" w:name="_Toc335666034"/>
      <w:bookmarkStart w:id="672" w:name="_Toc337547047"/>
      <w:r>
        <w:lastRenderedPageBreak/>
        <w:t xml:space="preserve">Table </w:t>
      </w:r>
      <w:fldSimple w:instr=" SEQ Table \* ARABIC ">
        <w:r w:rsidR="003361A8">
          <w:rPr>
            <w:noProof/>
          </w:rPr>
          <w:t>107</w:t>
        </w:r>
      </w:fldSimple>
      <w:bookmarkEnd w:id="670"/>
      <w:r>
        <w:tab/>
        <w:t>True positive: false positive; for histology CIN 1+, CIN 2+ and CIN 3+ CC versus cell filtration LBC: NTCC trial: Age 35 to 60 years: Ronco 2006b</w:t>
      </w:r>
      <w:bookmarkEnd w:id="671"/>
      <w:bookmarkEnd w:id="672"/>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5"/>
        <w:gridCol w:w="999"/>
        <w:gridCol w:w="886"/>
        <w:gridCol w:w="1034"/>
        <w:gridCol w:w="886"/>
        <w:gridCol w:w="886"/>
        <w:gridCol w:w="1034"/>
        <w:gridCol w:w="1804"/>
      </w:tblGrid>
      <w:tr w:rsidR="003F791C" w:rsidRPr="00D57B9F" w:rsidTr="00F84223">
        <w:tc>
          <w:tcPr>
            <w:tcW w:w="819" w:type="pct"/>
          </w:tcPr>
          <w:p w:rsidR="003F791C" w:rsidRPr="00D57B9F" w:rsidRDefault="003F791C" w:rsidP="00F84223">
            <w:pPr>
              <w:pStyle w:val="Tabletext"/>
              <w:rPr>
                <w:b/>
              </w:rPr>
            </w:pPr>
          </w:p>
        </w:tc>
        <w:tc>
          <w:tcPr>
            <w:tcW w:w="1621" w:type="pct"/>
            <w:gridSpan w:val="3"/>
          </w:tcPr>
          <w:p w:rsidR="003F791C" w:rsidRPr="00D57B9F" w:rsidRDefault="003F791C" w:rsidP="00F84223">
            <w:pPr>
              <w:pStyle w:val="Tabletext"/>
              <w:rPr>
                <w:b/>
              </w:rPr>
            </w:pPr>
            <w:r w:rsidRPr="00D57B9F">
              <w:rPr>
                <w:b/>
              </w:rPr>
              <w:t>Conventional</w:t>
            </w:r>
          </w:p>
        </w:tc>
        <w:tc>
          <w:tcPr>
            <w:tcW w:w="1558" w:type="pct"/>
            <w:gridSpan w:val="3"/>
          </w:tcPr>
          <w:p w:rsidR="003F791C" w:rsidRPr="00D57B9F" w:rsidRDefault="003F791C" w:rsidP="00F84223">
            <w:pPr>
              <w:pStyle w:val="Tabletext"/>
              <w:rPr>
                <w:b/>
              </w:rPr>
            </w:pPr>
            <w:r w:rsidRPr="00D57B9F">
              <w:rPr>
                <w:b/>
              </w:rPr>
              <w:t>LBC</w:t>
            </w:r>
          </w:p>
        </w:tc>
        <w:tc>
          <w:tcPr>
            <w:tcW w:w="1002" w:type="pct"/>
          </w:tcPr>
          <w:p w:rsidR="003F791C" w:rsidRPr="00D57B9F" w:rsidRDefault="003F791C" w:rsidP="00F84223">
            <w:pPr>
              <w:pStyle w:val="Tabletext"/>
              <w:rPr>
                <w:b/>
              </w:rPr>
            </w:pPr>
            <w:r w:rsidRPr="00D57B9F">
              <w:rPr>
                <w:b/>
              </w:rPr>
              <w:t>Incremental rate true positive</w:t>
            </w:r>
          </w:p>
        </w:tc>
      </w:tr>
      <w:tr w:rsidR="003F791C" w:rsidRPr="00D57B9F" w:rsidTr="00F84223">
        <w:tc>
          <w:tcPr>
            <w:tcW w:w="819" w:type="pct"/>
          </w:tcPr>
          <w:p w:rsidR="003F791C" w:rsidRPr="00D57B9F" w:rsidRDefault="003F791C" w:rsidP="00F84223">
            <w:pPr>
              <w:pStyle w:val="Tabletext"/>
              <w:rPr>
                <w:b/>
              </w:rPr>
            </w:pPr>
          </w:p>
        </w:tc>
        <w:tc>
          <w:tcPr>
            <w:tcW w:w="555" w:type="pct"/>
          </w:tcPr>
          <w:p w:rsidR="003F791C" w:rsidRPr="00D57B9F" w:rsidRDefault="003F791C" w:rsidP="00F84223">
            <w:pPr>
              <w:pStyle w:val="Tabletext"/>
              <w:rPr>
                <w:b/>
              </w:rPr>
            </w:pPr>
            <w:r w:rsidRPr="00D57B9F">
              <w:rPr>
                <w:b/>
              </w:rPr>
              <w:t>TP</w:t>
            </w:r>
          </w:p>
        </w:tc>
        <w:tc>
          <w:tcPr>
            <w:tcW w:w="492" w:type="pct"/>
          </w:tcPr>
          <w:p w:rsidR="003F791C" w:rsidRPr="00D57B9F" w:rsidRDefault="003F791C" w:rsidP="00F84223">
            <w:pPr>
              <w:pStyle w:val="Tabletext"/>
              <w:rPr>
                <w:b/>
              </w:rPr>
            </w:pPr>
            <w:r w:rsidRPr="00D57B9F">
              <w:rPr>
                <w:b/>
              </w:rPr>
              <w:t>FP</w:t>
            </w:r>
          </w:p>
        </w:tc>
        <w:tc>
          <w:tcPr>
            <w:tcW w:w="574" w:type="pct"/>
          </w:tcPr>
          <w:p w:rsidR="003F791C" w:rsidRPr="00D57B9F" w:rsidRDefault="003F791C" w:rsidP="00F84223">
            <w:pPr>
              <w:pStyle w:val="Tabletext"/>
              <w:rPr>
                <w:b/>
              </w:rPr>
            </w:pPr>
            <w:r w:rsidRPr="00D57B9F">
              <w:rPr>
                <w:b/>
              </w:rPr>
              <w:t>TP:FP</w:t>
            </w:r>
          </w:p>
        </w:tc>
        <w:tc>
          <w:tcPr>
            <w:tcW w:w="492" w:type="pct"/>
          </w:tcPr>
          <w:p w:rsidR="003F791C" w:rsidRPr="00D57B9F" w:rsidRDefault="003F791C" w:rsidP="00F84223">
            <w:pPr>
              <w:pStyle w:val="Tabletext"/>
              <w:rPr>
                <w:b/>
              </w:rPr>
            </w:pPr>
            <w:r w:rsidRPr="00D57B9F">
              <w:rPr>
                <w:b/>
              </w:rPr>
              <w:t>TP</w:t>
            </w:r>
          </w:p>
        </w:tc>
        <w:tc>
          <w:tcPr>
            <w:tcW w:w="492" w:type="pct"/>
          </w:tcPr>
          <w:p w:rsidR="003F791C" w:rsidRPr="00D57B9F" w:rsidRDefault="003F791C" w:rsidP="00F84223">
            <w:pPr>
              <w:pStyle w:val="Tabletext"/>
              <w:rPr>
                <w:b/>
              </w:rPr>
            </w:pPr>
            <w:r w:rsidRPr="00D57B9F">
              <w:rPr>
                <w:b/>
              </w:rPr>
              <w:t>FP</w:t>
            </w:r>
          </w:p>
        </w:tc>
        <w:tc>
          <w:tcPr>
            <w:tcW w:w="574" w:type="pct"/>
          </w:tcPr>
          <w:p w:rsidR="003F791C" w:rsidRPr="00D57B9F" w:rsidRDefault="003F791C" w:rsidP="00F84223">
            <w:pPr>
              <w:pStyle w:val="Tabletext"/>
              <w:rPr>
                <w:b/>
              </w:rPr>
            </w:pPr>
            <w:r w:rsidRPr="00D57B9F">
              <w:rPr>
                <w:b/>
              </w:rPr>
              <w:t>TP:FP</w:t>
            </w:r>
          </w:p>
        </w:tc>
        <w:tc>
          <w:tcPr>
            <w:tcW w:w="1002" w:type="pct"/>
          </w:tcPr>
          <w:p w:rsidR="003F791C" w:rsidRPr="00D57B9F" w:rsidRDefault="003F791C" w:rsidP="00F84223">
            <w:pPr>
              <w:pStyle w:val="Tabletext"/>
              <w:rPr>
                <w:b/>
              </w:rPr>
            </w:pPr>
          </w:p>
        </w:tc>
      </w:tr>
      <w:tr w:rsidR="003F791C" w:rsidRPr="00D57B9F" w:rsidTr="00F84223">
        <w:tc>
          <w:tcPr>
            <w:tcW w:w="819" w:type="pct"/>
          </w:tcPr>
          <w:p w:rsidR="003F791C" w:rsidRPr="00D57B9F" w:rsidRDefault="003F791C" w:rsidP="00F84223">
            <w:pPr>
              <w:pStyle w:val="Tabletext"/>
              <w:rPr>
                <w:b/>
              </w:rPr>
            </w:pPr>
            <w:r w:rsidRPr="00D57B9F">
              <w:rPr>
                <w:b/>
              </w:rPr>
              <w:t>Test threshold</w:t>
            </w:r>
          </w:p>
        </w:tc>
        <w:tc>
          <w:tcPr>
            <w:tcW w:w="4181" w:type="pct"/>
            <w:gridSpan w:val="7"/>
          </w:tcPr>
          <w:p w:rsidR="003F791C" w:rsidRPr="00D57B9F" w:rsidRDefault="003F791C" w:rsidP="00F84223">
            <w:pPr>
              <w:pStyle w:val="Tabletext"/>
              <w:rPr>
                <w:b/>
              </w:rPr>
            </w:pPr>
            <w:r w:rsidRPr="00D57B9F">
              <w:rPr>
                <w:b/>
              </w:rPr>
              <w:t>CIN</w:t>
            </w:r>
            <w:r>
              <w:rPr>
                <w:b/>
              </w:rPr>
              <w:t xml:space="preserve"> </w:t>
            </w:r>
            <w:r w:rsidRPr="00D57B9F">
              <w:rPr>
                <w:b/>
              </w:rPr>
              <w:t>1+</w:t>
            </w:r>
          </w:p>
        </w:tc>
      </w:tr>
      <w:tr w:rsidR="003F791C" w:rsidTr="00F84223">
        <w:tc>
          <w:tcPr>
            <w:tcW w:w="819" w:type="pct"/>
          </w:tcPr>
          <w:p w:rsidR="003F791C" w:rsidRDefault="003F791C" w:rsidP="00F84223">
            <w:pPr>
              <w:pStyle w:val="Tabletext"/>
            </w:pPr>
            <w:r>
              <w:t>ASCUS+</w:t>
            </w:r>
          </w:p>
        </w:tc>
        <w:tc>
          <w:tcPr>
            <w:tcW w:w="555" w:type="pct"/>
          </w:tcPr>
          <w:p w:rsidR="003F791C" w:rsidRPr="00144D81" w:rsidRDefault="003F791C" w:rsidP="00F84223">
            <w:pPr>
              <w:pStyle w:val="Tabletext"/>
            </w:pPr>
            <w:r w:rsidRPr="00144D81">
              <w:t>113</w:t>
            </w:r>
          </w:p>
        </w:tc>
        <w:tc>
          <w:tcPr>
            <w:tcW w:w="492" w:type="pct"/>
          </w:tcPr>
          <w:p w:rsidR="003F791C" w:rsidRPr="00144D81" w:rsidRDefault="003F791C" w:rsidP="00F84223">
            <w:pPr>
              <w:pStyle w:val="Tabletext"/>
            </w:pPr>
            <w:r w:rsidRPr="00144D81">
              <w:t>335a</w:t>
            </w:r>
          </w:p>
        </w:tc>
        <w:tc>
          <w:tcPr>
            <w:tcW w:w="574" w:type="pct"/>
            <w:vAlign w:val="bottom"/>
          </w:tcPr>
          <w:p w:rsidR="003F791C" w:rsidRPr="0028143F" w:rsidRDefault="003F791C" w:rsidP="00F84223">
            <w:pPr>
              <w:pStyle w:val="Tabletext"/>
            </w:pPr>
            <w:r w:rsidRPr="0028143F">
              <w:t>0.34:1</w:t>
            </w:r>
          </w:p>
        </w:tc>
        <w:tc>
          <w:tcPr>
            <w:tcW w:w="492" w:type="pct"/>
          </w:tcPr>
          <w:p w:rsidR="003F791C" w:rsidRPr="00144D81" w:rsidRDefault="003F791C" w:rsidP="00F84223">
            <w:pPr>
              <w:pStyle w:val="Tabletext"/>
            </w:pPr>
            <w:r w:rsidRPr="00144D81">
              <w:t>143</w:t>
            </w:r>
          </w:p>
        </w:tc>
        <w:tc>
          <w:tcPr>
            <w:tcW w:w="492" w:type="pct"/>
          </w:tcPr>
          <w:p w:rsidR="003F791C" w:rsidRPr="00144D81" w:rsidRDefault="003F791C" w:rsidP="00F84223">
            <w:pPr>
              <w:pStyle w:val="Tabletext"/>
            </w:pPr>
            <w:r w:rsidRPr="00144D81">
              <w:t>686a</w:t>
            </w:r>
          </w:p>
        </w:tc>
        <w:tc>
          <w:tcPr>
            <w:tcW w:w="574" w:type="pct"/>
            <w:vAlign w:val="bottom"/>
          </w:tcPr>
          <w:p w:rsidR="003F791C" w:rsidRPr="0028143F" w:rsidRDefault="003F791C" w:rsidP="00F84223">
            <w:pPr>
              <w:pStyle w:val="Tabletext"/>
            </w:pPr>
            <w:r w:rsidRPr="0028143F">
              <w:t>0.21:1</w:t>
            </w:r>
          </w:p>
        </w:tc>
        <w:tc>
          <w:tcPr>
            <w:tcW w:w="1002" w:type="pct"/>
            <w:vAlign w:val="bottom"/>
          </w:tcPr>
          <w:p w:rsidR="003F791C" w:rsidRPr="0028143F" w:rsidRDefault="003F791C" w:rsidP="00F84223">
            <w:pPr>
              <w:pStyle w:val="Tabletext"/>
            </w:pPr>
            <w:r w:rsidRPr="0028143F">
              <w:t>-0.12886</w:t>
            </w:r>
          </w:p>
        </w:tc>
      </w:tr>
      <w:tr w:rsidR="003F791C" w:rsidTr="00F84223">
        <w:tc>
          <w:tcPr>
            <w:tcW w:w="819" w:type="pct"/>
          </w:tcPr>
          <w:p w:rsidR="003F791C" w:rsidRDefault="003F791C" w:rsidP="00F84223">
            <w:pPr>
              <w:pStyle w:val="Tabletext"/>
            </w:pPr>
            <w:r>
              <w:t>LSIL+</w:t>
            </w:r>
          </w:p>
        </w:tc>
        <w:tc>
          <w:tcPr>
            <w:tcW w:w="555" w:type="pct"/>
          </w:tcPr>
          <w:p w:rsidR="003F791C" w:rsidRPr="00144D81" w:rsidRDefault="003F791C" w:rsidP="00F84223">
            <w:pPr>
              <w:pStyle w:val="Tabletext"/>
            </w:pPr>
            <w:r w:rsidRPr="00144D81">
              <w:t>74</w:t>
            </w:r>
          </w:p>
        </w:tc>
        <w:tc>
          <w:tcPr>
            <w:tcW w:w="492" w:type="pct"/>
          </w:tcPr>
          <w:p w:rsidR="003F791C" w:rsidRPr="00144D81" w:rsidRDefault="003F791C" w:rsidP="00F84223">
            <w:pPr>
              <w:pStyle w:val="Tabletext"/>
            </w:pPr>
            <w:r w:rsidRPr="00144D81">
              <w:t>122a</w:t>
            </w:r>
          </w:p>
        </w:tc>
        <w:tc>
          <w:tcPr>
            <w:tcW w:w="574" w:type="pct"/>
            <w:vAlign w:val="bottom"/>
          </w:tcPr>
          <w:p w:rsidR="003F791C" w:rsidRPr="0028143F" w:rsidRDefault="003F791C" w:rsidP="00F84223">
            <w:pPr>
              <w:pStyle w:val="Tabletext"/>
            </w:pPr>
            <w:r w:rsidRPr="0028143F">
              <w:t>0.61:1</w:t>
            </w:r>
          </w:p>
        </w:tc>
        <w:tc>
          <w:tcPr>
            <w:tcW w:w="492" w:type="pct"/>
          </w:tcPr>
          <w:p w:rsidR="003F791C" w:rsidRPr="00144D81" w:rsidRDefault="003F791C" w:rsidP="00F84223">
            <w:pPr>
              <w:pStyle w:val="Tabletext"/>
            </w:pPr>
            <w:r w:rsidRPr="00144D81">
              <w:t>98</w:t>
            </w:r>
          </w:p>
        </w:tc>
        <w:tc>
          <w:tcPr>
            <w:tcW w:w="492" w:type="pct"/>
          </w:tcPr>
          <w:p w:rsidR="003F791C" w:rsidRPr="00144D81" w:rsidRDefault="003F791C" w:rsidP="00F84223">
            <w:pPr>
              <w:pStyle w:val="Tabletext"/>
            </w:pPr>
            <w:r w:rsidRPr="00144D81">
              <w:t>220a</w:t>
            </w:r>
          </w:p>
        </w:tc>
        <w:tc>
          <w:tcPr>
            <w:tcW w:w="574" w:type="pct"/>
            <w:vAlign w:val="bottom"/>
          </w:tcPr>
          <w:p w:rsidR="003F791C" w:rsidRPr="0028143F" w:rsidRDefault="003F791C" w:rsidP="00F84223">
            <w:pPr>
              <w:pStyle w:val="Tabletext"/>
            </w:pPr>
            <w:r w:rsidRPr="0028143F">
              <w:t>0.45:1</w:t>
            </w:r>
          </w:p>
        </w:tc>
        <w:tc>
          <w:tcPr>
            <w:tcW w:w="1002" w:type="pct"/>
            <w:vAlign w:val="bottom"/>
          </w:tcPr>
          <w:p w:rsidR="003F791C" w:rsidRPr="0028143F" w:rsidRDefault="003F791C" w:rsidP="00F84223">
            <w:pPr>
              <w:pStyle w:val="Tabletext"/>
            </w:pPr>
            <w:r w:rsidRPr="0028143F">
              <w:t>-0.1611</w:t>
            </w:r>
          </w:p>
        </w:tc>
      </w:tr>
      <w:tr w:rsidR="003F791C" w:rsidTr="00F84223">
        <w:tc>
          <w:tcPr>
            <w:tcW w:w="819" w:type="pct"/>
          </w:tcPr>
          <w:p w:rsidR="003F791C" w:rsidRDefault="003F791C" w:rsidP="00F84223">
            <w:pPr>
              <w:pStyle w:val="Tabletext"/>
            </w:pPr>
            <w:r>
              <w:t>HSIL+</w:t>
            </w:r>
          </w:p>
        </w:tc>
        <w:tc>
          <w:tcPr>
            <w:tcW w:w="555" w:type="pct"/>
          </w:tcPr>
          <w:p w:rsidR="003F791C" w:rsidRPr="00144D81" w:rsidRDefault="003F791C" w:rsidP="00F84223">
            <w:pPr>
              <w:pStyle w:val="Tabletext"/>
            </w:pPr>
            <w:r w:rsidRPr="00144D81">
              <w:t>29</w:t>
            </w:r>
          </w:p>
        </w:tc>
        <w:tc>
          <w:tcPr>
            <w:tcW w:w="492" w:type="pct"/>
          </w:tcPr>
          <w:p w:rsidR="003F791C" w:rsidRPr="00144D81" w:rsidRDefault="003F791C" w:rsidP="00F84223">
            <w:pPr>
              <w:pStyle w:val="Tabletext"/>
            </w:pPr>
            <w:r w:rsidRPr="00144D81">
              <w:t>11a</w:t>
            </w:r>
          </w:p>
        </w:tc>
        <w:tc>
          <w:tcPr>
            <w:tcW w:w="574" w:type="pct"/>
            <w:vAlign w:val="bottom"/>
          </w:tcPr>
          <w:p w:rsidR="003F791C" w:rsidRPr="0028143F" w:rsidRDefault="003F791C" w:rsidP="00F84223">
            <w:pPr>
              <w:pStyle w:val="Tabletext"/>
            </w:pPr>
            <w:r w:rsidRPr="0028143F">
              <w:t>2.64:1</w:t>
            </w:r>
          </w:p>
        </w:tc>
        <w:tc>
          <w:tcPr>
            <w:tcW w:w="492" w:type="pct"/>
          </w:tcPr>
          <w:p w:rsidR="003F791C" w:rsidRPr="00144D81" w:rsidRDefault="003F791C" w:rsidP="00F84223">
            <w:pPr>
              <w:pStyle w:val="Tabletext"/>
            </w:pPr>
            <w:r w:rsidRPr="00144D81">
              <w:t>39</w:t>
            </w:r>
          </w:p>
        </w:tc>
        <w:tc>
          <w:tcPr>
            <w:tcW w:w="492" w:type="pct"/>
          </w:tcPr>
          <w:p w:rsidR="003F791C" w:rsidRPr="00144D81" w:rsidRDefault="003F791C" w:rsidP="00F84223">
            <w:pPr>
              <w:pStyle w:val="Tabletext"/>
            </w:pPr>
            <w:r w:rsidRPr="00144D81">
              <w:t>11a</w:t>
            </w:r>
          </w:p>
        </w:tc>
        <w:tc>
          <w:tcPr>
            <w:tcW w:w="574" w:type="pct"/>
            <w:vAlign w:val="bottom"/>
          </w:tcPr>
          <w:p w:rsidR="003F791C" w:rsidRPr="0028143F" w:rsidRDefault="003F791C" w:rsidP="00F84223">
            <w:pPr>
              <w:pStyle w:val="Tabletext"/>
            </w:pPr>
            <w:r w:rsidRPr="0028143F">
              <w:t>3.55:1</w:t>
            </w:r>
          </w:p>
        </w:tc>
        <w:tc>
          <w:tcPr>
            <w:tcW w:w="1002" w:type="pct"/>
            <w:vAlign w:val="bottom"/>
          </w:tcPr>
          <w:p w:rsidR="003F791C" w:rsidRPr="0028143F" w:rsidRDefault="003F791C" w:rsidP="00F84223">
            <w:pPr>
              <w:pStyle w:val="Tabletext"/>
            </w:pPr>
            <w:r w:rsidRPr="0028143F">
              <w:t>0.909091</w:t>
            </w:r>
          </w:p>
        </w:tc>
      </w:tr>
      <w:tr w:rsidR="003F791C" w:rsidRPr="00D57B9F" w:rsidTr="00F84223">
        <w:tc>
          <w:tcPr>
            <w:tcW w:w="819" w:type="pct"/>
          </w:tcPr>
          <w:p w:rsidR="003F791C" w:rsidRPr="00D57B9F" w:rsidRDefault="003F791C" w:rsidP="00F84223">
            <w:pPr>
              <w:pStyle w:val="Tabletext"/>
              <w:rPr>
                <w:b/>
              </w:rPr>
            </w:pPr>
          </w:p>
        </w:tc>
        <w:tc>
          <w:tcPr>
            <w:tcW w:w="4181" w:type="pct"/>
            <w:gridSpan w:val="7"/>
          </w:tcPr>
          <w:p w:rsidR="003F791C" w:rsidRPr="00D57B9F" w:rsidRDefault="003F791C" w:rsidP="00F84223">
            <w:pPr>
              <w:pStyle w:val="Tabletext"/>
              <w:rPr>
                <w:b/>
              </w:rPr>
            </w:pPr>
            <w:r w:rsidRPr="00D57B9F">
              <w:rPr>
                <w:b/>
              </w:rPr>
              <w:t>CIN</w:t>
            </w:r>
            <w:r>
              <w:rPr>
                <w:b/>
              </w:rPr>
              <w:t xml:space="preserve"> </w:t>
            </w:r>
            <w:r w:rsidRPr="00D57B9F">
              <w:rPr>
                <w:b/>
              </w:rPr>
              <w:t>2+</w:t>
            </w:r>
          </w:p>
        </w:tc>
      </w:tr>
      <w:tr w:rsidR="003F791C" w:rsidTr="00F84223">
        <w:tc>
          <w:tcPr>
            <w:tcW w:w="819" w:type="pct"/>
          </w:tcPr>
          <w:p w:rsidR="003F791C" w:rsidRDefault="003F791C" w:rsidP="00F84223">
            <w:pPr>
              <w:pStyle w:val="Tabletext"/>
            </w:pPr>
            <w:r>
              <w:t>ASCUS+</w:t>
            </w:r>
          </w:p>
        </w:tc>
        <w:tc>
          <w:tcPr>
            <w:tcW w:w="555" w:type="pct"/>
          </w:tcPr>
          <w:p w:rsidR="003F791C" w:rsidRPr="00144D81" w:rsidRDefault="003F791C" w:rsidP="00F84223">
            <w:pPr>
              <w:pStyle w:val="Tabletext"/>
            </w:pPr>
            <w:r w:rsidRPr="00144D81">
              <w:t>51</w:t>
            </w:r>
          </w:p>
        </w:tc>
        <w:tc>
          <w:tcPr>
            <w:tcW w:w="492" w:type="pct"/>
          </w:tcPr>
          <w:p w:rsidR="003F791C" w:rsidRPr="00144D81" w:rsidRDefault="003F791C" w:rsidP="00F84223">
            <w:pPr>
              <w:pStyle w:val="Tabletext"/>
            </w:pPr>
            <w:r w:rsidRPr="00144D81">
              <w:t>397a</w:t>
            </w:r>
          </w:p>
        </w:tc>
        <w:tc>
          <w:tcPr>
            <w:tcW w:w="574" w:type="pct"/>
            <w:vAlign w:val="bottom"/>
          </w:tcPr>
          <w:p w:rsidR="003F791C" w:rsidRPr="0028143F" w:rsidRDefault="003F791C" w:rsidP="00F84223">
            <w:pPr>
              <w:pStyle w:val="Tabletext"/>
            </w:pPr>
            <w:r w:rsidRPr="0028143F">
              <w:t>0.13:1</w:t>
            </w:r>
          </w:p>
        </w:tc>
        <w:tc>
          <w:tcPr>
            <w:tcW w:w="492" w:type="pct"/>
          </w:tcPr>
          <w:p w:rsidR="003F791C" w:rsidRPr="00144D81" w:rsidRDefault="003F791C" w:rsidP="00F84223">
            <w:pPr>
              <w:pStyle w:val="Tabletext"/>
            </w:pPr>
            <w:r w:rsidRPr="00144D81">
              <w:t>46</w:t>
            </w:r>
          </w:p>
        </w:tc>
        <w:tc>
          <w:tcPr>
            <w:tcW w:w="492" w:type="pct"/>
          </w:tcPr>
          <w:p w:rsidR="003F791C" w:rsidRPr="00144D81" w:rsidRDefault="003F791C" w:rsidP="00F84223">
            <w:pPr>
              <w:pStyle w:val="Tabletext"/>
            </w:pPr>
            <w:r w:rsidRPr="00144D81">
              <w:t>783a</w:t>
            </w:r>
          </w:p>
        </w:tc>
        <w:tc>
          <w:tcPr>
            <w:tcW w:w="574" w:type="pct"/>
            <w:vAlign w:val="bottom"/>
          </w:tcPr>
          <w:p w:rsidR="003F791C" w:rsidRPr="0028143F" w:rsidRDefault="003F791C" w:rsidP="00F84223">
            <w:pPr>
              <w:pStyle w:val="Tabletext"/>
            </w:pPr>
            <w:r w:rsidRPr="0028143F">
              <w:t>0.06:1</w:t>
            </w:r>
          </w:p>
        </w:tc>
        <w:tc>
          <w:tcPr>
            <w:tcW w:w="1002" w:type="pct"/>
            <w:vAlign w:val="bottom"/>
          </w:tcPr>
          <w:p w:rsidR="003F791C" w:rsidRPr="0028143F" w:rsidRDefault="003F791C" w:rsidP="00F84223">
            <w:pPr>
              <w:pStyle w:val="Tabletext"/>
            </w:pPr>
            <w:r w:rsidRPr="0028143F">
              <w:t>-0.06972</w:t>
            </w:r>
          </w:p>
        </w:tc>
      </w:tr>
      <w:tr w:rsidR="003F791C" w:rsidTr="00F84223">
        <w:tc>
          <w:tcPr>
            <w:tcW w:w="819" w:type="pct"/>
          </w:tcPr>
          <w:p w:rsidR="003F791C" w:rsidRDefault="003F791C" w:rsidP="00F84223">
            <w:pPr>
              <w:pStyle w:val="Tabletext"/>
            </w:pPr>
            <w:r>
              <w:t>LSIL+</w:t>
            </w:r>
          </w:p>
        </w:tc>
        <w:tc>
          <w:tcPr>
            <w:tcW w:w="555" w:type="pct"/>
          </w:tcPr>
          <w:p w:rsidR="003F791C" w:rsidRPr="00144D81" w:rsidRDefault="003F791C" w:rsidP="00F84223">
            <w:pPr>
              <w:pStyle w:val="Tabletext"/>
            </w:pPr>
            <w:r w:rsidRPr="00144D81">
              <w:t>42</w:t>
            </w:r>
          </w:p>
        </w:tc>
        <w:tc>
          <w:tcPr>
            <w:tcW w:w="492" w:type="pct"/>
          </w:tcPr>
          <w:p w:rsidR="003F791C" w:rsidRPr="00144D81" w:rsidRDefault="003F791C" w:rsidP="00F84223">
            <w:pPr>
              <w:pStyle w:val="Tabletext"/>
            </w:pPr>
            <w:r w:rsidRPr="00144D81">
              <w:t>154a</w:t>
            </w:r>
          </w:p>
        </w:tc>
        <w:tc>
          <w:tcPr>
            <w:tcW w:w="574" w:type="pct"/>
            <w:vAlign w:val="bottom"/>
          </w:tcPr>
          <w:p w:rsidR="003F791C" w:rsidRPr="0028143F" w:rsidRDefault="003F791C" w:rsidP="00F84223">
            <w:pPr>
              <w:pStyle w:val="Tabletext"/>
            </w:pPr>
            <w:r w:rsidRPr="0028143F">
              <w:t>0.27:1</w:t>
            </w:r>
          </w:p>
        </w:tc>
        <w:tc>
          <w:tcPr>
            <w:tcW w:w="492" w:type="pct"/>
          </w:tcPr>
          <w:p w:rsidR="003F791C" w:rsidRPr="00144D81" w:rsidRDefault="003F791C" w:rsidP="00F84223">
            <w:pPr>
              <w:pStyle w:val="Tabletext"/>
            </w:pPr>
            <w:r w:rsidRPr="00144D81">
              <w:t>40</w:t>
            </w:r>
          </w:p>
        </w:tc>
        <w:tc>
          <w:tcPr>
            <w:tcW w:w="492" w:type="pct"/>
          </w:tcPr>
          <w:p w:rsidR="003F791C" w:rsidRPr="00144D81" w:rsidRDefault="003F791C" w:rsidP="00F84223">
            <w:pPr>
              <w:pStyle w:val="Tabletext"/>
            </w:pPr>
            <w:r w:rsidRPr="00144D81">
              <w:t>278a</w:t>
            </w:r>
          </w:p>
        </w:tc>
        <w:tc>
          <w:tcPr>
            <w:tcW w:w="574" w:type="pct"/>
            <w:vAlign w:val="bottom"/>
          </w:tcPr>
          <w:p w:rsidR="003F791C" w:rsidRPr="0028143F" w:rsidRDefault="003F791C" w:rsidP="00F84223">
            <w:pPr>
              <w:pStyle w:val="Tabletext"/>
            </w:pPr>
            <w:r w:rsidRPr="0028143F">
              <w:t>0.14:1</w:t>
            </w:r>
          </w:p>
        </w:tc>
        <w:tc>
          <w:tcPr>
            <w:tcW w:w="1002" w:type="pct"/>
            <w:vAlign w:val="bottom"/>
          </w:tcPr>
          <w:p w:rsidR="003F791C" w:rsidRPr="0028143F" w:rsidRDefault="003F791C" w:rsidP="00F84223">
            <w:pPr>
              <w:pStyle w:val="Tabletext"/>
            </w:pPr>
            <w:r w:rsidRPr="0028143F">
              <w:t>-0.12884</w:t>
            </w:r>
          </w:p>
        </w:tc>
      </w:tr>
      <w:tr w:rsidR="003F791C" w:rsidTr="00F84223">
        <w:tc>
          <w:tcPr>
            <w:tcW w:w="819" w:type="pct"/>
          </w:tcPr>
          <w:p w:rsidR="003F791C" w:rsidRDefault="003F791C" w:rsidP="00F84223">
            <w:pPr>
              <w:pStyle w:val="Tabletext"/>
            </w:pPr>
            <w:r>
              <w:t>HSIL+</w:t>
            </w:r>
          </w:p>
        </w:tc>
        <w:tc>
          <w:tcPr>
            <w:tcW w:w="555" w:type="pct"/>
          </w:tcPr>
          <w:p w:rsidR="003F791C" w:rsidRPr="00144D81" w:rsidRDefault="003F791C" w:rsidP="00F84223">
            <w:pPr>
              <w:pStyle w:val="Tabletext"/>
            </w:pPr>
            <w:r w:rsidRPr="00144D81">
              <w:t>26</w:t>
            </w:r>
          </w:p>
        </w:tc>
        <w:tc>
          <w:tcPr>
            <w:tcW w:w="492" w:type="pct"/>
          </w:tcPr>
          <w:p w:rsidR="003F791C" w:rsidRPr="00144D81" w:rsidRDefault="003F791C" w:rsidP="00F84223">
            <w:pPr>
              <w:pStyle w:val="Tabletext"/>
            </w:pPr>
            <w:r w:rsidRPr="00144D81">
              <w:t>14a</w:t>
            </w:r>
          </w:p>
        </w:tc>
        <w:tc>
          <w:tcPr>
            <w:tcW w:w="574" w:type="pct"/>
            <w:vAlign w:val="bottom"/>
          </w:tcPr>
          <w:p w:rsidR="003F791C" w:rsidRPr="0028143F" w:rsidRDefault="003F791C" w:rsidP="00F84223">
            <w:pPr>
              <w:pStyle w:val="Tabletext"/>
            </w:pPr>
            <w:r w:rsidRPr="0028143F">
              <w:t>1.86:1</w:t>
            </w:r>
          </w:p>
        </w:tc>
        <w:tc>
          <w:tcPr>
            <w:tcW w:w="492" w:type="pct"/>
          </w:tcPr>
          <w:p w:rsidR="003F791C" w:rsidRPr="00144D81" w:rsidRDefault="003F791C" w:rsidP="00F84223">
            <w:pPr>
              <w:pStyle w:val="Tabletext"/>
            </w:pPr>
            <w:r w:rsidRPr="00144D81">
              <w:t>30</w:t>
            </w:r>
          </w:p>
        </w:tc>
        <w:tc>
          <w:tcPr>
            <w:tcW w:w="492" w:type="pct"/>
          </w:tcPr>
          <w:p w:rsidR="003F791C" w:rsidRPr="00144D81" w:rsidRDefault="003F791C" w:rsidP="00F84223">
            <w:pPr>
              <w:pStyle w:val="Tabletext"/>
            </w:pPr>
            <w:r w:rsidRPr="00144D81">
              <w:t>20a</w:t>
            </w:r>
          </w:p>
        </w:tc>
        <w:tc>
          <w:tcPr>
            <w:tcW w:w="574" w:type="pct"/>
            <w:vAlign w:val="bottom"/>
          </w:tcPr>
          <w:p w:rsidR="003F791C" w:rsidRPr="0028143F" w:rsidRDefault="003F791C" w:rsidP="00F84223">
            <w:pPr>
              <w:pStyle w:val="Tabletext"/>
            </w:pPr>
            <w:r w:rsidRPr="0028143F">
              <w:t>1.5:1</w:t>
            </w:r>
          </w:p>
        </w:tc>
        <w:tc>
          <w:tcPr>
            <w:tcW w:w="1002" w:type="pct"/>
            <w:vAlign w:val="bottom"/>
          </w:tcPr>
          <w:p w:rsidR="003F791C" w:rsidRPr="0028143F" w:rsidRDefault="003F791C" w:rsidP="00F84223">
            <w:pPr>
              <w:pStyle w:val="Tabletext"/>
            </w:pPr>
            <w:r w:rsidRPr="0028143F">
              <w:t>-0.35714</w:t>
            </w:r>
          </w:p>
        </w:tc>
      </w:tr>
      <w:tr w:rsidR="003F791C" w:rsidRPr="00D57B9F" w:rsidTr="00F84223">
        <w:tc>
          <w:tcPr>
            <w:tcW w:w="819" w:type="pct"/>
          </w:tcPr>
          <w:p w:rsidR="003F791C" w:rsidRPr="00D57B9F" w:rsidRDefault="003F791C" w:rsidP="00F84223">
            <w:pPr>
              <w:pStyle w:val="Tabletext"/>
              <w:rPr>
                <w:b/>
              </w:rPr>
            </w:pPr>
          </w:p>
        </w:tc>
        <w:tc>
          <w:tcPr>
            <w:tcW w:w="4181" w:type="pct"/>
            <w:gridSpan w:val="7"/>
          </w:tcPr>
          <w:p w:rsidR="003F791C" w:rsidRPr="00D57B9F" w:rsidRDefault="003F791C" w:rsidP="00F84223">
            <w:pPr>
              <w:pStyle w:val="Tabletext"/>
              <w:rPr>
                <w:b/>
              </w:rPr>
            </w:pPr>
            <w:r w:rsidRPr="00D57B9F">
              <w:rPr>
                <w:b/>
              </w:rPr>
              <w:t>CIN</w:t>
            </w:r>
            <w:r>
              <w:rPr>
                <w:b/>
              </w:rPr>
              <w:t xml:space="preserve"> </w:t>
            </w:r>
            <w:r w:rsidRPr="00D57B9F">
              <w:rPr>
                <w:b/>
              </w:rPr>
              <w:t>3+</w:t>
            </w:r>
          </w:p>
        </w:tc>
      </w:tr>
      <w:tr w:rsidR="003F791C" w:rsidTr="00F84223">
        <w:tc>
          <w:tcPr>
            <w:tcW w:w="819" w:type="pct"/>
          </w:tcPr>
          <w:p w:rsidR="003F791C" w:rsidRDefault="003F791C" w:rsidP="00F84223">
            <w:pPr>
              <w:pStyle w:val="Tabletext"/>
            </w:pPr>
            <w:r>
              <w:t>ASCUS+</w:t>
            </w:r>
          </w:p>
        </w:tc>
        <w:tc>
          <w:tcPr>
            <w:tcW w:w="555" w:type="pct"/>
          </w:tcPr>
          <w:p w:rsidR="003F791C" w:rsidRPr="00144D81" w:rsidRDefault="003F791C" w:rsidP="00F84223">
            <w:pPr>
              <w:pStyle w:val="Tabletext"/>
            </w:pPr>
            <w:r w:rsidRPr="00144D81">
              <w:t>31</w:t>
            </w:r>
          </w:p>
        </w:tc>
        <w:tc>
          <w:tcPr>
            <w:tcW w:w="492" w:type="pct"/>
          </w:tcPr>
          <w:p w:rsidR="003F791C" w:rsidRPr="00144D81" w:rsidRDefault="003F791C" w:rsidP="00F84223">
            <w:pPr>
              <w:pStyle w:val="Tabletext"/>
            </w:pPr>
            <w:r w:rsidRPr="00144D81">
              <w:t>417a</w:t>
            </w:r>
          </w:p>
        </w:tc>
        <w:tc>
          <w:tcPr>
            <w:tcW w:w="574" w:type="pct"/>
            <w:vAlign w:val="bottom"/>
          </w:tcPr>
          <w:p w:rsidR="003F791C" w:rsidRPr="0028143F" w:rsidRDefault="003F791C" w:rsidP="00F84223">
            <w:pPr>
              <w:pStyle w:val="Tabletext"/>
            </w:pPr>
            <w:r w:rsidRPr="0028143F">
              <w:t>0.07:1</w:t>
            </w:r>
          </w:p>
        </w:tc>
        <w:tc>
          <w:tcPr>
            <w:tcW w:w="492" w:type="pct"/>
          </w:tcPr>
          <w:p w:rsidR="003F791C" w:rsidRPr="00144D81" w:rsidRDefault="003F791C" w:rsidP="00F84223">
            <w:pPr>
              <w:pStyle w:val="Tabletext"/>
            </w:pPr>
            <w:r w:rsidRPr="00144D81">
              <w:t>31</w:t>
            </w:r>
          </w:p>
        </w:tc>
        <w:tc>
          <w:tcPr>
            <w:tcW w:w="492" w:type="pct"/>
          </w:tcPr>
          <w:p w:rsidR="003F791C" w:rsidRPr="00144D81" w:rsidRDefault="003F791C" w:rsidP="00F84223">
            <w:pPr>
              <w:pStyle w:val="Tabletext"/>
            </w:pPr>
            <w:r w:rsidRPr="00144D81">
              <w:t>798a</w:t>
            </w:r>
          </w:p>
        </w:tc>
        <w:tc>
          <w:tcPr>
            <w:tcW w:w="574" w:type="pct"/>
            <w:vAlign w:val="bottom"/>
          </w:tcPr>
          <w:p w:rsidR="003F791C" w:rsidRPr="0028143F" w:rsidRDefault="003F791C" w:rsidP="00F84223">
            <w:pPr>
              <w:pStyle w:val="Tabletext"/>
            </w:pPr>
            <w:r w:rsidRPr="0028143F">
              <w:t>0.04:1</w:t>
            </w:r>
          </w:p>
        </w:tc>
        <w:tc>
          <w:tcPr>
            <w:tcW w:w="1002" w:type="pct"/>
            <w:vAlign w:val="bottom"/>
          </w:tcPr>
          <w:p w:rsidR="003F791C" w:rsidRPr="0028143F" w:rsidRDefault="003F791C" w:rsidP="00F84223">
            <w:pPr>
              <w:pStyle w:val="Tabletext"/>
            </w:pPr>
            <w:r w:rsidRPr="0028143F">
              <w:t>-0.03549</w:t>
            </w:r>
          </w:p>
        </w:tc>
      </w:tr>
      <w:tr w:rsidR="003F791C" w:rsidTr="00F84223">
        <w:tc>
          <w:tcPr>
            <w:tcW w:w="819" w:type="pct"/>
          </w:tcPr>
          <w:p w:rsidR="003F791C" w:rsidRDefault="003F791C" w:rsidP="00F84223">
            <w:pPr>
              <w:pStyle w:val="Tabletext"/>
            </w:pPr>
            <w:r>
              <w:t>LSIL+</w:t>
            </w:r>
          </w:p>
        </w:tc>
        <w:tc>
          <w:tcPr>
            <w:tcW w:w="555" w:type="pct"/>
          </w:tcPr>
          <w:p w:rsidR="003F791C" w:rsidRPr="00144D81" w:rsidRDefault="003F791C" w:rsidP="00F84223">
            <w:pPr>
              <w:pStyle w:val="Tabletext"/>
            </w:pPr>
            <w:r w:rsidRPr="00144D81">
              <w:t>26</w:t>
            </w:r>
          </w:p>
        </w:tc>
        <w:tc>
          <w:tcPr>
            <w:tcW w:w="492" w:type="pct"/>
          </w:tcPr>
          <w:p w:rsidR="003F791C" w:rsidRPr="00144D81" w:rsidRDefault="003F791C" w:rsidP="00F84223">
            <w:pPr>
              <w:pStyle w:val="Tabletext"/>
            </w:pPr>
            <w:r w:rsidRPr="00144D81">
              <w:t>170a</w:t>
            </w:r>
          </w:p>
        </w:tc>
        <w:tc>
          <w:tcPr>
            <w:tcW w:w="574" w:type="pct"/>
            <w:vAlign w:val="bottom"/>
          </w:tcPr>
          <w:p w:rsidR="003F791C" w:rsidRPr="0028143F" w:rsidRDefault="003F791C" w:rsidP="00F84223">
            <w:pPr>
              <w:pStyle w:val="Tabletext"/>
            </w:pPr>
            <w:r w:rsidRPr="0028143F">
              <w:t>0.15:1</w:t>
            </w:r>
          </w:p>
        </w:tc>
        <w:tc>
          <w:tcPr>
            <w:tcW w:w="492" w:type="pct"/>
          </w:tcPr>
          <w:p w:rsidR="003F791C" w:rsidRPr="00144D81" w:rsidRDefault="003F791C" w:rsidP="00F84223">
            <w:pPr>
              <w:pStyle w:val="Tabletext"/>
            </w:pPr>
            <w:r w:rsidRPr="00144D81">
              <w:t>25</w:t>
            </w:r>
          </w:p>
        </w:tc>
        <w:tc>
          <w:tcPr>
            <w:tcW w:w="492" w:type="pct"/>
          </w:tcPr>
          <w:p w:rsidR="003F791C" w:rsidRPr="00144D81" w:rsidRDefault="003F791C" w:rsidP="00F84223">
            <w:pPr>
              <w:pStyle w:val="Tabletext"/>
            </w:pPr>
            <w:r w:rsidRPr="00144D81">
              <w:t>293a</w:t>
            </w:r>
          </w:p>
        </w:tc>
        <w:tc>
          <w:tcPr>
            <w:tcW w:w="574" w:type="pct"/>
            <w:vAlign w:val="bottom"/>
          </w:tcPr>
          <w:p w:rsidR="003F791C" w:rsidRPr="0028143F" w:rsidRDefault="003F791C" w:rsidP="00F84223">
            <w:pPr>
              <w:pStyle w:val="Tabletext"/>
            </w:pPr>
            <w:r w:rsidRPr="0028143F">
              <w:t>0.09:1</w:t>
            </w:r>
          </w:p>
        </w:tc>
        <w:tc>
          <w:tcPr>
            <w:tcW w:w="1002" w:type="pct"/>
            <w:vAlign w:val="bottom"/>
          </w:tcPr>
          <w:p w:rsidR="003F791C" w:rsidRPr="0028143F" w:rsidRDefault="003F791C" w:rsidP="00F84223">
            <w:pPr>
              <w:pStyle w:val="Tabletext"/>
            </w:pPr>
            <w:r w:rsidRPr="0028143F">
              <w:t>-0.06762</w:t>
            </w:r>
          </w:p>
        </w:tc>
      </w:tr>
      <w:tr w:rsidR="003F791C" w:rsidTr="00F84223">
        <w:tc>
          <w:tcPr>
            <w:tcW w:w="819" w:type="pct"/>
          </w:tcPr>
          <w:p w:rsidR="003F791C" w:rsidRDefault="003F791C" w:rsidP="00F84223">
            <w:pPr>
              <w:pStyle w:val="Tabletext"/>
            </w:pPr>
            <w:r>
              <w:t>HSIL+</w:t>
            </w:r>
          </w:p>
        </w:tc>
        <w:tc>
          <w:tcPr>
            <w:tcW w:w="555" w:type="pct"/>
          </w:tcPr>
          <w:p w:rsidR="003F791C" w:rsidRPr="00144D81" w:rsidRDefault="003F791C" w:rsidP="00F84223">
            <w:pPr>
              <w:pStyle w:val="Tabletext"/>
            </w:pPr>
            <w:r w:rsidRPr="00144D81">
              <w:t>18</w:t>
            </w:r>
          </w:p>
        </w:tc>
        <w:tc>
          <w:tcPr>
            <w:tcW w:w="492" w:type="pct"/>
          </w:tcPr>
          <w:p w:rsidR="003F791C" w:rsidRPr="00144D81" w:rsidRDefault="003F791C" w:rsidP="00F84223">
            <w:pPr>
              <w:pStyle w:val="Tabletext"/>
            </w:pPr>
            <w:r w:rsidRPr="00144D81">
              <w:t>22a</w:t>
            </w:r>
          </w:p>
        </w:tc>
        <w:tc>
          <w:tcPr>
            <w:tcW w:w="574" w:type="pct"/>
            <w:vAlign w:val="bottom"/>
          </w:tcPr>
          <w:p w:rsidR="003F791C" w:rsidRPr="0028143F" w:rsidRDefault="003F791C" w:rsidP="00F84223">
            <w:pPr>
              <w:pStyle w:val="Tabletext"/>
            </w:pPr>
            <w:r w:rsidRPr="0028143F">
              <w:t>0.82:1</w:t>
            </w:r>
          </w:p>
        </w:tc>
        <w:tc>
          <w:tcPr>
            <w:tcW w:w="492" w:type="pct"/>
          </w:tcPr>
          <w:p w:rsidR="003F791C" w:rsidRPr="00144D81" w:rsidRDefault="003F791C" w:rsidP="00F84223">
            <w:pPr>
              <w:pStyle w:val="Tabletext"/>
            </w:pPr>
            <w:r w:rsidRPr="00144D81">
              <w:t>19</w:t>
            </w:r>
          </w:p>
        </w:tc>
        <w:tc>
          <w:tcPr>
            <w:tcW w:w="492" w:type="pct"/>
          </w:tcPr>
          <w:p w:rsidR="003F791C" w:rsidRPr="00144D81" w:rsidRDefault="003F791C" w:rsidP="00F84223">
            <w:pPr>
              <w:pStyle w:val="Tabletext"/>
            </w:pPr>
            <w:r w:rsidRPr="00144D81">
              <w:t>31a</w:t>
            </w:r>
          </w:p>
        </w:tc>
        <w:tc>
          <w:tcPr>
            <w:tcW w:w="574" w:type="pct"/>
            <w:vAlign w:val="bottom"/>
          </w:tcPr>
          <w:p w:rsidR="003F791C" w:rsidRPr="0028143F" w:rsidRDefault="003F791C" w:rsidP="00F84223">
            <w:pPr>
              <w:pStyle w:val="Tabletext"/>
            </w:pPr>
            <w:r w:rsidRPr="0028143F">
              <w:t>0.61:1</w:t>
            </w:r>
          </w:p>
        </w:tc>
        <w:tc>
          <w:tcPr>
            <w:tcW w:w="1002" w:type="pct"/>
            <w:vAlign w:val="bottom"/>
          </w:tcPr>
          <w:p w:rsidR="003F791C" w:rsidRPr="0028143F" w:rsidRDefault="003F791C" w:rsidP="00F84223">
            <w:pPr>
              <w:pStyle w:val="Tabletext"/>
            </w:pPr>
            <w:r w:rsidRPr="0028143F">
              <w:t>-0.20528</w:t>
            </w:r>
          </w:p>
        </w:tc>
      </w:tr>
      <w:tr w:rsidR="003F791C" w:rsidTr="00F84223">
        <w:tc>
          <w:tcPr>
            <w:tcW w:w="819" w:type="pct"/>
          </w:tcPr>
          <w:p w:rsidR="003F791C" w:rsidRDefault="003F791C" w:rsidP="00F84223">
            <w:pPr>
              <w:pStyle w:val="Tabletext"/>
            </w:pPr>
            <w:r>
              <w:t>Source</w:t>
            </w:r>
          </w:p>
        </w:tc>
        <w:tc>
          <w:tcPr>
            <w:tcW w:w="4181" w:type="pct"/>
            <w:gridSpan w:val="7"/>
          </w:tcPr>
          <w:p w:rsidR="003F791C" w:rsidRPr="0028143F" w:rsidRDefault="005F6015" w:rsidP="00F84223">
            <w:pPr>
              <w:pStyle w:val="Tabletext"/>
            </w:pPr>
            <w:r w:rsidRPr="005F6015">
              <w:t>Attachment 4</w:t>
            </w:r>
          </w:p>
        </w:tc>
      </w:tr>
    </w:tbl>
    <w:p w:rsidR="003F791C" w:rsidRDefault="003F791C" w:rsidP="00AB012A">
      <w:pPr>
        <w:pStyle w:val="Tabletext"/>
        <w:numPr>
          <w:ilvl w:val="0"/>
          <w:numId w:val="29"/>
        </w:numPr>
      </w:pPr>
      <w:r>
        <w:t>Does not include those patients who did not have a colposcopy as the reason that no colposcopy was performed is not explained. It is possible that the patient was lost to follow up and therefore inclusion in the FP category would be inappropriate.\</w:t>
      </w:r>
    </w:p>
    <w:p w:rsidR="003F791C" w:rsidRDefault="003F791C" w:rsidP="003F791C"/>
    <w:p w:rsidR="003F791C" w:rsidRDefault="003F791C" w:rsidP="003F791C">
      <w:r>
        <w:t>Generally there was a higher rate of true4 positive results for all reference standards across all test thresholds with cell filtration LBC compared to CC in the NETHCON trial (</w:t>
      </w:r>
      <w:r w:rsidR="00086C77">
        <w:fldChar w:fldCharType="begin"/>
      </w:r>
      <w:r w:rsidR="00086C77">
        <w:instrText xml:space="preserve"> REF _Ref334778149 \h  \* MERGEFORMAT </w:instrText>
      </w:r>
      <w:r w:rsidR="00086C77">
        <w:fldChar w:fldCharType="separate"/>
      </w:r>
      <w:r w:rsidR="003361A8">
        <w:t>Table 108</w:t>
      </w:r>
      <w:r w:rsidR="00086C77">
        <w:fldChar w:fldCharType="end"/>
      </w:r>
      <w:r>
        <w:t xml:space="preserve">). The incremental rate of true positives for cell filtration LBC compared with CC was less than 1 in all cases except for the LSIL+ and HSIL+ test threshold which resulted in almost two and five more histological abnormalities detected with cell filtration LBC. </w:t>
      </w:r>
    </w:p>
    <w:p w:rsidR="003F791C" w:rsidRPr="006B2F62" w:rsidRDefault="003F791C" w:rsidP="003F791C">
      <w:pPr>
        <w:pStyle w:val="Caption"/>
      </w:pPr>
      <w:bookmarkStart w:id="673" w:name="_Ref334778149"/>
      <w:bookmarkStart w:id="674" w:name="_Toc335666035"/>
      <w:bookmarkStart w:id="675" w:name="_Toc337547048"/>
      <w:r>
        <w:lastRenderedPageBreak/>
        <w:t xml:space="preserve">Table </w:t>
      </w:r>
      <w:fldSimple w:instr=" SEQ Table \* ARABIC ">
        <w:r w:rsidR="003361A8">
          <w:rPr>
            <w:noProof/>
          </w:rPr>
          <w:t>108</w:t>
        </w:r>
      </w:fldSimple>
      <w:bookmarkEnd w:id="673"/>
      <w:r>
        <w:tab/>
        <w:t>True positive: false positive; for histology CIN 1+, CIN 2+ and CIN 3+: CC versus cell filtration LBC: NETHCON</w:t>
      </w:r>
      <w:r w:rsidR="006B2F62">
        <w:t xml:space="preserve">: </w:t>
      </w:r>
      <w:r>
        <w:t>Siebers 2009</w:t>
      </w:r>
      <w:bookmarkEnd w:id="674"/>
      <w:bookmarkEnd w:id="67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1000"/>
        <w:gridCol w:w="886"/>
        <w:gridCol w:w="920"/>
        <w:gridCol w:w="850"/>
        <w:gridCol w:w="738"/>
        <w:gridCol w:w="1181"/>
        <w:gridCol w:w="1950"/>
      </w:tblGrid>
      <w:tr w:rsidR="003F791C" w:rsidRPr="00D57B9F" w:rsidTr="00F84223">
        <w:tc>
          <w:tcPr>
            <w:tcW w:w="821" w:type="pct"/>
          </w:tcPr>
          <w:p w:rsidR="003F791C" w:rsidRPr="00D57B9F" w:rsidRDefault="003F791C" w:rsidP="00F84223">
            <w:pPr>
              <w:pStyle w:val="Tabletext"/>
              <w:rPr>
                <w:b/>
              </w:rPr>
            </w:pPr>
          </w:p>
        </w:tc>
        <w:tc>
          <w:tcPr>
            <w:tcW w:w="1558" w:type="pct"/>
            <w:gridSpan w:val="3"/>
          </w:tcPr>
          <w:p w:rsidR="003F791C" w:rsidRPr="00D57B9F" w:rsidRDefault="003F791C" w:rsidP="00F84223">
            <w:pPr>
              <w:pStyle w:val="Tabletext"/>
              <w:rPr>
                <w:b/>
              </w:rPr>
            </w:pPr>
            <w:r w:rsidRPr="00D57B9F">
              <w:rPr>
                <w:b/>
              </w:rPr>
              <w:t>Conventional</w:t>
            </w:r>
          </w:p>
        </w:tc>
        <w:tc>
          <w:tcPr>
            <w:tcW w:w="1538" w:type="pct"/>
            <w:gridSpan w:val="3"/>
          </w:tcPr>
          <w:p w:rsidR="003F791C" w:rsidRPr="00D57B9F" w:rsidRDefault="003F791C" w:rsidP="00F84223">
            <w:pPr>
              <w:pStyle w:val="Tabletext"/>
              <w:rPr>
                <w:b/>
              </w:rPr>
            </w:pPr>
            <w:r w:rsidRPr="00D57B9F">
              <w:rPr>
                <w:b/>
              </w:rPr>
              <w:t>LBC</w:t>
            </w:r>
          </w:p>
        </w:tc>
        <w:tc>
          <w:tcPr>
            <w:tcW w:w="1083" w:type="pct"/>
          </w:tcPr>
          <w:p w:rsidR="003F791C" w:rsidRPr="00D57B9F" w:rsidRDefault="003F791C" w:rsidP="00F84223">
            <w:pPr>
              <w:pStyle w:val="Tabletext"/>
              <w:rPr>
                <w:b/>
              </w:rPr>
            </w:pPr>
            <w:r w:rsidRPr="00D57B9F">
              <w:rPr>
                <w:b/>
              </w:rPr>
              <w:t>Incremental rate true positive</w:t>
            </w:r>
          </w:p>
        </w:tc>
      </w:tr>
      <w:tr w:rsidR="003F791C" w:rsidRPr="00D57B9F" w:rsidTr="00F84223">
        <w:tc>
          <w:tcPr>
            <w:tcW w:w="821" w:type="pct"/>
          </w:tcPr>
          <w:p w:rsidR="003F791C" w:rsidRPr="00D57B9F" w:rsidRDefault="003F791C" w:rsidP="00F84223">
            <w:pPr>
              <w:pStyle w:val="Tabletext"/>
              <w:rPr>
                <w:b/>
              </w:rPr>
            </w:pPr>
          </w:p>
        </w:tc>
        <w:tc>
          <w:tcPr>
            <w:tcW w:w="555" w:type="pct"/>
          </w:tcPr>
          <w:p w:rsidR="003F791C" w:rsidRPr="00D57B9F" w:rsidRDefault="003F791C" w:rsidP="00F84223">
            <w:pPr>
              <w:pStyle w:val="Tabletext"/>
              <w:rPr>
                <w:b/>
              </w:rPr>
            </w:pPr>
            <w:r w:rsidRPr="00D57B9F">
              <w:rPr>
                <w:b/>
              </w:rPr>
              <w:t>TP</w:t>
            </w:r>
          </w:p>
        </w:tc>
        <w:tc>
          <w:tcPr>
            <w:tcW w:w="492" w:type="pct"/>
          </w:tcPr>
          <w:p w:rsidR="003F791C" w:rsidRPr="00D57B9F" w:rsidRDefault="003F791C" w:rsidP="00F84223">
            <w:pPr>
              <w:pStyle w:val="Tabletext"/>
              <w:rPr>
                <w:b/>
              </w:rPr>
            </w:pPr>
            <w:r w:rsidRPr="00D57B9F">
              <w:rPr>
                <w:b/>
              </w:rPr>
              <w:t>FP</w:t>
            </w:r>
          </w:p>
        </w:tc>
        <w:tc>
          <w:tcPr>
            <w:tcW w:w="511" w:type="pct"/>
          </w:tcPr>
          <w:p w:rsidR="003F791C" w:rsidRPr="00D57B9F" w:rsidRDefault="003F791C" w:rsidP="00F84223">
            <w:pPr>
              <w:pStyle w:val="Tabletext"/>
              <w:rPr>
                <w:b/>
              </w:rPr>
            </w:pPr>
            <w:r w:rsidRPr="00D57B9F">
              <w:rPr>
                <w:b/>
              </w:rPr>
              <w:t>TP:FP</w:t>
            </w:r>
          </w:p>
        </w:tc>
        <w:tc>
          <w:tcPr>
            <w:tcW w:w="472" w:type="pct"/>
          </w:tcPr>
          <w:p w:rsidR="003F791C" w:rsidRPr="00D57B9F" w:rsidRDefault="003F791C" w:rsidP="00F84223">
            <w:pPr>
              <w:pStyle w:val="Tabletext"/>
              <w:rPr>
                <w:b/>
              </w:rPr>
            </w:pPr>
            <w:r w:rsidRPr="00D57B9F">
              <w:rPr>
                <w:b/>
              </w:rPr>
              <w:t>TP</w:t>
            </w:r>
          </w:p>
        </w:tc>
        <w:tc>
          <w:tcPr>
            <w:tcW w:w="410" w:type="pct"/>
          </w:tcPr>
          <w:p w:rsidR="003F791C" w:rsidRPr="00D57B9F" w:rsidRDefault="003F791C" w:rsidP="00F84223">
            <w:pPr>
              <w:pStyle w:val="Tabletext"/>
              <w:rPr>
                <w:b/>
              </w:rPr>
            </w:pPr>
            <w:r w:rsidRPr="00D57B9F">
              <w:rPr>
                <w:b/>
              </w:rPr>
              <w:t>FP</w:t>
            </w:r>
          </w:p>
        </w:tc>
        <w:tc>
          <w:tcPr>
            <w:tcW w:w="656" w:type="pct"/>
          </w:tcPr>
          <w:p w:rsidR="003F791C" w:rsidRPr="00D57B9F" w:rsidRDefault="003F791C" w:rsidP="00F84223">
            <w:pPr>
              <w:pStyle w:val="Tabletext"/>
              <w:rPr>
                <w:b/>
              </w:rPr>
            </w:pPr>
            <w:r w:rsidRPr="00D57B9F">
              <w:rPr>
                <w:b/>
              </w:rPr>
              <w:t>TP:FP</w:t>
            </w:r>
          </w:p>
        </w:tc>
        <w:tc>
          <w:tcPr>
            <w:tcW w:w="1083" w:type="pct"/>
          </w:tcPr>
          <w:p w:rsidR="003F791C" w:rsidRPr="00D57B9F" w:rsidRDefault="003F791C" w:rsidP="00F84223">
            <w:pPr>
              <w:pStyle w:val="Tabletext"/>
              <w:rPr>
                <w:b/>
              </w:rPr>
            </w:pPr>
          </w:p>
        </w:tc>
      </w:tr>
      <w:tr w:rsidR="003F791C" w:rsidRPr="00D57B9F" w:rsidTr="00F84223">
        <w:tc>
          <w:tcPr>
            <w:tcW w:w="821" w:type="pct"/>
          </w:tcPr>
          <w:p w:rsidR="003F791C" w:rsidRPr="00D57B9F" w:rsidRDefault="003F791C" w:rsidP="00F84223">
            <w:pPr>
              <w:pStyle w:val="Tabletext"/>
              <w:rPr>
                <w:b/>
              </w:rPr>
            </w:pPr>
            <w:r w:rsidRPr="00D57B9F">
              <w:rPr>
                <w:b/>
              </w:rPr>
              <w:t>Test threshold</w:t>
            </w:r>
          </w:p>
        </w:tc>
        <w:tc>
          <w:tcPr>
            <w:tcW w:w="4179" w:type="pct"/>
            <w:gridSpan w:val="7"/>
          </w:tcPr>
          <w:p w:rsidR="003F791C" w:rsidRPr="00D57B9F" w:rsidRDefault="003F791C" w:rsidP="00F84223">
            <w:pPr>
              <w:pStyle w:val="Tabletext"/>
              <w:rPr>
                <w:b/>
              </w:rPr>
            </w:pPr>
            <w:r w:rsidRPr="00D57B9F">
              <w:rPr>
                <w:b/>
              </w:rPr>
              <w:t>CIN</w:t>
            </w:r>
            <w:r>
              <w:rPr>
                <w:b/>
              </w:rPr>
              <w:t xml:space="preserve"> </w:t>
            </w:r>
            <w:r w:rsidRPr="00D57B9F">
              <w:rPr>
                <w:b/>
              </w:rPr>
              <w:t>1+</w:t>
            </w:r>
          </w:p>
        </w:tc>
      </w:tr>
      <w:tr w:rsidR="003F791C" w:rsidTr="00F84223">
        <w:tc>
          <w:tcPr>
            <w:tcW w:w="821" w:type="pct"/>
          </w:tcPr>
          <w:p w:rsidR="003F791C" w:rsidRDefault="003F791C" w:rsidP="00F84223">
            <w:pPr>
              <w:pStyle w:val="Tabletext"/>
            </w:pPr>
            <w:r>
              <w:t>ASCUS+</w:t>
            </w:r>
          </w:p>
        </w:tc>
        <w:tc>
          <w:tcPr>
            <w:tcW w:w="555" w:type="pct"/>
          </w:tcPr>
          <w:p w:rsidR="003F791C" w:rsidRPr="00144D81" w:rsidRDefault="003F791C" w:rsidP="00F84223">
            <w:pPr>
              <w:pStyle w:val="Tabletext"/>
            </w:pPr>
            <w:r w:rsidRPr="00144D81">
              <w:t>349</w:t>
            </w:r>
          </w:p>
        </w:tc>
        <w:tc>
          <w:tcPr>
            <w:tcW w:w="492" w:type="pct"/>
          </w:tcPr>
          <w:p w:rsidR="003F791C" w:rsidRPr="00144D81" w:rsidRDefault="003F791C" w:rsidP="00F84223">
            <w:pPr>
              <w:pStyle w:val="Tabletext"/>
            </w:pPr>
            <w:r w:rsidRPr="00144D81">
              <w:t>678</w:t>
            </w:r>
          </w:p>
        </w:tc>
        <w:tc>
          <w:tcPr>
            <w:tcW w:w="511" w:type="pct"/>
            <w:vAlign w:val="bottom"/>
          </w:tcPr>
          <w:p w:rsidR="003F791C" w:rsidRPr="00BF7528" w:rsidRDefault="003F791C" w:rsidP="00F84223">
            <w:pPr>
              <w:pStyle w:val="Tabletext"/>
            </w:pPr>
            <w:r w:rsidRPr="00BF7528">
              <w:t>0.51:1</w:t>
            </w:r>
          </w:p>
        </w:tc>
        <w:tc>
          <w:tcPr>
            <w:tcW w:w="472" w:type="pct"/>
          </w:tcPr>
          <w:p w:rsidR="003F791C" w:rsidRPr="00144D81" w:rsidRDefault="003F791C" w:rsidP="00F84223">
            <w:pPr>
              <w:pStyle w:val="Tabletext"/>
            </w:pPr>
            <w:r w:rsidRPr="00144D81">
              <w:t>412</w:t>
            </w:r>
          </w:p>
        </w:tc>
        <w:tc>
          <w:tcPr>
            <w:tcW w:w="410" w:type="pct"/>
          </w:tcPr>
          <w:p w:rsidR="003F791C" w:rsidRPr="00144D81" w:rsidRDefault="003F791C" w:rsidP="00F84223">
            <w:pPr>
              <w:pStyle w:val="Tabletext"/>
            </w:pPr>
            <w:r w:rsidRPr="00144D81">
              <w:t>732</w:t>
            </w:r>
          </w:p>
        </w:tc>
        <w:tc>
          <w:tcPr>
            <w:tcW w:w="656" w:type="pct"/>
            <w:vAlign w:val="bottom"/>
          </w:tcPr>
          <w:p w:rsidR="003F791C" w:rsidRPr="00BF7528" w:rsidRDefault="003F791C" w:rsidP="00F84223">
            <w:pPr>
              <w:pStyle w:val="Tabletext"/>
            </w:pPr>
            <w:r w:rsidRPr="00BF7528">
              <w:t>0.56:1</w:t>
            </w:r>
          </w:p>
        </w:tc>
        <w:tc>
          <w:tcPr>
            <w:tcW w:w="1083" w:type="pct"/>
            <w:vAlign w:val="bottom"/>
          </w:tcPr>
          <w:p w:rsidR="003F791C" w:rsidRPr="00BF7528" w:rsidRDefault="003F791C" w:rsidP="00F84223">
            <w:pPr>
              <w:pStyle w:val="Tabletext"/>
            </w:pPr>
            <w:r w:rsidRPr="00BF7528">
              <w:t>0.048092</w:t>
            </w:r>
          </w:p>
        </w:tc>
      </w:tr>
      <w:tr w:rsidR="003F791C" w:rsidTr="00F84223">
        <w:tc>
          <w:tcPr>
            <w:tcW w:w="821" w:type="pct"/>
          </w:tcPr>
          <w:p w:rsidR="003F791C" w:rsidRDefault="003F791C" w:rsidP="00F84223">
            <w:pPr>
              <w:pStyle w:val="Tabletext"/>
            </w:pPr>
            <w:r>
              <w:t>LSIL+</w:t>
            </w:r>
          </w:p>
        </w:tc>
        <w:tc>
          <w:tcPr>
            <w:tcW w:w="555" w:type="pct"/>
          </w:tcPr>
          <w:p w:rsidR="003F791C" w:rsidRPr="00144D81" w:rsidRDefault="003F791C" w:rsidP="00F84223">
            <w:pPr>
              <w:pStyle w:val="Tabletext"/>
            </w:pPr>
            <w:r w:rsidRPr="00144D81">
              <w:t>272</w:t>
            </w:r>
          </w:p>
        </w:tc>
        <w:tc>
          <w:tcPr>
            <w:tcW w:w="492" w:type="pct"/>
          </w:tcPr>
          <w:p w:rsidR="003F791C" w:rsidRPr="00144D81" w:rsidRDefault="003F791C" w:rsidP="00F84223">
            <w:pPr>
              <w:pStyle w:val="Tabletext"/>
            </w:pPr>
            <w:r w:rsidRPr="00144D81">
              <w:t>115</w:t>
            </w:r>
          </w:p>
        </w:tc>
        <w:tc>
          <w:tcPr>
            <w:tcW w:w="511" w:type="pct"/>
            <w:vAlign w:val="bottom"/>
          </w:tcPr>
          <w:p w:rsidR="003F791C" w:rsidRPr="00BF7528" w:rsidRDefault="003F791C" w:rsidP="00F84223">
            <w:pPr>
              <w:pStyle w:val="Tabletext"/>
            </w:pPr>
            <w:r w:rsidRPr="00BF7528">
              <w:t>2.37:1</w:t>
            </w:r>
          </w:p>
        </w:tc>
        <w:tc>
          <w:tcPr>
            <w:tcW w:w="472" w:type="pct"/>
          </w:tcPr>
          <w:p w:rsidR="003F791C" w:rsidRPr="00144D81" w:rsidRDefault="003F791C" w:rsidP="00F84223">
            <w:pPr>
              <w:pStyle w:val="Tabletext"/>
            </w:pPr>
            <w:r w:rsidRPr="00144D81">
              <w:t>329</w:t>
            </w:r>
          </w:p>
        </w:tc>
        <w:tc>
          <w:tcPr>
            <w:tcW w:w="410" w:type="pct"/>
          </w:tcPr>
          <w:p w:rsidR="003F791C" w:rsidRPr="00144D81" w:rsidRDefault="003F791C" w:rsidP="00F84223">
            <w:pPr>
              <w:pStyle w:val="Tabletext"/>
            </w:pPr>
            <w:r w:rsidRPr="00144D81">
              <w:t>119</w:t>
            </w:r>
          </w:p>
        </w:tc>
        <w:tc>
          <w:tcPr>
            <w:tcW w:w="656" w:type="pct"/>
            <w:vAlign w:val="bottom"/>
          </w:tcPr>
          <w:p w:rsidR="003F791C" w:rsidRPr="00BF7528" w:rsidRDefault="003F791C" w:rsidP="00F84223">
            <w:pPr>
              <w:pStyle w:val="Tabletext"/>
            </w:pPr>
            <w:r w:rsidRPr="00BF7528">
              <w:t>2.76:1</w:t>
            </w:r>
          </w:p>
        </w:tc>
        <w:tc>
          <w:tcPr>
            <w:tcW w:w="1083" w:type="pct"/>
            <w:vAlign w:val="bottom"/>
          </w:tcPr>
          <w:p w:rsidR="003F791C" w:rsidRPr="00BF7528" w:rsidRDefault="003F791C" w:rsidP="00F84223">
            <w:pPr>
              <w:pStyle w:val="Tabletext"/>
            </w:pPr>
            <w:r w:rsidRPr="00BF7528">
              <w:t>0.399488</w:t>
            </w:r>
          </w:p>
        </w:tc>
      </w:tr>
      <w:tr w:rsidR="003F791C" w:rsidTr="00F84223">
        <w:tc>
          <w:tcPr>
            <w:tcW w:w="821" w:type="pct"/>
          </w:tcPr>
          <w:p w:rsidR="003F791C" w:rsidRDefault="003F791C" w:rsidP="00F84223">
            <w:pPr>
              <w:pStyle w:val="Tabletext"/>
            </w:pPr>
            <w:r>
              <w:t>HSIL+</w:t>
            </w:r>
          </w:p>
        </w:tc>
        <w:tc>
          <w:tcPr>
            <w:tcW w:w="555" w:type="pct"/>
          </w:tcPr>
          <w:p w:rsidR="003F791C" w:rsidRPr="00144D81" w:rsidRDefault="003F791C" w:rsidP="00F84223">
            <w:pPr>
              <w:pStyle w:val="Tabletext"/>
            </w:pPr>
            <w:r w:rsidRPr="00144D81">
              <w:t>208</w:t>
            </w:r>
          </w:p>
        </w:tc>
        <w:tc>
          <w:tcPr>
            <w:tcW w:w="492" w:type="pct"/>
          </w:tcPr>
          <w:p w:rsidR="003F791C" w:rsidRPr="00144D81" w:rsidRDefault="003F791C" w:rsidP="00F84223">
            <w:pPr>
              <w:pStyle w:val="Tabletext"/>
            </w:pPr>
            <w:r w:rsidRPr="00144D81">
              <w:t>30</w:t>
            </w:r>
          </w:p>
        </w:tc>
        <w:tc>
          <w:tcPr>
            <w:tcW w:w="511" w:type="pct"/>
            <w:vAlign w:val="bottom"/>
          </w:tcPr>
          <w:p w:rsidR="003F791C" w:rsidRPr="00BF7528" w:rsidRDefault="003F791C" w:rsidP="00F84223">
            <w:pPr>
              <w:pStyle w:val="Tabletext"/>
            </w:pPr>
            <w:r w:rsidRPr="00BF7528">
              <w:t>6.93:1</w:t>
            </w:r>
          </w:p>
        </w:tc>
        <w:tc>
          <w:tcPr>
            <w:tcW w:w="472" w:type="pct"/>
          </w:tcPr>
          <w:p w:rsidR="003F791C" w:rsidRPr="00144D81" w:rsidRDefault="003F791C" w:rsidP="00F84223">
            <w:pPr>
              <w:pStyle w:val="Tabletext"/>
            </w:pPr>
            <w:r w:rsidRPr="00144D81">
              <w:t>248</w:t>
            </w:r>
          </w:p>
        </w:tc>
        <w:tc>
          <w:tcPr>
            <w:tcW w:w="410" w:type="pct"/>
          </w:tcPr>
          <w:p w:rsidR="003F791C" w:rsidRPr="00144D81" w:rsidRDefault="003F791C" w:rsidP="00F84223">
            <w:pPr>
              <w:pStyle w:val="Tabletext"/>
            </w:pPr>
            <w:r w:rsidRPr="00144D81">
              <w:t>21</w:t>
            </w:r>
          </w:p>
        </w:tc>
        <w:tc>
          <w:tcPr>
            <w:tcW w:w="656" w:type="pct"/>
            <w:vAlign w:val="bottom"/>
          </w:tcPr>
          <w:p w:rsidR="003F791C" w:rsidRPr="00BF7528" w:rsidRDefault="003F791C" w:rsidP="00F84223">
            <w:pPr>
              <w:pStyle w:val="Tabletext"/>
            </w:pPr>
            <w:r w:rsidRPr="00BF7528">
              <w:t>11.81:1</w:t>
            </w:r>
          </w:p>
        </w:tc>
        <w:tc>
          <w:tcPr>
            <w:tcW w:w="1083" w:type="pct"/>
            <w:vAlign w:val="bottom"/>
          </w:tcPr>
          <w:p w:rsidR="003F791C" w:rsidRPr="00BF7528" w:rsidRDefault="003F791C" w:rsidP="00F84223">
            <w:pPr>
              <w:pStyle w:val="Tabletext"/>
            </w:pPr>
            <w:r w:rsidRPr="00BF7528">
              <w:t>4.87619</w:t>
            </w:r>
          </w:p>
        </w:tc>
      </w:tr>
      <w:tr w:rsidR="003F791C" w:rsidRPr="00D57B9F" w:rsidTr="00F84223">
        <w:tc>
          <w:tcPr>
            <w:tcW w:w="821" w:type="pct"/>
          </w:tcPr>
          <w:p w:rsidR="003F791C" w:rsidRPr="00D57B9F" w:rsidRDefault="003F791C" w:rsidP="00F84223">
            <w:pPr>
              <w:pStyle w:val="Tabletext"/>
              <w:rPr>
                <w:b/>
              </w:rPr>
            </w:pPr>
          </w:p>
        </w:tc>
        <w:tc>
          <w:tcPr>
            <w:tcW w:w="4179" w:type="pct"/>
            <w:gridSpan w:val="7"/>
          </w:tcPr>
          <w:p w:rsidR="003F791C" w:rsidRPr="00D57B9F" w:rsidRDefault="003F791C" w:rsidP="00F84223">
            <w:pPr>
              <w:pStyle w:val="Tabletext"/>
              <w:rPr>
                <w:b/>
              </w:rPr>
            </w:pPr>
            <w:r w:rsidRPr="00D57B9F">
              <w:rPr>
                <w:b/>
              </w:rPr>
              <w:t>CIN</w:t>
            </w:r>
            <w:r>
              <w:rPr>
                <w:b/>
              </w:rPr>
              <w:t xml:space="preserve"> </w:t>
            </w:r>
            <w:r w:rsidRPr="00D57B9F">
              <w:rPr>
                <w:b/>
              </w:rPr>
              <w:t>2+</w:t>
            </w:r>
          </w:p>
        </w:tc>
      </w:tr>
      <w:tr w:rsidR="003F791C" w:rsidTr="00F84223">
        <w:tc>
          <w:tcPr>
            <w:tcW w:w="821" w:type="pct"/>
          </w:tcPr>
          <w:p w:rsidR="003F791C" w:rsidRDefault="003F791C" w:rsidP="00F84223">
            <w:pPr>
              <w:pStyle w:val="Tabletext"/>
            </w:pPr>
            <w:r>
              <w:t>ASCUS+</w:t>
            </w:r>
          </w:p>
        </w:tc>
        <w:tc>
          <w:tcPr>
            <w:tcW w:w="555" w:type="pct"/>
          </w:tcPr>
          <w:p w:rsidR="003F791C" w:rsidRPr="00144D81" w:rsidRDefault="003F791C" w:rsidP="00F84223">
            <w:pPr>
              <w:pStyle w:val="Tabletext"/>
            </w:pPr>
            <w:r w:rsidRPr="00144D81">
              <w:t>274</w:t>
            </w:r>
          </w:p>
        </w:tc>
        <w:tc>
          <w:tcPr>
            <w:tcW w:w="492" w:type="pct"/>
          </w:tcPr>
          <w:p w:rsidR="003F791C" w:rsidRPr="00144D81" w:rsidRDefault="003F791C" w:rsidP="00F84223">
            <w:pPr>
              <w:pStyle w:val="Tabletext"/>
            </w:pPr>
            <w:r w:rsidRPr="00144D81">
              <w:t>753</w:t>
            </w:r>
          </w:p>
        </w:tc>
        <w:tc>
          <w:tcPr>
            <w:tcW w:w="511" w:type="pct"/>
            <w:vAlign w:val="bottom"/>
          </w:tcPr>
          <w:p w:rsidR="003F791C" w:rsidRPr="00BF7528" w:rsidRDefault="003F791C" w:rsidP="00F84223">
            <w:pPr>
              <w:pStyle w:val="Tabletext"/>
            </w:pPr>
            <w:r w:rsidRPr="00BF7528">
              <w:t>0.36:1</w:t>
            </w:r>
          </w:p>
        </w:tc>
        <w:tc>
          <w:tcPr>
            <w:tcW w:w="472" w:type="pct"/>
          </w:tcPr>
          <w:p w:rsidR="003F791C" w:rsidRPr="00144D81" w:rsidRDefault="003F791C" w:rsidP="00F84223">
            <w:pPr>
              <w:pStyle w:val="Tabletext"/>
            </w:pPr>
            <w:r w:rsidRPr="00144D81">
              <w:t>331</w:t>
            </w:r>
          </w:p>
        </w:tc>
        <w:tc>
          <w:tcPr>
            <w:tcW w:w="410" w:type="pct"/>
          </w:tcPr>
          <w:p w:rsidR="003F791C" w:rsidRPr="00144D81" w:rsidRDefault="003F791C" w:rsidP="00F84223">
            <w:pPr>
              <w:pStyle w:val="Tabletext"/>
            </w:pPr>
            <w:r w:rsidRPr="00144D81">
              <w:t>813</w:t>
            </w:r>
          </w:p>
        </w:tc>
        <w:tc>
          <w:tcPr>
            <w:tcW w:w="656" w:type="pct"/>
            <w:vAlign w:val="bottom"/>
          </w:tcPr>
          <w:p w:rsidR="003F791C" w:rsidRPr="00BF7528" w:rsidRDefault="003F791C" w:rsidP="00F84223">
            <w:pPr>
              <w:pStyle w:val="Tabletext"/>
            </w:pPr>
            <w:r w:rsidRPr="00BF7528">
              <w:t>0.41:1</w:t>
            </w:r>
          </w:p>
        </w:tc>
        <w:tc>
          <w:tcPr>
            <w:tcW w:w="1083" w:type="pct"/>
            <w:vAlign w:val="bottom"/>
          </w:tcPr>
          <w:p w:rsidR="003F791C" w:rsidRPr="00BF7528" w:rsidRDefault="003F791C" w:rsidP="00F84223">
            <w:pPr>
              <w:pStyle w:val="Tabletext"/>
            </w:pPr>
            <w:r w:rsidRPr="00BF7528">
              <w:t>0.043256</w:t>
            </w:r>
          </w:p>
        </w:tc>
      </w:tr>
      <w:tr w:rsidR="003F791C" w:rsidTr="00F84223">
        <w:tc>
          <w:tcPr>
            <w:tcW w:w="821" w:type="pct"/>
          </w:tcPr>
          <w:p w:rsidR="003F791C" w:rsidRDefault="003F791C" w:rsidP="00F84223">
            <w:pPr>
              <w:pStyle w:val="Tabletext"/>
            </w:pPr>
            <w:r>
              <w:t>LSIL+</w:t>
            </w:r>
          </w:p>
        </w:tc>
        <w:tc>
          <w:tcPr>
            <w:tcW w:w="555" w:type="pct"/>
          </w:tcPr>
          <w:p w:rsidR="003F791C" w:rsidRPr="00144D81" w:rsidRDefault="003F791C" w:rsidP="00F84223">
            <w:pPr>
              <w:pStyle w:val="Tabletext"/>
            </w:pPr>
            <w:r w:rsidRPr="00144D81">
              <w:t>235</w:t>
            </w:r>
          </w:p>
        </w:tc>
        <w:tc>
          <w:tcPr>
            <w:tcW w:w="492" w:type="pct"/>
          </w:tcPr>
          <w:p w:rsidR="003F791C" w:rsidRPr="00144D81" w:rsidRDefault="003F791C" w:rsidP="00F84223">
            <w:pPr>
              <w:pStyle w:val="Tabletext"/>
            </w:pPr>
            <w:r w:rsidRPr="00144D81">
              <w:t>152</w:t>
            </w:r>
          </w:p>
        </w:tc>
        <w:tc>
          <w:tcPr>
            <w:tcW w:w="511" w:type="pct"/>
            <w:vAlign w:val="bottom"/>
          </w:tcPr>
          <w:p w:rsidR="003F791C" w:rsidRPr="00BF7528" w:rsidRDefault="003F791C" w:rsidP="00F84223">
            <w:pPr>
              <w:pStyle w:val="Tabletext"/>
            </w:pPr>
            <w:r w:rsidRPr="00BF7528">
              <w:t>1.55:1</w:t>
            </w:r>
          </w:p>
        </w:tc>
        <w:tc>
          <w:tcPr>
            <w:tcW w:w="472" w:type="pct"/>
          </w:tcPr>
          <w:p w:rsidR="003F791C" w:rsidRPr="00144D81" w:rsidRDefault="003F791C" w:rsidP="00F84223">
            <w:pPr>
              <w:pStyle w:val="Tabletext"/>
            </w:pPr>
            <w:r w:rsidRPr="00144D81">
              <w:t>283</w:t>
            </w:r>
          </w:p>
        </w:tc>
        <w:tc>
          <w:tcPr>
            <w:tcW w:w="410" w:type="pct"/>
          </w:tcPr>
          <w:p w:rsidR="003F791C" w:rsidRPr="00144D81" w:rsidRDefault="003F791C" w:rsidP="00F84223">
            <w:pPr>
              <w:pStyle w:val="Tabletext"/>
            </w:pPr>
            <w:r w:rsidRPr="00144D81">
              <w:t>165</w:t>
            </w:r>
          </w:p>
        </w:tc>
        <w:tc>
          <w:tcPr>
            <w:tcW w:w="656" w:type="pct"/>
            <w:vAlign w:val="bottom"/>
          </w:tcPr>
          <w:p w:rsidR="003F791C" w:rsidRPr="00BF7528" w:rsidRDefault="003F791C" w:rsidP="00F84223">
            <w:pPr>
              <w:pStyle w:val="Tabletext"/>
            </w:pPr>
            <w:r w:rsidRPr="00BF7528">
              <w:t>1.72:1</w:t>
            </w:r>
          </w:p>
        </w:tc>
        <w:tc>
          <w:tcPr>
            <w:tcW w:w="1083" w:type="pct"/>
            <w:vAlign w:val="bottom"/>
          </w:tcPr>
          <w:p w:rsidR="003F791C" w:rsidRPr="00BF7528" w:rsidRDefault="003F791C" w:rsidP="00F84223">
            <w:pPr>
              <w:pStyle w:val="Tabletext"/>
            </w:pPr>
            <w:r w:rsidRPr="00BF7528">
              <w:t>0.169099</w:t>
            </w:r>
          </w:p>
        </w:tc>
      </w:tr>
      <w:tr w:rsidR="003F791C" w:rsidTr="00F84223">
        <w:tc>
          <w:tcPr>
            <w:tcW w:w="821" w:type="pct"/>
          </w:tcPr>
          <w:p w:rsidR="003F791C" w:rsidRDefault="003F791C" w:rsidP="00F84223">
            <w:pPr>
              <w:pStyle w:val="Tabletext"/>
            </w:pPr>
            <w:r>
              <w:t>HSIL+</w:t>
            </w:r>
          </w:p>
        </w:tc>
        <w:tc>
          <w:tcPr>
            <w:tcW w:w="555" w:type="pct"/>
          </w:tcPr>
          <w:p w:rsidR="003F791C" w:rsidRPr="00144D81" w:rsidRDefault="003F791C" w:rsidP="00F84223">
            <w:pPr>
              <w:pStyle w:val="Tabletext"/>
            </w:pPr>
            <w:r w:rsidRPr="00144D81">
              <w:t>194</w:t>
            </w:r>
          </w:p>
        </w:tc>
        <w:tc>
          <w:tcPr>
            <w:tcW w:w="492" w:type="pct"/>
          </w:tcPr>
          <w:p w:rsidR="003F791C" w:rsidRPr="00144D81" w:rsidRDefault="003F791C" w:rsidP="00F84223">
            <w:pPr>
              <w:pStyle w:val="Tabletext"/>
            </w:pPr>
            <w:r w:rsidRPr="00144D81">
              <w:t>44</w:t>
            </w:r>
          </w:p>
        </w:tc>
        <w:tc>
          <w:tcPr>
            <w:tcW w:w="511" w:type="pct"/>
            <w:vAlign w:val="bottom"/>
          </w:tcPr>
          <w:p w:rsidR="003F791C" w:rsidRPr="00BF7528" w:rsidRDefault="003F791C" w:rsidP="00F84223">
            <w:pPr>
              <w:pStyle w:val="Tabletext"/>
            </w:pPr>
            <w:r w:rsidRPr="00BF7528">
              <w:t>4.41:1</w:t>
            </w:r>
          </w:p>
        </w:tc>
        <w:tc>
          <w:tcPr>
            <w:tcW w:w="472" w:type="pct"/>
          </w:tcPr>
          <w:p w:rsidR="003F791C" w:rsidRPr="00144D81" w:rsidRDefault="003F791C" w:rsidP="00F84223">
            <w:pPr>
              <w:pStyle w:val="Tabletext"/>
            </w:pPr>
            <w:r w:rsidRPr="00144D81">
              <w:t>233</w:t>
            </w:r>
          </w:p>
        </w:tc>
        <w:tc>
          <w:tcPr>
            <w:tcW w:w="410" w:type="pct"/>
          </w:tcPr>
          <w:p w:rsidR="003F791C" w:rsidRPr="00144D81" w:rsidRDefault="003F791C" w:rsidP="00F84223">
            <w:pPr>
              <w:pStyle w:val="Tabletext"/>
            </w:pPr>
            <w:r w:rsidRPr="00144D81">
              <w:t>36</w:t>
            </w:r>
          </w:p>
        </w:tc>
        <w:tc>
          <w:tcPr>
            <w:tcW w:w="656" w:type="pct"/>
            <w:vAlign w:val="bottom"/>
          </w:tcPr>
          <w:p w:rsidR="003F791C" w:rsidRPr="00BF7528" w:rsidRDefault="003F791C" w:rsidP="00F84223">
            <w:pPr>
              <w:pStyle w:val="Tabletext"/>
            </w:pPr>
            <w:r w:rsidRPr="00BF7528">
              <w:t>6.47:1</w:t>
            </w:r>
          </w:p>
        </w:tc>
        <w:tc>
          <w:tcPr>
            <w:tcW w:w="1083" w:type="pct"/>
            <w:vAlign w:val="bottom"/>
          </w:tcPr>
          <w:p w:rsidR="003F791C" w:rsidRPr="00BF7528" w:rsidRDefault="003F791C" w:rsidP="00F84223">
            <w:pPr>
              <w:pStyle w:val="Tabletext"/>
            </w:pPr>
            <w:r w:rsidRPr="00BF7528">
              <w:t>2.063131</w:t>
            </w:r>
          </w:p>
        </w:tc>
      </w:tr>
      <w:tr w:rsidR="003F791C" w:rsidRPr="00D57B9F" w:rsidTr="00F84223">
        <w:tc>
          <w:tcPr>
            <w:tcW w:w="821" w:type="pct"/>
          </w:tcPr>
          <w:p w:rsidR="003F791C" w:rsidRPr="00D57B9F" w:rsidRDefault="003F791C" w:rsidP="00F84223">
            <w:pPr>
              <w:pStyle w:val="Tabletext"/>
              <w:rPr>
                <w:b/>
              </w:rPr>
            </w:pPr>
          </w:p>
        </w:tc>
        <w:tc>
          <w:tcPr>
            <w:tcW w:w="4179" w:type="pct"/>
            <w:gridSpan w:val="7"/>
          </w:tcPr>
          <w:p w:rsidR="003F791C" w:rsidRPr="00D57B9F" w:rsidRDefault="003F791C" w:rsidP="00F84223">
            <w:pPr>
              <w:pStyle w:val="Tabletext"/>
              <w:rPr>
                <w:b/>
              </w:rPr>
            </w:pPr>
            <w:r w:rsidRPr="00D57B9F">
              <w:rPr>
                <w:b/>
              </w:rPr>
              <w:t>CIN</w:t>
            </w:r>
            <w:r>
              <w:rPr>
                <w:b/>
              </w:rPr>
              <w:t xml:space="preserve"> </w:t>
            </w:r>
            <w:r w:rsidRPr="00D57B9F">
              <w:rPr>
                <w:b/>
              </w:rPr>
              <w:t>3+</w:t>
            </w:r>
          </w:p>
        </w:tc>
      </w:tr>
      <w:tr w:rsidR="003F791C" w:rsidTr="00F84223">
        <w:tc>
          <w:tcPr>
            <w:tcW w:w="821" w:type="pct"/>
          </w:tcPr>
          <w:p w:rsidR="003F791C" w:rsidRDefault="003F791C" w:rsidP="00F84223">
            <w:pPr>
              <w:pStyle w:val="Tabletext"/>
            </w:pPr>
            <w:r>
              <w:t>ASCUS+</w:t>
            </w:r>
          </w:p>
        </w:tc>
        <w:tc>
          <w:tcPr>
            <w:tcW w:w="555" w:type="pct"/>
          </w:tcPr>
          <w:p w:rsidR="003F791C" w:rsidRPr="00144D81" w:rsidRDefault="003F791C" w:rsidP="00F84223">
            <w:pPr>
              <w:pStyle w:val="Tabletext"/>
            </w:pPr>
            <w:r w:rsidRPr="00144D81">
              <w:t>183</w:t>
            </w:r>
          </w:p>
        </w:tc>
        <w:tc>
          <w:tcPr>
            <w:tcW w:w="492" w:type="pct"/>
          </w:tcPr>
          <w:p w:rsidR="003F791C" w:rsidRPr="00144D81" w:rsidRDefault="003F791C" w:rsidP="00F84223">
            <w:pPr>
              <w:pStyle w:val="Tabletext"/>
            </w:pPr>
            <w:r w:rsidRPr="00144D81">
              <w:t>844</w:t>
            </w:r>
          </w:p>
        </w:tc>
        <w:tc>
          <w:tcPr>
            <w:tcW w:w="511" w:type="pct"/>
            <w:vAlign w:val="bottom"/>
          </w:tcPr>
          <w:p w:rsidR="003F791C" w:rsidRPr="00BF7528" w:rsidRDefault="003F791C" w:rsidP="00F84223">
            <w:pPr>
              <w:pStyle w:val="Tabletext"/>
            </w:pPr>
            <w:r w:rsidRPr="00BF7528">
              <w:t>0.22:1</w:t>
            </w:r>
          </w:p>
        </w:tc>
        <w:tc>
          <w:tcPr>
            <w:tcW w:w="472" w:type="pct"/>
          </w:tcPr>
          <w:p w:rsidR="003F791C" w:rsidRPr="00144D81" w:rsidRDefault="003F791C" w:rsidP="00F84223">
            <w:pPr>
              <w:pStyle w:val="Tabletext"/>
            </w:pPr>
            <w:r w:rsidRPr="00144D81">
              <w:t>236</w:t>
            </w:r>
          </w:p>
        </w:tc>
        <w:tc>
          <w:tcPr>
            <w:tcW w:w="410" w:type="pct"/>
          </w:tcPr>
          <w:p w:rsidR="003F791C" w:rsidRPr="00144D81" w:rsidRDefault="003F791C" w:rsidP="00F84223">
            <w:pPr>
              <w:pStyle w:val="Tabletext"/>
            </w:pPr>
            <w:r w:rsidRPr="00144D81">
              <w:t>908</w:t>
            </w:r>
          </w:p>
        </w:tc>
        <w:tc>
          <w:tcPr>
            <w:tcW w:w="656" w:type="pct"/>
            <w:vAlign w:val="bottom"/>
          </w:tcPr>
          <w:p w:rsidR="003F791C" w:rsidRPr="00BF7528" w:rsidRDefault="003F791C" w:rsidP="00F84223">
            <w:pPr>
              <w:pStyle w:val="Tabletext"/>
            </w:pPr>
            <w:r w:rsidRPr="00BF7528">
              <w:t>0.26:1</w:t>
            </w:r>
          </w:p>
        </w:tc>
        <w:tc>
          <w:tcPr>
            <w:tcW w:w="1083" w:type="pct"/>
            <w:vAlign w:val="bottom"/>
          </w:tcPr>
          <w:p w:rsidR="003F791C" w:rsidRPr="00BF7528" w:rsidRDefault="003F791C" w:rsidP="00F84223">
            <w:pPr>
              <w:pStyle w:val="Tabletext"/>
            </w:pPr>
            <w:r w:rsidRPr="00BF7528">
              <w:t>0.043087</w:t>
            </w:r>
          </w:p>
        </w:tc>
      </w:tr>
      <w:tr w:rsidR="003F791C" w:rsidTr="00F84223">
        <w:tc>
          <w:tcPr>
            <w:tcW w:w="821" w:type="pct"/>
          </w:tcPr>
          <w:p w:rsidR="003F791C" w:rsidRDefault="003F791C" w:rsidP="00F84223">
            <w:pPr>
              <w:pStyle w:val="Tabletext"/>
            </w:pPr>
            <w:r>
              <w:t>LSIL+</w:t>
            </w:r>
          </w:p>
        </w:tc>
        <w:tc>
          <w:tcPr>
            <w:tcW w:w="555" w:type="pct"/>
          </w:tcPr>
          <w:p w:rsidR="003F791C" w:rsidRPr="00144D81" w:rsidRDefault="003F791C" w:rsidP="00F84223">
            <w:pPr>
              <w:pStyle w:val="Tabletext"/>
            </w:pPr>
            <w:r w:rsidRPr="00144D81">
              <w:t>162</w:t>
            </w:r>
          </w:p>
        </w:tc>
        <w:tc>
          <w:tcPr>
            <w:tcW w:w="492" w:type="pct"/>
          </w:tcPr>
          <w:p w:rsidR="003F791C" w:rsidRPr="00144D81" w:rsidRDefault="003F791C" w:rsidP="00F84223">
            <w:pPr>
              <w:pStyle w:val="Tabletext"/>
            </w:pPr>
            <w:r w:rsidRPr="00144D81">
              <w:t>225</w:t>
            </w:r>
          </w:p>
        </w:tc>
        <w:tc>
          <w:tcPr>
            <w:tcW w:w="511" w:type="pct"/>
            <w:vAlign w:val="bottom"/>
          </w:tcPr>
          <w:p w:rsidR="003F791C" w:rsidRPr="00BF7528" w:rsidRDefault="003F791C" w:rsidP="00F84223">
            <w:pPr>
              <w:pStyle w:val="Tabletext"/>
            </w:pPr>
            <w:r w:rsidRPr="00BF7528">
              <w:t>0.72:1</w:t>
            </w:r>
          </w:p>
        </w:tc>
        <w:tc>
          <w:tcPr>
            <w:tcW w:w="472" w:type="pct"/>
          </w:tcPr>
          <w:p w:rsidR="003F791C" w:rsidRPr="00144D81" w:rsidRDefault="003F791C" w:rsidP="00F84223">
            <w:pPr>
              <w:pStyle w:val="Tabletext"/>
            </w:pPr>
            <w:r w:rsidRPr="00144D81">
              <w:t>216</w:t>
            </w:r>
          </w:p>
        </w:tc>
        <w:tc>
          <w:tcPr>
            <w:tcW w:w="410" w:type="pct"/>
          </w:tcPr>
          <w:p w:rsidR="003F791C" w:rsidRPr="00144D81" w:rsidRDefault="003F791C" w:rsidP="00F84223">
            <w:pPr>
              <w:pStyle w:val="Tabletext"/>
            </w:pPr>
            <w:r w:rsidRPr="00144D81">
              <w:t>232</w:t>
            </w:r>
          </w:p>
        </w:tc>
        <w:tc>
          <w:tcPr>
            <w:tcW w:w="656" w:type="pct"/>
            <w:vAlign w:val="bottom"/>
          </w:tcPr>
          <w:p w:rsidR="003F791C" w:rsidRPr="00BF7528" w:rsidRDefault="003F791C" w:rsidP="00F84223">
            <w:pPr>
              <w:pStyle w:val="Tabletext"/>
            </w:pPr>
            <w:r w:rsidRPr="00BF7528">
              <w:t>0.93:1</w:t>
            </w:r>
          </w:p>
        </w:tc>
        <w:tc>
          <w:tcPr>
            <w:tcW w:w="1083" w:type="pct"/>
            <w:vAlign w:val="bottom"/>
          </w:tcPr>
          <w:p w:rsidR="003F791C" w:rsidRPr="00BF7528" w:rsidRDefault="003F791C" w:rsidP="00F84223">
            <w:pPr>
              <w:pStyle w:val="Tabletext"/>
            </w:pPr>
            <w:r w:rsidRPr="00BF7528">
              <w:t>0.211034</w:t>
            </w:r>
          </w:p>
        </w:tc>
      </w:tr>
      <w:tr w:rsidR="003F791C" w:rsidTr="00F84223">
        <w:tc>
          <w:tcPr>
            <w:tcW w:w="821" w:type="pct"/>
          </w:tcPr>
          <w:p w:rsidR="003F791C" w:rsidRDefault="003F791C" w:rsidP="00F84223">
            <w:pPr>
              <w:pStyle w:val="Tabletext"/>
            </w:pPr>
            <w:r>
              <w:t>HSIL+</w:t>
            </w:r>
          </w:p>
        </w:tc>
        <w:tc>
          <w:tcPr>
            <w:tcW w:w="555" w:type="pct"/>
          </w:tcPr>
          <w:p w:rsidR="003F791C" w:rsidRPr="00144D81" w:rsidRDefault="003F791C" w:rsidP="00F84223">
            <w:pPr>
              <w:pStyle w:val="Tabletext"/>
            </w:pPr>
            <w:r w:rsidRPr="00144D81">
              <w:t>142</w:t>
            </w:r>
          </w:p>
        </w:tc>
        <w:tc>
          <w:tcPr>
            <w:tcW w:w="492" w:type="pct"/>
          </w:tcPr>
          <w:p w:rsidR="003F791C" w:rsidRPr="00144D81" w:rsidRDefault="003F791C" w:rsidP="00F84223">
            <w:pPr>
              <w:pStyle w:val="Tabletext"/>
            </w:pPr>
            <w:r w:rsidRPr="00144D81">
              <w:t>96</w:t>
            </w:r>
          </w:p>
        </w:tc>
        <w:tc>
          <w:tcPr>
            <w:tcW w:w="511" w:type="pct"/>
            <w:vAlign w:val="bottom"/>
          </w:tcPr>
          <w:p w:rsidR="003F791C" w:rsidRPr="00BF7528" w:rsidRDefault="003F791C" w:rsidP="00F84223">
            <w:pPr>
              <w:pStyle w:val="Tabletext"/>
            </w:pPr>
            <w:r w:rsidRPr="00BF7528">
              <w:t>1.48:1</w:t>
            </w:r>
          </w:p>
        </w:tc>
        <w:tc>
          <w:tcPr>
            <w:tcW w:w="472" w:type="pct"/>
          </w:tcPr>
          <w:p w:rsidR="003F791C" w:rsidRPr="00144D81" w:rsidRDefault="003F791C" w:rsidP="00F84223">
            <w:pPr>
              <w:pStyle w:val="Tabletext"/>
            </w:pPr>
            <w:r w:rsidRPr="00144D81">
              <w:t>182</w:t>
            </w:r>
          </w:p>
        </w:tc>
        <w:tc>
          <w:tcPr>
            <w:tcW w:w="410" w:type="pct"/>
          </w:tcPr>
          <w:p w:rsidR="003F791C" w:rsidRPr="00144D81" w:rsidRDefault="003F791C" w:rsidP="00F84223">
            <w:pPr>
              <w:pStyle w:val="Tabletext"/>
            </w:pPr>
            <w:r w:rsidRPr="00144D81">
              <w:t>87</w:t>
            </w:r>
          </w:p>
        </w:tc>
        <w:tc>
          <w:tcPr>
            <w:tcW w:w="656" w:type="pct"/>
            <w:vAlign w:val="bottom"/>
          </w:tcPr>
          <w:p w:rsidR="003F791C" w:rsidRPr="00BF7528" w:rsidRDefault="003F791C" w:rsidP="00F84223">
            <w:pPr>
              <w:pStyle w:val="Tabletext"/>
            </w:pPr>
            <w:r w:rsidRPr="00BF7528">
              <w:t>2.09:1</w:t>
            </w:r>
          </w:p>
        </w:tc>
        <w:tc>
          <w:tcPr>
            <w:tcW w:w="1083" w:type="pct"/>
            <w:vAlign w:val="bottom"/>
          </w:tcPr>
          <w:p w:rsidR="003F791C" w:rsidRPr="00BF7528" w:rsidRDefault="003F791C" w:rsidP="00F84223">
            <w:pPr>
              <w:pStyle w:val="Tabletext"/>
            </w:pPr>
            <w:r w:rsidRPr="00BF7528">
              <w:t>0.612787</w:t>
            </w:r>
          </w:p>
        </w:tc>
      </w:tr>
      <w:tr w:rsidR="003F791C" w:rsidTr="00F84223">
        <w:tc>
          <w:tcPr>
            <w:tcW w:w="821" w:type="pct"/>
          </w:tcPr>
          <w:p w:rsidR="003F791C" w:rsidRDefault="003F791C" w:rsidP="00F84223">
            <w:pPr>
              <w:pStyle w:val="Tabletext"/>
            </w:pPr>
            <w:r>
              <w:t>Source</w:t>
            </w:r>
          </w:p>
        </w:tc>
        <w:tc>
          <w:tcPr>
            <w:tcW w:w="4179" w:type="pct"/>
            <w:gridSpan w:val="7"/>
          </w:tcPr>
          <w:p w:rsidR="003F791C" w:rsidRPr="00BF7528" w:rsidRDefault="005F6015" w:rsidP="00F84223">
            <w:pPr>
              <w:pStyle w:val="Tabletext"/>
            </w:pPr>
            <w:r w:rsidRPr="005F6015">
              <w:t>Attachment 4</w:t>
            </w:r>
          </w:p>
        </w:tc>
      </w:tr>
    </w:tbl>
    <w:p w:rsidR="003F791C" w:rsidRDefault="003F791C" w:rsidP="003F791C"/>
    <w:p w:rsidR="003F791C" w:rsidRDefault="003F791C" w:rsidP="003F791C">
      <w:pPr>
        <w:pStyle w:val="Tablenotes"/>
        <w:spacing w:before="0" w:after="240" w:line="360" w:lineRule="auto"/>
        <w:rPr>
          <w:rFonts w:ascii="Californian FB" w:hAnsi="Californian FB"/>
          <w:sz w:val="22"/>
          <w:szCs w:val="24"/>
        </w:rPr>
      </w:pPr>
      <w:r>
        <w:rPr>
          <w:rFonts w:ascii="Californian FB" w:hAnsi="Californian FB"/>
          <w:sz w:val="22"/>
          <w:szCs w:val="24"/>
        </w:rPr>
        <w:t>Generally the comparative true positive results varied for all reference standards across all test thresholds with cell filtration LBC compared to CC in the Strander trial (</w:t>
      </w:r>
      <w:r w:rsidR="00086C77">
        <w:fldChar w:fldCharType="begin"/>
      </w:r>
      <w:r w:rsidR="00086C77">
        <w:instrText xml:space="preserve"> REF _Ref334778428 \h  \* MERGEFORMAT </w:instrText>
      </w:r>
      <w:r w:rsidR="00086C77">
        <w:fldChar w:fldCharType="separate"/>
      </w:r>
      <w:r w:rsidR="003361A8" w:rsidRPr="003361A8">
        <w:rPr>
          <w:rFonts w:ascii="Californian FB" w:hAnsi="Californian FB"/>
          <w:sz w:val="22"/>
          <w:szCs w:val="24"/>
        </w:rPr>
        <w:t>Table 109</w:t>
      </w:r>
      <w:r w:rsidR="00086C77">
        <w:fldChar w:fldCharType="end"/>
      </w:r>
      <w:r>
        <w:rPr>
          <w:rFonts w:ascii="Californian FB" w:hAnsi="Californian FB"/>
          <w:sz w:val="22"/>
          <w:szCs w:val="24"/>
        </w:rPr>
        <w:t xml:space="preserve">). The incremental rate of true positives for cell filtration LBC compared with CC was less than 1 in all cases except for the HSIL+ test threshold. At this test threshold there was almost three more CIN 1+histological abnormalities detected with cell filtration LBC compared to CC but nine less CIN 2+histological abnormalities detected with cell filtration LBC compared to CC. </w:t>
      </w:r>
    </w:p>
    <w:p w:rsidR="003F791C" w:rsidRDefault="003F791C" w:rsidP="003F791C">
      <w:pPr>
        <w:pStyle w:val="Tablenotes"/>
        <w:spacing w:before="0" w:after="240" w:line="360" w:lineRule="auto"/>
        <w:rPr>
          <w:rFonts w:ascii="Californian FB" w:hAnsi="Californian FB"/>
          <w:sz w:val="22"/>
          <w:szCs w:val="24"/>
        </w:rPr>
      </w:pPr>
    </w:p>
    <w:p w:rsidR="003F791C" w:rsidRDefault="003F791C" w:rsidP="003F791C">
      <w:pPr>
        <w:pStyle w:val="Caption"/>
      </w:pPr>
      <w:bookmarkStart w:id="676" w:name="_Ref334778428"/>
      <w:bookmarkStart w:id="677" w:name="_Toc335666036"/>
      <w:bookmarkStart w:id="678" w:name="_Toc337547049"/>
      <w:r>
        <w:lastRenderedPageBreak/>
        <w:t xml:space="preserve">Table </w:t>
      </w:r>
      <w:fldSimple w:instr=" SEQ Table \* ARABIC ">
        <w:r w:rsidR="003361A8">
          <w:rPr>
            <w:noProof/>
          </w:rPr>
          <w:t>109</w:t>
        </w:r>
      </w:fldSimple>
      <w:bookmarkEnd w:id="676"/>
      <w:r>
        <w:tab/>
        <w:t>True positive: false positive; for histology low grade histology (CIN 1+and CIN 2+) CC versus cell filtration LBC: Strander 2007</w:t>
      </w:r>
      <w:bookmarkEnd w:id="677"/>
      <w:bookmarkEnd w:id="67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9"/>
        <w:gridCol w:w="999"/>
        <w:gridCol w:w="886"/>
        <w:gridCol w:w="920"/>
        <w:gridCol w:w="850"/>
        <w:gridCol w:w="886"/>
        <w:gridCol w:w="1181"/>
        <w:gridCol w:w="1803"/>
      </w:tblGrid>
      <w:tr w:rsidR="003F791C" w:rsidRPr="00D57B9F" w:rsidTr="00F84223">
        <w:tc>
          <w:tcPr>
            <w:tcW w:w="821" w:type="pct"/>
          </w:tcPr>
          <w:p w:rsidR="003F791C" w:rsidRPr="00D57B9F" w:rsidRDefault="003F791C" w:rsidP="00F84223">
            <w:pPr>
              <w:pStyle w:val="Tabletext"/>
              <w:rPr>
                <w:b/>
              </w:rPr>
            </w:pPr>
          </w:p>
        </w:tc>
        <w:tc>
          <w:tcPr>
            <w:tcW w:w="1558" w:type="pct"/>
            <w:gridSpan w:val="3"/>
          </w:tcPr>
          <w:p w:rsidR="003F791C" w:rsidRPr="00D57B9F" w:rsidRDefault="003F791C" w:rsidP="00F84223">
            <w:pPr>
              <w:pStyle w:val="Tabletext"/>
              <w:rPr>
                <w:b/>
              </w:rPr>
            </w:pPr>
            <w:r w:rsidRPr="00D57B9F">
              <w:rPr>
                <w:b/>
              </w:rPr>
              <w:t>Conventional</w:t>
            </w:r>
          </w:p>
        </w:tc>
        <w:tc>
          <w:tcPr>
            <w:tcW w:w="1620" w:type="pct"/>
            <w:gridSpan w:val="3"/>
          </w:tcPr>
          <w:p w:rsidR="003F791C" w:rsidRPr="00D57B9F" w:rsidRDefault="003F791C" w:rsidP="00F84223">
            <w:pPr>
              <w:pStyle w:val="Tabletext"/>
              <w:rPr>
                <w:b/>
              </w:rPr>
            </w:pPr>
            <w:r w:rsidRPr="00D57B9F">
              <w:rPr>
                <w:b/>
              </w:rPr>
              <w:t>LBC</w:t>
            </w:r>
          </w:p>
        </w:tc>
        <w:tc>
          <w:tcPr>
            <w:tcW w:w="1002" w:type="pct"/>
          </w:tcPr>
          <w:p w:rsidR="003F791C" w:rsidRPr="00D57B9F" w:rsidRDefault="003F791C" w:rsidP="00F84223">
            <w:pPr>
              <w:pStyle w:val="Tabletext"/>
              <w:rPr>
                <w:b/>
              </w:rPr>
            </w:pPr>
            <w:r w:rsidRPr="00D57B9F">
              <w:rPr>
                <w:b/>
              </w:rPr>
              <w:t>Incremental rate true positive</w:t>
            </w:r>
          </w:p>
        </w:tc>
      </w:tr>
      <w:tr w:rsidR="003F791C" w:rsidRPr="00D57B9F" w:rsidTr="00F84223">
        <w:tc>
          <w:tcPr>
            <w:tcW w:w="821" w:type="pct"/>
          </w:tcPr>
          <w:p w:rsidR="003F791C" w:rsidRPr="00D57B9F" w:rsidRDefault="003F791C" w:rsidP="00F84223">
            <w:pPr>
              <w:pStyle w:val="Tabletext"/>
              <w:rPr>
                <w:b/>
              </w:rPr>
            </w:pPr>
          </w:p>
        </w:tc>
        <w:tc>
          <w:tcPr>
            <w:tcW w:w="555" w:type="pct"/>
          </w:tcPr>
          <w:p w:rsidR="003F791C" w:rsidRPr="00D57B9F" w:rsidRDefault="003F791C" w:rsidP="00F84223">
            <w:pPr>
              <w:pStyle w:val="Tabletext"/>
              <w:rPr>
                <w:b/>
              </w:rPr>
            </w:pPr>
            <w:r w:rsidRPr="00D57B9F">
              <w:rPr>
                <w:b/>
              </w:rPr>
              <w:t>TP</w:t>
            </w:r>
          </w:p>
        </w:tc>
        <w:tc>
          <w:tcPr>
            <w:tcW w:w="492" w:type="pct"/>
          </w:tcPr>
          <w:p w:rsidR="003F791C" w:rsidRPr="00D57B9F" w:rsidRDefault="003F791C" w:rsidP="00F84223">
            <w:pPr>
              <w:pStyle w:val="Tabletext"/>
              <w:rPr>
                <w:b/>
              </w:rPr>
            </w:pPr>
            <w:r w:rsidRPr="00D57B9F">
              <w:rPr>
                <w:b/>
              </w:rPr>
              <w:t>FP</w:t>
            </w:r>
          </w:p>
        </w:tc>
        <w:tc>
          <w:tcPr>
            <w:tcW w:w="511" w:type="pct"/>
          </w:tcPr>
          <w:p w:rsidR="003F791C" w:rsidRPr="00D57B9F" w:rsidRDefault="003F791C" w:rsidP="00F84223">
            <w:pPr>
              <w:pStyle w:val="Tabletext"/>
              <w:rPr>
                <w:b/>
              </w:rPr>
            </w:pPr>
            <w:r w:rsidRPr="00D57B9F">
              <w:rPr>
                <w:b/>
              </w:rPr>
              <w:t>TP:FP</w:t>
            </w:r>
          </w:p>
        </w:tc>
        <w:tc>
          <w:tcPr>
            <w:tcW w:w="472" w:type="pct"/>
          </w:tcPr>
          <w:p w:rsidR="003F791C" w:rsidRPr="00D57B9F" w:rsidRDefault="003F791C" w:rsidP="00F84223">
            <w:pPr>
              <w:pStyle w:val="Tabletext"/>
              <w:rPr>
                <w:b/>
              </w:rPr>
            </w:pPr>
            <w:r w:rsidRPr="00D57B9F">
              <w:rPr>
                <w:b/>
              </w:rPr>
              <w:t>TP</w:t>
            </w:r>
          </w:p>
        </w:tc>
        <w:tc>
          <w:tcPr>
            <w:tcW w:w="492" w:type="pct"/>
          </w:tcPr>
          <w:p w:rsidR="003F791C" w:rsidRPr="00D57B9F" w:rsidRDefault="003F791C" w:rsidP="00F84223">
            <w:pPr>
              <w:pStyle w:val="Tabletext"/>
              <w:rPr>
                <w:b/>
              </w:rPr>
            </w:pPr>
            <w:r w:rsidRPr="00D57B9F">
              <w:rPr>
                <w:b/>
              </w:rPr>
              <w:t>FP</w:t>
            </w:r>
          </w:p>
        </w:tc>
        <w:tc>
          <w:tcPr>
            <w:tcW w:w="656" w:type="pct"/>
          </w:tcPr>
          <w:p w:rsidR="003F791C" w:rsidRPr="00D57B9F" w:rsidRDefault="003F791C" w:rsidP="00F84223">
            <w:pPr>
              <w:pStyle w:val="Tabletext"/>
              <w:rPr>
                <w:b/>
              </w:rPr>
            </w:pPr>
            <w:r w:rsidRPr="00D57B9F">
              <w:rPr>
                <w:b/>
              </w:rPr>
              <w:t>TP:FP</w:t>
            </w:r>
          </w:p>
        </w:tc>
        <w:tc>
          <w:tcPr>
            <w:tcW w:w="1002" w:type="pct"/>
          </w:tcPr>
          <w:p w:rsidR="003F791C" w:rsidRPr="00D57B9F" w:rsidRDefault="003F791C" w:rsidP="00F84223">
            <w:pPr>
              <w:pStyle w:val="Tabletext"/>
              <w:rPr>
                <w:b/>
              </w:rPr>
            </w:pPr>
          </w:p>
        </w:tc>
      </w:tr>
      <w:tr w:rsidR="003F791C" w:rsidRPr="00D57B9F" w:rsidTr="00F84223">
        <w:tc>
          <w:tcPr>
            <w:tcW w:w="821" w:type="pct"/>
          </w:tcPr>
          <w:p w:rsidR="003F791C" w:rsidRPr="00D57B9F" w:rsidRDefault="003F791C" w:rsidP="00F84223">
            <w:pPr>
              <w:pStyle w:val="Tabletext"/>
              <w:rPr>
                <w:b/>
              </w:rPr>
            </w:pPr>
            <w:r w:rsidRPr="00D57B9F">
              <w:rPr>
                <w:b/>
              </w:rPr>
              <w:t>Test threshold</w:t>
            </w:r>
          </w:p>
        </w:tc>
        <w:tc>
          <w:tcPr>
            <w:tcW w:w="4179" w:type="pct"/>
            <w:gridSpan w:val="7"/>
          </w:tcPr>
          <w:p w:rsidR="003F791C" w:rsidRPr="00D57B9F" w:rsidRDefault="003F791C" w:rsidP="00F84223">
            <w:pPr>
              <w:pStyle w:val="Tabletext"/>
              <w:rPr>
                <w:b/>
              </w:rPr>
            </w:pPr>
            <w:r w:rsidRPr="00D57B9F">
              <w:rPr>
                <w:b/>
              </w:rPr>
              <w:t>CIN</w:t>
            </w:r>
            <w:r>
              <w:rPr>
                <w:b/>
              </w:rPr>
              <w:t xml:space="preserve"> </w:t>
            </w:r>
            <w:r w:rsidRPr="00D57B9F">
              <w:rPr>
                <w:b/>
              </w:rPr>
              <w:t>1+</w:t>
            </w:r>
          </w:p>
        </w:tc>
      </w:tr>
      <w:tr w:rsidR="003F791C" w:rsidTr="00F84223">
        <w:tc>
          <w:tcPr>
            <w:tcW w:w="821" w:type="pct"/>
          </w:tcPr>
          <w:p w:rsidR="003F791C" w:rsidRDefault="003F791C" w:rsidP="00F84223">
            <w:pPr>
              <w:pStyle w:val="Tabletext"/>
            </w:pPr>
            <w:r>
              <w:t>ASCUS+</w:t>
            </w:r>
          </w:p>
        </w:tc>
        <w:tc>
          <w:tcPr>
            <w:tcW w:w="555" w:type="pct"/>
          </w:tcPr>
          <w:p w:rsidR="003F791C" w:rsidRPr="00144D81" w:rsidRDefault="003F791C" w:rsidP="00F84223">
            <w:pPr>
              <w:pStyle w:val="Tabletext"/>
            </w:pPr>
            <w:r w:rsidRPr="00144D81">
              <w:t>120</w:t>
            </w:r>
          </w:p>
        </w:tc>
        <w:tc>
          <w:tcPr>
            <w:tcW w:w="492" w:type="pct"/>
          </w:tcPr>
          <w:p w:rsidR="003F791C" w:rsidRPr="00144D81" w:rsidRDefault="003F791C" w:rsidP="00F84223">
            <w:pPr>
              <w:pStyle w:val="Tabletext"/>
            </w:pPr>
            <w:r w:rsidRPr="00704CC9">
              <w:t>128</w:t>
            </w:r>
          </w:p>
        </w:tc>
        <w:tc>
          <w:tcPr>
            <w:tcW w:w="511" w:type="pct"/>
            <w:vAlign w:val="bottom"/>
          </w:tcPr>
          <w:p w:rsidR="003F791C" w:rsidRPr="00704CC9" w:rsidRDefault="003F791C" w:rsidP="00F84223">
            <w:pPr>
              <w:pStyle w:val="Tabletext"/>
            </w:pPr>
            <w:r w:rsidRPr="00704CC9">
              <w:t>0.94:1</w:t>
            </w:r>
          </w:p>
        </w:tc>
        <w:tc>
          <w:tcPr>
            <w:tcW w:w="472" w:type="pct"/>
          </w:tcPr>
          <w:p w:rsidR="003F791C" w:rsidRPr="00144D81" w:rsidRDefault="003F791C" w:rsidP="00F84223">
            <w:pPr>
              <w:pStyle w:val="Tabletext"/>
            </w:pPr>
            <w:r w:rsidRPr="00144D81">
              <w:t>81</w:t>
            </w:r>
          </w:p>
        </w:tc>
        <w:tc>
          <w:tcPr>
            <w:tcW w:w="492" w:type="pct"/>
          </w:tcPr>
          <w:p w:rsidR="003F791C" w:rsidRPr="00144D81" w:rsidRDefault="003F791C" w:rsidP="00F84223">
            <w:pPr>
              <w:pStyle w:val="Tabletext"/>
            </w:pPr>
            <w:r>
              <w:t>105</w:t>
            </w:r>
          </w:p>
        </w:tc>
        <w:tc>
          <w:tcPr>
            <w:tcW w:w="656" w:type="pct"/>
            <w:vAlign w:val="bottom"/>
          </w:tcPr>
          <w:p w:rsidR="003F791C" w:rsidRPr="00704CC9" w:rsidRDefault="003F791C" w:rsidP="00F84223">
            <w:pPr>
              <w:pStyle w:val="Tabletext"/>
            </w:pPr>
            <w:r w:rsidRPr="00704CC9">
              <w:t>0.77:1</w:t>
            </w:r>
          </w:p>
        </w:tc>
        <w:tc>
          <w:tcPr>
            <w:tcW w:w="1002" w:type="pct"/>
            <w:vAlign w:val="bottom"/>
          </w:tcPr>
          <w:p w:rsidR="003F791C" w:rsidRPr="00704CC9" w:rsidRDefault="003F791C" w:rsidP="00F84223">
            <w:pPr>
              <w:pStyle w:val="Tabletext"/>
            </w:pPr>
            <w:r w:rsidRPr="00704CC9">
              <w:t>-0.16607</w:t>
            </w:r>
          </w:p>
        </w:tc>
      </w:tr>
      <w:tr w:rsidR="003F791C" w:rsidTr="00F84223">
        <w:tc>
          <w:tcPr>
            <w:tcW w:w="821" w:type="pct"/>
          </w:tcPr>
          <w:p w:rsidR="003F791C" w:rsidRDefault="003F791C" w:rsidP="00F84223">
            <w:pPr>
              <w:pStyle w:val="Tabletext"/>
            </w:pPr>
            <w:r>
              <w:t>LSIL+</w:t>
            </w:r>
          </w:p>
        </w:tc>
        <w:tc>
          <w:tcPr>
            <w:tcW w:w="555" w:type="pct"/>
          </w:tcPr>
          <w:p w:rsidR="003F791C" w:rsidRPr="00144D81" w:rsidRDefault="003F791C" w:rsidP="00F84223">
            <w:pPr>
              <w:pStyle w:val="Tabletext"/>
            </w:pPr>
            <w:r w:rsidRPr="00144D81">
              <w:t>74</w:t>
            </w:r>
          </w:p>
        </w:tc>
        <w:tc>
          <w:tcPr>
            <w:tcW w:w="492" w:type="pct"/>
          </w:tcPr>
          <w:p w:rsidR="003F791C" w:rsidRPr="00144D81" w:rsidRDefault="003F791C" w:rsidP="00F84223">
            <w:pPr>
              <w:pStyle w:val="Tabletext"/>
            </w:pPr>
            <w:r>
              <w:t>54</w:t>
            </w:r>
          </w:p>
        </w:tc>
        <w:tc>
          <w:tcPr>
            <w:tcW w:w="511" w:type="pct"/>
            <w:vAlign w:val="bottom"/>
          </w:tcPr>
          <w:p w:rsidR="003F791C" w:rsidRPr="00704CC9" w:rsidRDefault="003F791C" w:rsidP="00F84223">
            <w:pPr>
              <w:pStyle w:val="Tabletext"/>
            </w:pPr>
            <w:r w:rsidRPr="00704CC9">
              <w:t>1.37:1</w:t>
            </w:r>
          </w:p>
        </w:tc>
        <w:tc>
          <w:tcPr>
            <w:tcW w:w="472" w:type="pct"/>
          </w:tcPr>
          <w:p w:rsidR="003F791C" w:rsidRPr="00144D81" w:rsidRDefault="003F791C" w:rsidP="00F84223">
            <w:pPr>
              <w:pStyle w:val="Tabletext"/>
            </w:pPr>
            <w:r w:rsidRPr="00144D81">
              <w:t>61</w:t>
            </w:r>
          </w:p>
        </w:tc>
        <w:tc>
          <w:tcPr>
            <w:tcW w:w="492" w:type="pct"/>
          </w:tcPr>
          <w:p w:rsidR="003F791C" w:rsidRPr="00144D81" w:rsidRDefault="003F791C" w:rsidP="00F84223">
            <w:pPr>
              <w:pStyle w:val="Tabletext"/>
            </w:pPr>
            <w:r>
              <w:t>47</w:t>
            </w:r>
          </w:p>
        </w:tc>
        <w:tc>
          <w:tcPr>
            <w:tcW w:w="656" w:type="pct"/>
            <w:vAlign w:val="bottom"/>
          </w:tcPr>
          <w:p w:rsidR="003F791C" w:rsidRPr="00704CC9" w:rsidRDefault="003F791C" w:rsidP="00F84223">
            <w:pPr>
              <w:pStyle w:val="Tabletext"/>
            </w:pPr>
            <w:r w:rsidRPr="00704CC9">
              <w:t>1.3:1</w:t>
            </w:r>
          </w:p>
        </w:tc>
        <w:tc>
          <w:tcPr>
            <w:tcW w:w="1002" w:type="pct"/>
            <w:vAlign w:val="bottom"/>
          </w:tcPr>
          <w:p w:rsidR="003F791C" w:rsidRPr="00704CC9" w:rsidRDefault="003F791C" w:rsidP="00F84223">
            <w:pPr>
              <w:pStyle w:val="Tabletext"/>
            </w:pPr>
            <w:r w:rsidRPr="00704CC9">
              <w:t>-0.0725</w:t>
            </w:r>
          </w:p>
        </w:tc>
      </w:tr>
      <w:tr w:rsidR="003F791C" w:rsidTr="00F84223">
        <w:tc>
          <w:tcPr>
            <w:tcW w:w="821" w:type="pct"/>
          </w:tcPr>
          <w:p w:rsidR="003F791C" w:rsidRDefault="003F791C" w:rsidP="00F84223">
            <w:pPr>
              <w:pStyle w:val="Tabletext"/>
            </w:pPr>
            <w:r>
              <w:t>HSIL+</w:t>
            </w:r>
          </w:p>
        </w:tc>
        <w:tc>
          <w:tcPr>
            <w:tcW w:w="555" w:type="pct"/>
          </w:tcPr>
          <w:p w:rsidR="003F791C" w:rsidRPr="00144D81" w:rsidRDefault="003F791C" w:rsidP="00F84223">
            <w:pPr>
              <w:pStyle w:val="Tabletext"/>
            </w:pPr>
            <w:r w:rsidRPr="00144D81">
              <w:t>42</w:t>
            </w:r>
          </w:p>
        </w:tc>
        <w:tc>
          <w:tcPr>
            <w:tcW w:w="492" w:type="pct"/>
          </w:tcPr>
          <w:p w:rsidR="003F791C" w:rsidRPr="00144D81" w:rsidRDefault="003F791C" w:rsidP="00F84223">
            <w:pPr>
              <w:pStyle w:val="Tabletext"/>
            </w:pPr>
            <w:r>
              <w:t>3</w:t>
            </w:r>
          </w:p>
        </w:tc>
        <w:tc>
          <w:tcPr>
            <w:tcW w:w="511" w:type="pct"/>
            <w:vAlign w:val="bottom"/>
          </w:tcPr>
          <w:p w:rsidR="003F791C" w:rsidRPr="00704CC9" w:rsidRDefault="003F791C" w:rsidP="00F84223">
            <w:pPr>
              <w:pStyle w:val="Tabletext"/>
            </w:pPr>
            <w:r w:rsidRPr="00704CC9">
              <w:t>14:1</w:t>
            </w:r>
          </w:p>
        </w:tc>
        <w:tc>
          <w:tcPr>
            <w:tcW w:w="472" w:type="pct"/>
          </w:tcPr>
          <w:p w:rsidR="003F791C" w:rsidRPr="00144D81" w:rsidRDefault="003F791C" w:rsidP="00F84223">
            <w:pPr>
              <w:pStyle w:val="Tabletext"/>
            </w:pPr>
            <w:r w:rsidRPr="00144D81">
              <w:t>33</w:t>
            </w:r>
          </w:p>
        </w:tc>
        <w:tc>
          <w:tcPr>
            <w:tcW w:w="492" w:type="pct"/>
          </w:tcPr>
          <w:p w:rsidR="003F791C" w:rsidRPr="00144D81" w:rsidRDefault="003F791C" w:rsidP="00F84223">
            <w:pPr>
              <w:pStyle w:val="Tabletext"/>
            </w:pPr>
            <w:r w:rsidRPr="00144D81">
              <w:t>2</w:t>
            </w:r>
          </w:p>
        </w:tc>
        <w:tc>
          <w:tcPr>
            <w:tcW w:w="656" w:type="pct"/>
            <w:vAlign w:val="bottom"/>
          </w:tcPr>
          <w:p w:rsidR="003F791C" w:rsidRPr="00704CC9" w:rsidRDefault="003F791C" w:rsidP="00F84223">
            <w:pPr>
              <w:pStyle w:val="Tabletext"/>
            </w:pPr>
            <w:r w:rsidRPr="00704CC9">
              <w:t>16.5:1</w:t>
            </w:r>
          </w:p>
        </w:tc>
        <w:tc>
          <w:tcPr>
            <w:tcW w:w="1002" w:type="pct"/>
            <w:vAlign w:val="bottom"/>
          </w:tcPr>
          <w:p w:rsidR="003F791C" w:rsidRPr="00704CC9" w:rsidRDefault="003F791C" w:rsidP="00F84223">
            <w:pPr>
              <w:pStyle w:val="Tabletext"/>
            </w:pPr>
            <w:r w:rsidRPr="00704CC9">
              <w:t>2.5</w:t>
            </w:r>
          </w:p>
        </w:tc>
      </w:tr>
      <w:tr w:rsidR="003F791C" w:rsidRPr="00D57B9F" w:rsidTr="00F84223">
        <w:tc>
          <w:tcPr>
            <w:tcW w:w="821" w:type="pct"/>
          </w:tcPr>
          <w:p w:rsidR="003F791C" w:rsidRPr="00D57B9F" w:rsidRDefault="003F791C" w:rsidP="00F84223">
            <w:pPr>
              <w:pStyle w:val="Tabletext"/>
              <w:rPr>
                <w:b/>
              </w:rPr>
            </w:pPr>
          </w:p>
        </w:tc>
        <w:tc>
          <w:tcPr>
            <w:tcW w:w="4179" w:type="pct"/>
            <w:gridSpan w:val="7"/>
          </w:tcPr>
          <w:p w:rsidR="003F791C" w:rsidRPr="00D57B9F" w:rsidRDefault="003F791C" w:rsidP="00F84223">
            <w:pPr>
              <w:pStyle w:val="Tabletext"/>
              <w:rPr>
                <w:b/>
              </w:rPr>
            </w:pPr>
            <w:r w:rsidRPr="00D57B9F">
              <w:rPr>
                <w:b/>
              </w:rPr>
              <w:t>CIN</w:t>
            </w:r>
            <w:r>
              <w:rPr>
                <w:b/>
              </w:rPr>
              <w:t xml:space="preserve"> </w:t>
            </w:r>
            <w:r w:rsidRPr="00D57B9F">
              <w:rPr>
                <w:b/>
              </w:rPr>
              <w:t>2+</w:t>
            </w:r>
          </w:p>
        </w:tc>
      </w:tr>
      <w:tr w:rsidR="003F791C" w:rsidTr="00F84223">
        <w:tc>
          <w:tcPr>
            <w:tcW w:w="821" w:type="pct"/>
          </w:tcPr>
          <w:p w:rsidR="003F791C" w:rsidRDefault="003F791C" w:rsidP="00F84223">
            <w:pPr>
              <w:pStyle w:val="Tabletext"/>
            </w:pPr>
            <w:r>
              <w:t>ASCUS+</w:t>
            </w:r>
          </w:p>
        </w:tc>
        <w:tc>
          <w:tcPr>
            <w:tcW w:w="555" w:type="pct"/>
          </w:tcPr>
          <w:p w:rsidR="003F791C" w:rsidRDefault="003F791C" w:rsidP="00F84223">
            <w:pPr>
              <w:pStyle w:val="Tabletext"/>
            </w:pPr>
            <w:r>
              <w:t>73</w:t>
            </w:r>
          </w:p>
        </w:tc>
        <w:tc>
          <w:tcPr>
            <w:tcW w:w="492" w:type="pct"/>
          </w:tcPr>
          <w:p w:rsidR="003F791C" w:rsidRDefault="003F791C" w:rsidP="00F84223">
            <w:pPr>
              <w:pStyle w:val="Tabletext"/>
            </w:pPr>
            <w:r>
              <w:t>175</w:t>
            </w:r>
          </w:p>
        </w:tc>
        <w:tc>
          <w:tcPr>
            <w:tcW w:w="511" w:type="pct"/>
            <w:vAlign w:val="bottom"/>
          </w:tcPr>
          <w:p w:rsidR="003F791C" w:rsidRPr="00704CC9" w:rsidRDefault="003F791C" w:rsidP="00F84223">
            <w:pPr>
              <w:pStyle w:val="Tabletext"/>
            </w:pPr>
            <w:r w:rsidRPr="00704CC9">
              <w:t>0.42:1</w:t>
            </w:r>
          </w:p>
        </w:tc>
        <w:tc>
          <w:tcPr>
            <w:tcW w:w="472" w:type="pct"/>
          </w:tcPr>
          <w:p w:rsidR="003F791C" w:rsidRDefault="003F791C" w:rsidP="00F84223">
            <w:pPr>
              <w:pStyle w:val="Tabletext"/>
            </w:pPr>
            <w:r>
              <w:t>55</w:t>
            </w:r>
          </w:p>
        </w:tc>
        <w:tc>
          <w:tcPr>
            <w:tcW w:w="492" w:type="pct"/>
          </w:tcPr>
          <w:p w:rsidR="003F791C" w:rsidRDefault="003F791C" w:rsidP="00F84223">
            <w:pPr>
              <w:pStyle w:val="Tabletext"/>
            </w:pPr>
            <w:r>
              <w:t>131</w:t>
            </w:r>
          </w:p>
        </w:tc>
        <w:tc>
          <w:tcPr>
            <w:tcW w:w="656" w:type="pct"/>
            <w:vAlign w:val="bottom"/>
          </w:tcPr>
          <w:p w:rsidR="003F791C" w:rsidRPr="00704CC9" w:rsidRDefault="003F791C" w:rsidP="00F84223">
            <w:pPr>
              <w:pStyle w:val="Tabletext"/>
            </w:pPr>
            <w:r w:rsidRPr="00704CC9">
              <w:t>0.42:1</w:t>
            </w:r>
          </w:p>
        </w:tc>
        <w:tc>
          <w:tcPr>
            <w:tcW w:w="1002" w:type="pct"/>
            <w:vAlign w:val="bottom"/>
          </w:tcPr>
          <w:p w:rsidR="003F791C" w:rsidRPr="00704CC9" w:rsidRDefault="003F791C" w:rsidP="00F84223">
            <w:pPr>
              <w:pStyle w:val="Tabletext"/>
            </w:pPr>
            <w:r w:rsidRPr="00704CC9">
              <w:t>0.002704</w:t>
            </w:r>
          </w:p>
        </w:tc>
      </w:tr>
      <w:tr w:rsidR="003F791C" w:rsidTr="00F84223">
        <w:tc>
          <w:tcPr>
            <w:tcW w:w="821" w:type="pct"/>
          </w:tcPr>
          <w:p w:rsidR="003F791C" w:rsidRDefault="003F791C" w:rsidP="00F84223">
            <w:pPr>
              <w:pStyle w:val="Tabletext"/>
            </w:pPr>
            <w:r>
              <w:t>LSIL+</w:t>
            </w:r>
          </w:p>
        </w:tc>
        <w:tc>
          <w:tcPr>
            <w:tcW w:w="555" w:type="pct"/>
          </w:tcPr>
          <w:p w:rsidR="003F791C" w:rsidRDefault="003F791C" w:rsidP="00F84223">
            <w:pPr>
              <w:pStyle w:val="Tabletext"/>
            </w:pPr>
            <w:r>
              <w:t>51</w:t>
            </w:r>
          </w:p>
        </w:tc>
        <w:tc>
          <w:tcPr>
            <w:tcW w:w="492" w:type="pct"/>
          </w:tcPr>
          <w:p w:rsidR="003F791C" w:rsidRDefault="003F791C" w:rsidP="00F84223">
            <w:pPr>
              <w:pStyle w:val="Tabletext"/>
            </w:pPr>
            <w:r>
              <w:t>77</w:t>
            </w:r>
          </w:p>
        </w:tc>
        <w:tc>
          <w:tcPr>
            <w:tcW w:w="511" w:type="pct"/>
            <w:vAlign w:val="bottom"/>
          </w:tcPr>
          <w:p w:rsidR="003F791C" w:rsidRPr="00704CC9" w:rsidRDefault="003F791C" w:rsidP="00F84223">
            <w:pPr>
              <w:pStyle w:val="Tabletext"/>
            </w:pPr>
            <w:r w:rsidRPr="00704CC9">
              <w:t>0.66:1</w:t>
            </w:r>
          </w:p>
        </w:tc>
        <w:tc>
          <w:tcPr>
            <w:tcW w:w="472" w:type="pct"/>
          </w:tcPr>
          <w:p w:rsidR="003F791C" w:rsidRDefault="003F791C" w:rsidP="00F84223">
            <w:pPr>
              <w:pStyle w:val="Tabletext"/>
            </w:pPr>
            <w:r>
              <w:t>44</w:t>
            </w:r>
          </w:p>
        </w:tc>
        <w:tc>
          <w:tcPr>
            <w:tcW w:w="492" w:type="pct"/>
          </w:tcPr>
          <w:p w:rsidR="003F791C" w:rsidRDefault="003F791C" w:rsidP="00F84223">
            <w:pPr>
              <w:pStyle w:val="Tabletext"/>
            </w:pPr>
            <w:r>
              <w:t>64</w:t>
            </w:r>
          </w:p>
        </w:tc>
        <w:tc>
          <w:tcPr>
            <w:tcW w:w="656" w:type="pct"/>
            <w:vAlign w:val="bottom"/>
          </w:tcPr>
          <w:p w:rsidR="003F791C" w:rsidRPr="00704CC9" w:rsidRDefault="003F791C" w:rsidP="00F84223">
            <w:pPr>
              <w:pStyle w:val="Tabletext"/>
            </w:pPr>
            <w:r w:rsidRPr="00704CC9">
              <w:t>0.69:1</w:t>
            </w:r>
          </w:p>
        </w:tc>
        <w:tc>
          <w:tcPr>
            <w:tcW w:w="1002" w:type="pct"/>
            <w:vAlign w:val="bottom"/>
          </w:tcPr>
          <w:p w:rsidR="003F791C" w:rsidRPr="00704CC9" w:rsidRDefault="003F791C" w:rsidP="00F84223">
            <w:pPr>
              <w:pStyle w:val="Tabletext"/>
            </w:pPr>
            <w:r w:rsidRPr="00704CC9">
              <w:t>0.025162</w:t>
            </w:r>
          </w:p>
        </w:tc>
      </w:tr>
      <w:tr w:rsidR="003F791C" w:rsidTr="00F84223">
        <w:tc>
          <w:tcPr>
            <w:tcW w:w="821" w:type="pct"/>
          </w:tcPr>
          <w:p w:rsidR="003F791C" w:rsidRDefault="003F791C" w:rsidP="00F84223">
            <w:pPr>
              <w:pStyle w:val="Tabletext"/>
            </w:pPr>
            <w:r>
              <w:t>HSIL+</w:t>
            </w:r>
          </w:p>
        </w:tc>
        <w:tc>
          <w:tcPr>
            <w:tcW w:w="555" w:type="pct"/>
          </w:tcPr>
          <w:p w:rsidR="003F791C" w:rsidRDefault="003F791C" w:rsidP="00F84223">
            <w:pPr>
              <w:pStyle w:val="Tabletext"/>
            </w:pPr>
            <w:r>
              <w:t>42</w:t>
            </w:r>
          </w:p>
        </w:tc>
        <w:tc>
          <w:tcPr>
            <w:tcW w:w="492" w:type="pct"/>
          </w:tcPr>
          <w:p w:rsidR="003F791C" w:rsidRDefault="003F791C" w:rsidP="00F84223">
            <w:pPr>
              <w:pStyle w:val="Tabletext"/>
            </w:pPr>
            <w:r>
              <w:t>3</w:t>
            </w:r>
          </w:p>
        </w:tc>
        <w:tc>
          <w:tcPr>
            <w:tcW w:w="511" w:type="pct"/>
            <w:vAlign w:val="bottom"/>
          </w:tcPr>
          <w:p w:rsidR="003F791C" w:rsidRPr="00704CC9" w:rsidRDefault="003F791C" w:rsidP="00F84223">
            <w:pPr>
              <w:pStyle w:val="Tabletext"/>
            </w:pPr>
            <w:r w:rsidRPr="00704CC9">
              <w:t>14:1</w:t>
            </w:r>
          </w:p>
        </w:tc>
        <w:tc>
          <w:tcPr>
            <w:tcW w:w="472" w:type="pct"/>
          </w:tcPr>
          <w:p w:rsidR="003F791C" w:rsidRDefault="003F791C" w:rsidP="00F84223">
            <w:pPr>
              <w:pStyle w:val="Tabletext"/>
            </w:pPr>
            <w:r>
              <w:t>29</w:t>
            </w:r>
          </w:p>
        </w:tc>
        <w:tc>
          <w:tcPr>
            <w:tcW w:w="492" w:type="pct"/>
          </w:tcPr>
          <w:p w:rsidR="003F791C" w:rsidRDefault="003F791C" w:rsidP="00F84223">
            <w:pPr>
              <w:pStyle w:val="Tabletext"/>
            </w:pPr>
            <w:r>
              <w:t>6</w:t>
            </w:r>
          </w:p>
        </w:tc>
        <w:tc>
          <w:tcPr>
            <w:tcW w:w="656" w:type="pct"/>
            <w:vAlign w:val="bottom"/>
          </w:tcPr>
          <w:p w:rsidR="003F791C" w:rsidRPr="00704CC9" w:rsidRDefault="003F791C" w:rsidP="00F84223">
            <w:pPr>
              <w:pStyle w:val="Tabletext"/>
            </w:pPr>
            <w:r w:rsidRPr="00704CC9">
              <w:t>4.83:1</w:t>
            </w:r>
          </w:p>
        </w:tc>
        <w:tc>
          <w:tcPr>
            <w:tcW w:w="1002" w:type="pct"/>
            <w:vAlign w:val="bottom"/>
          </w:tcPr>
          <w:p w:rsidR="003F791C" w:rsidRPr="00704CC9" w:rsidRDefault="003F791C" w:rsidP="00F84223">
            <w:pPr>
              <w:pStyle w:val="Tabletext"/>
            </w:pPr>
            <w:r w:rsidRPr="00704CC9">
              <w:t>-9.16667</w:t>
            </w:r>
          </w:p>
        </w:tc>
      </w:tr>
      <w:tr w:rsidR="003F791C" w:rsidTr="00F84223">
        <w:tc>
          <w:tcPr>
            <w:tcW w:w="821" w:type="pct"/>
          </w:tcPr>
          <w:p w:rsidR="003F791C" w:rsidRDefault="003F791C" w:rsidP="00F84223">
            <w:pPr>
              <w:pStyle w:val="Tabletext"/>
            </w:pPr>
            <w:r>
              <w:t>Source</w:t>
            </w:r>
          </w:p>
        </w:tc>
        <w:tc>
          <w:tcPr>
            <w:tcW w:w="4179" w:type="pct"/>
            <w:gridSpan w:val="7"/>
          </w:tcPr>
          <w:p w:rsidR="003F791C" w:rsidRPr="00704CC9" w:rsidRDefault="005F6015" w:rsidP="00F84223">
            <w:pPr>
              <w:pStyle w:val="Tabletext"/>
            </w:pPr>
            <w:r w:rsidRPr="005F6015">
              <w:t>Attachment 4</w:t>
            </w:r>
          </w:p>
        </w:tc>
      </w:tr>
    </w:tbl>
    <w:p w:rsidR="003F791C" w:rsidRDefault="003F791C" w:rsidP="00AB012A">
      <w:pPr>
        <w:pStyle w:val="Tabletext"/>
        <w:numPr>
          <w:ilvl w:val="0"/>
          <w:numId w:val="30"/>
        </w:numPr>
      </w:pPr>
      <w:r>
        <w:t>Does not include those patients who did not have histology as the reason that no histology was performed is not explained. It is possible that the patient was lost to follow up and therefore inclusion in the FP category would be inappropriate</w:t>
      </w:r>
    </w:p>
    <w:p w:rsidR="003F791C" w:rsidRDefault="003F791C" w:rsidP="003F791C"/>
    <w:p w:rsidR="003F791C" w:rsidRDefault="003F791C" w:rsidP="003F791C">
      <w:r>
        <w:t>Generally there was a lower rate of true positive results for the CIN 2+ reference standard across all test thresholds with cell filtration LBC compared to CC in the Maccallini trial (</w:t>
      </w:r>
      <w:r w:rsidR="00086C77">
        <w:fldChar w:fldCharType="begin"/>
      </w:r>
      <w:r w:rsidR="00086C77">
        <w:instrText xml:space="preserve"> REF _Ref334779360 \h  \* MERGEFORMAT </w:instrText>
      </w:r>
      <w:r w:rsidR="00086C77">
        <w:fldChar w:fldCharType="separate"/>
      </w:r>
      <w:r w:rsidR="003361A8">
        <w:t xml:space="preserve">Table </w:t>
      </w:r>
      <w:r w:rsidR="003361A8">
        <w:rPr>
          <w:noProof/>
        </w:rPr>
        <w:t>110</w:t>
      </w:r>
      <w:r w:rsidR="00086C77">
        <w:fldChar w:fldCharType="end"/>
      </w:r>
      <w:r>
        <w:t>). The incremental rate of true positives for cell filtration LBC compared with CC was less than 1 in all cases</w:t>
      </w:r>
      <w:r w:rsidRPr="00AA56C5">
        <w:t xml:space="preserve"> </w:t>
      </w:r>
      <w:r>
        <w:t>except for the HSIL+ test threshold which resulted in 16 more histological abnormalities detected with CC.</w:t>
      </w:r>
    </w:p>
    <w:p w:rsidR="003F791C" w:rsidRDefault="003F791C" w:rsidP="003F791C">
      <w:pPr>
        <w:pStyle w:val="Caption"/>
      </w:pPr>
      <w:bookmarkStart w:id="679" w:name="_Ref334779360"/>
      <w:bookmarkStart w:id="680" w:name="_Toc335666037"/>
      <w:bookmarkStart w:id="681" w:name="_Toc337547050"/>
      <w:r>
        <w:t xml:space="preserve">Table </w:t>
      </w:r>
      <w:fldSimple w:instr=" SEQ Table \* ARABIC ">
        <w:r w:rsidR="003361A8">
          <w:rPr>
            <w:noProof/>
          </w:rPr>
          <w:t>110</w:t>
        </w:r>
      </w:fldSimple>
      <w:bookmarkEnd w:id="679"/>
      <w:r>
        <w:tab/>
        <w:t>True positive: false positive; for histology (CIN 2+): CC versus cell filtration LBC: Ma</w:t>
      </w:r>
      <w:r w:rsidR="00C27274">
        <w:t>cc</w:t>
      </w:r>
      <w:r>
        <w:t>allini 2008</w:t>
      </w:r>
      <w:bookmarkEnd w:id="680"/>
      <w:bookmarkEnd w:id="6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74"/>
        <w:gridCol w:w="852"/>
        <w:gridCol w:w="737"/>
        <w:gridCol w:w="1035"/>
        <w:gridCol w:w="886"/>
        <w:gridCol w:w="886"/>
        <w:gridCol w:w="1034"/>
        <w:gridCol w:w="2100"/>
      </w:tblGrid>
      <w:tr w:rsidR="003F791C" w:rsidRPr="009945E4" w:rsidTr="00F84223">
        <w:tc>
          <w:tcPr>
            <w:tcW w:w="819" w:type="pct"/>
          </w:tcPr>
          <w:p w:rsidR="003F791C" w:rsidRPr="009945E4" w:rsidRDefault="003F791C" w:rsidP="00F84223">
            <w:pPr>
              <w:pStyle w:val="Tabletext"/>
              <w:rPr>
                <w:b/>
              </w:rPr>
            </w:pPr>
          </w:p>
        </w:tc>
        <w:tc>
          <w:tcPr>
            <w:tcW w:w="1457" w:type="pct"/>
            <w:gridSpan w:val="3"/>
          </w:tcPr>
          <w:p w:rsidR="003F791C" w:rsidRPr="009945E4" w:rsidRDefault="003F791C" w:rsidP="00F84223">
            <w:pPr>
              <w:pStyle w:val="Tabletext"/>
              <w:rPr>
                <w:b/>
              </w:rPr>
            </w:pPr>
            <w:r w:rsidRPr="009945E4">
              <w:rPr>
                <w:b/>
              </w:rPr>
              <w:t>Conventional</w:t>
            </w:r>
          </w:p>
        </w:tc>
        <w:tc>
          <w:tcPr>
            <w:tcW w:w="1558" w:type="pct"/>
            <w:gridSpan w:val="3"/>
          </w:tcPr>
          <w:p w:rsidR="003F791C" w:rsidRPr="009945E4" w:rsidRDefault="003F791C" w:rsidP="00F84223">
            <w:pPr>
              <w:pStyle w:val="Tabletext"/>
              <w:rPr>
                <w:b/>
              </w:rPr>
            </w:pPr>
            <w:r w:rsidRPr="009945E4">
              <w:rPr>
                <w:b/>
              </w:rPr>
              <w:t>LBC</w:t>
            </w:r>
          </w:p>
        </w:tc>
        <w:tc>
          <w:tcPr>
            <w:tcW w:w="1166" w:type="pct"/>
          </w:tcPr>
          <w:p w:rsidR="003F791C" w:rsidRPr="009945E4" w:rsidRDefault="003F791C" w:rsidP="00F84223">
            <w:pPr>
              <w:pStyle w:val="Tabletext"/>
              <w:rPr>
                <w:b/>
              </w:rPr>
            </w:pPr>
            <w:r w:rsidRPr="009945E4">
              <w:rPr>
                <w:b/>
              </w:rPr>
              <w:t>Incremental rate true positive</w:t>
            </w:r>
          </w:p>
        </w:tc>
      </w:tr>
      <w:tr w:rsidR="003F791C" w:rsidRPr="009945E4" w:rsidTr="00F84223">
        <w:tc>
          <w:tcPr>
            <w:tcW w:w="819" w:type="pct"/>
          </w:tcPr>
          <w:p w:rsidR="003F791C" w:rsidRPr="009945E4" w:rsidRDefault="003F791C" w:rsidP="00F84223">
            <w:pPr>
              <w:pStyle w:val="Tabletext"/>
              <w:rPr>
                <w:b/>
              </w:rPr>
            </w:pPr>
          </w:p>
        </w:tc>
        <w:tc>
          <w:tcPr>
            <w:tcW w:w="473" w:type="pct"/>
          </w:tcPr>
          <w:p w:rsidR="003F791C" w:rsidRPr="009945E4" w:rsidRDefault="003F791C" w:rsidP="00F84223">
            <w:pPr>
              <w:pStyle w:val="Tabletext"/>
              <w:rPr>
                <w:b/>
              </w:rPr>
            </w:pPr>
            <w:r w:rsidRPr="009945E4">
              <w:rPr>
                <w:b/>
              </w:rPr>
              <w:t>TP</w:t>
            </w:r>
          </w:p>
        </w:tc>
        <w:tc>
          <w:tcPr>
            <w:tcW w:w="409" w:type="pct"/>
          </w:tcPr>
          <w:p w:rsidR="003F791C" w:rsidRPr="009945E4" w:rsidRDefault="003F791C" w:rsidP="00F84223">
            <w:pPr>
              <w:pStyle w:val="Tabletext"/>
              <w:rPr>
                <w:b/>
              </w:rPr>
            </w:pPr>
            <w:r w:rsidRPr="009945E4">
              <w:rPr>
                <w:b/>
              </w:rPr>
              <w:t>FP</w:t>
            </w:r>
          </w:p>
        </w:tc>
        <w:tc>
          <w:tcPr>
            <w:tcW w:w="575" w:type="pct"/>
          </w:tcPr>
          <w:p w:rsidR="003F791C" w:rsidRPr="009945E4" w:rsidRDefault="003F791C" w:rsidP="00F84223">
            <w:pPr>
              <w:pStyle w:val="Tabletext"/>
              <w:rPr>
                <w:b/>
              </w:rPr>
            </w:pPr>
            <w:r w:rsidRPr="009945E4">
              <w:rPr>
                <w:b/>
              </w:rPr>
              <w:t>TP:FP</w:t>
            </w:r>
          </w:p>
        </w:tc>
        <w:tc>
          <w:tcPr>
            <w:tcW w:w="492" w:type="pct"/>
          </w:tcPr>
          <w:p w:rsidR="003F791C" w:rsidRPr="009945E4" w:rsidRDefault="003F791C" w:rsidP="00F84223">
            <w:pPr>
              <w:pStyle w:val="Tabletext"/>
              <w:rPr>
                <w:b/>
              </w:rPr>
            </w:pPr>
            <w:r w:rsidRPr="009945E4">
              <w:rPr>
                <w:b/>
              </w:rPr>
              <w:t>TP</w:t>
            </w:r>
          </w:p>
        </w:tc>
        <w:tc>
          <w:tcPr>
            <w:tcW w:w="492" w:type="pct"/>
          </w:tcPr>
          <w:p w:rsidR="003F791C" w:rsidRPr="009945E4" w:rsidRDefault="003F791C" w:rsidP="00F84223">
            <w:pPr>
              <w:pStyle w:val="Tabletext"/>
              <w:rPr>
                <w:b/>
              </w:rPr>
            </w:pPr>
            <w:r w:rsidRPr="009945E4">
              <w:rPr>
                <w:b/>
              </w:rPr>
              <w:t>FP</w:t>
            </w:r>
          </w:p>
        </w:tc>
        <w:tc>
          <w:tcPr>
            <w:tcW w:w="574" w:type="pct"/>
          </w:tcPr>
          <w:p w:rsidR="003F791C" w:rsidRPr="009945E4" w:rsidRDefault="003F791C" w:rsidP="00F84223">
            <w:pPr>
              <w:pStyle w:val="Tabletext"/>
              <w:rPr>
                <w:b/>
              </w:rPr>
            </w:pPr>
            <w:r w:rsidRPr="009945E4">
              <w:rPr>
                <w:b/>
              </w:rPr>
              <w:t>TP:FP</w:t>
            </w:r>
          </w:p>
        </w:tc>
        <w:tc>
          <w:tcPr>
            <w:tcW w:w="1166" w:type="pct"/>
          </w:tcPr>
          <w:p w:rsidR="003F791C" w:rsidRPr="009945E4" w:rsidRDefault="003F791C" w:rsidP="00F84223">
            <w:pPr>
              <w:pStyle w:val="Tabletext"/>
              <w:rPr>
                <w:b/>
              </w:rPr>
            </w:pPr>
          </w:p>
        </w:tc>
      </w:tr>
      <w:tr w:rsidR="003F791C" w:rsidRPr="009945E4" w:rsidTr="00F84223">
        <w:tc>
          <w:tcPr>
            <w:tcW w:w="819" w:type="pct"/>
          </w:tcPr>
          <w:p w:rsidR="003F791C" w:rsidRPr="009945E4" w:rsidRDefault="003F791C" w:rsidP="00F84223">
            <w:pPr>
              <w:pStyle w:val="Tabletext"/>
              <w:rPr>
                <w:b/>
              </w:rPr>
            </w:pPr>
            <w:r w:rsidRPr="009945E4">
              <w:rPr>
                <w:b/>
              </w:rPr>
              <w:t>Test threshold</w:t>
            </w:r>
          </w:p>
        </w:tc>
        <w:tc>
          <w:tcPr>
            <w:tcW w:w="4181" w:type="pct"/>
            <w:gridSpan w:val="7"/>
          </w:tcPr>
          <w:p w:rsidR="003F791C" w:rsidRPr="009945E4" w:rsidRDefault="003F791C" w:rsidP="00F84223">
            <w:pPr>
              <w:pStyle w:val="Tabletext"/>
              <w:rPr>
                <w:b/>
              </w:rPr>
            </w:pPr>
            <w:r w:rsidRPr="009945E4">
              <w:rPr>
                <w:b/>
              </w:rPr>
              <w:t>CIN</w:t>
            </w:r>
            <w:r>
              <w:rPr>
                <w:b/>
              </w:rPr>
              <w:t xml:space="preserve"> </w:t>
            </w:r>
            <w:r w:rsidRPr="009945E4">
              <w:rPr>
                <w:b/>
              </w:rPr>
              <w:t>2+</w:t>
            </w:r>
          </w:p>
        </w:tc>
      </w:tr>
      <w:tr w:rsidR="003F791C" w:rsidTr="00F84223">
        <w:tc>
          <w:tcPr>
            <w:tcW w:w="819" w:type="pct"/>
          </w:tcPr>
          <w:p w:rsidR="003F791C" w:rsidRDefault="003F791C" w:rsidP="00F84223">
            <w:pPr>
              <w:pStyle w:val="Tabletext"/>
            </w:pPr>
            <w:r>
              <w:t>ASCUS+</w:t>
            </w:r>
          </w:p>
        </w:tc>
        <w:tc>
          <w:tcPr>
            <w:tcW w:w="473" w:type="pct"/>
          </w:tcPr>
          <w:p w:rsidR="003F791C" w:rsidRPr="00BF7528" w:rsidRDefault="003F791C" w:rsidP="00F84223">
            <w:pPr>
              <w:pStyle w:val="Tabletext"/>
            </w:pPr>
            <w:r w:rsidRPr="00BF7528">
              <w:t>73</w:t>
            </w:r>
          </w:p>
        </w:tc>
        <w:tc>
          <w:tcPr>
            <w:tcW w:w="409" w:type="pct"/>
          </w:tcPr>
          <w:p w:rsidR="003F791C" w:rsidRPr="00BF7528" w:rsidRDefault="003F791C" w:rsidP="00F84223">
            <w:pPr>
              <w:pStyle w:val="Tabletext"/>
            </w:pPr>
            <w:r w:rsidRPr="00BF7528">
              <w:t>79</w:t>
            </w:r>
          </w:p>
        </w:tc>
        <w:tc>
          <w:tcPr>
            <w:tcW w:w="575" w:type="pct"/>
            <w:vAlign w:val="bottom"/>
          </w:tcPr>
          <w:p w:rsidR="003F791C" w:rsidRPr="00BF7528" w:rsidRDefault="003F791C" w:rsidP="00F84223">
            <w:pPr>
              <w:pStyle w:val="Tabletext"/>
            </w:pPr>
            <w:r w:rsidRPr="00BF7528">
              <w:t>0.92:1</w:t>
            </w:r>
          </w:p>
        </w:tc>
        <w:tc>
          <w:tcPr>
            <w:tcW w:w="492" w:type="pct"/>
          </w:tcPr>
          <w:p w:rsidR="003F791C" w:rsidRPr="00BF7528" w:rsidRDefault="003F791C" w:rsidP="00F84223">
            <w:pPr>
              <w:pStyle w:val="Tabletext"/>
            </w:pPr>
            <w:r w:rsidRPr="00BF7528">
              <w:t>55</w:t>
            </w:r>
          </w:p>
        </w:tc>
        <w:tc>
          <w:tcPr>
            <w:tcW w:w="492" w:type="pct"/>
          </w:tcPr>
          <w:p w:rsidR="003F791C" w:rsidRPr="00BF7528" w:rsidRDefault="003F791C" w:rsidP="00F84223">
            <w:pPr>
              <w:pStyle w:val="Tabletext"/>
            </w:pPr>
            <w:r w:rsidRPr="00BF7528">
              <w:t>50</w:t>
            </w:r>
          </w:p>
        </w:tc>
        <w:tc>
          <w:tcPr>
            <w:tcW w:w="574" w:type="pct"/>
            <w:vAlign w:val="bottom"/>
          </w:tcPr>
          <w:p w:rsidR="003F791C" w:rsidRPr="00BF7528" w:rsidRDefault="003F791C" w:rsidP="00F84223">
            <w:pPr>
              <w:pStyle w:val="Tabletext"/>
            </w:pPr>
            <w:r w:rsidRPr="00BF7528">
              <w:t>1.1:1</w:t>
            </w:r>
          </w:p>
        </w:tc>
        <w:tc>
          <w:tcPr>
            <w:tcW w:w="1166" w:type="pct"/>
            <w:vAlign w:val="bottom"/>
          </w:tcPr>
          <w:p w:rsidR="003F791C" w:rsidRPr="00BF7528" w:rsidRDefault="003F791C" w:rsidP="00F84223">
            <w:pPr>
              <w:pStyle w:val="Tabletext"/>
            </w:pPr>
            <w:r w:rsidRPr="00BF7528">
              <w:t>0.175949</w:t>
            </w:r>
          </w:p>
        </w:tc>
      </w:tr>
      <w:tr w:rsidR="003F791C" w:rsidTr="00F84223">
        <w:tc>
          <w:tcPr>
            <w:tcW w:w="819" w:type="pct"/>
          </w:tcPr>
          <w:p w:rsidR="003F791C" w:rsidRDefault="003F791C" w:rsidP="00F84223">
            <w:pPr>
              <w:pStyle w:val="Tabletext"/>
            </w:pPr>
            <w:r>
              <w:t>LSIL+</w:t>
            </w:r>
          </w:p>
        </w:tc>
        <w:tc>
          <w:tcPr>
            <w:tcW w:w="473" w:type="pct"/>
          </w:tcPr>
          <w:p w:rsidR="003F791C" w:rsidRPr="00BF7528" w:rsidRDefault="003F791C" w:rsidP="00F84223">
            <w:pPr>
              <w:pStyle w:val="Tabletext"/>
            </w:pPr>
            <w:r w:rsidRPr="00BF7528">
              <w:t>51</w:t>
            </w:r>
          </w:p>
        </w:tc>
        <w:tc>
          <w:tcPr>
            <w:tcW w:w="409" w:type="pct"/>
          </w:tcPr>
          <w:p w:rsidR="003F791C" w:rsidRPr="00BF7528" w:rsidRDefault="003F791C" w:rsidP="00F84223">
            <w:pPr>
              <w:pStyle w:val="Tabletext"/>
            </w:pPr>
            <w:r w:rsidRPr="00BF7528">
              <w:t>33</w:t>
            </w:r>
          </w:p>
        </w:tc>
        <w:tc>
          <w:tcPr>
            <w:tcW w:w="575" w:type="pct"/>
            <w:vAlign w:val="bottom"/>
          </w:tcPr>
          <w:p w:rsidR="003F791C" w:rsidRPr="00BF7528" w:rsidRDefault="003F791C" w:rsidP="00F84223">
            <w:pPr>
              <w:pStyle w:val="Tabletext"/>
            </w:pPr>
            <w:r w:rsidRPr="00BF7528">
              <w:t>1.55:1</w:t>
            </w:r>
          </w:p>
        </w:tc>
        <w:tc>
          <w:tcPr>
            <w:tcW w:w="492" w:type="pct"/>
          </w:tcPr>
          <w:p w:rsidR="003F791C" w:rsidRPr="00BF7528" w:rsidRDefault="003F791C" w:rsidP="00F84223">
            <w:pPr>
              <w:pStyle w:val="Tabletext"/>
            </w:pPr>
            <w:r w:rsidRPr="00BF7528">
              <w:t>44</w:t>
            </w:r>
          </w:p>
        </w:tc>
        <w:tc>
          <w:tcPr>
            <w:tcW w:w="492" w:type="pct"/>
          </w:tcPr>
          <w:p w:rsidR="003F791C" w:rsidRPr="00BF7528" w:rsidRDefault="003F791C" w:rsidP="00F84223">
            <w:pPr>
              <w:pStyle w:val="Tabletext"/>
            </w:pPr>
            <w:r w:rsidRPr="00BF7528">
              <w:t>28</w:t>
            </w:r>
          </w:p>
        </w:tc>
        <w:tc>
          <w:tcPr>
            <w:tcW w:w="574" w:type="pct"/>
            <w:vAlign w:val="bottom"/>
          </w:tcPr>
          <w:p w:rsidR="003F791C" w:rsidRPr="00BF7528" w:rsidRDefault="003F791C" w:rsidP="00F84223">
            <w:pPr>
              <w:pStyle w:val="Tabletext"/>
            </w:pPr>
            <w:r w:rsidRPr="00BF7528">
              <w:t>1.57:1</w:t>
            </w:r>
          </w:p>
        </w:tc>
        <w:tc>
          <w:tcPr>
            <w:tcW w:w="1166" w:type="pct"/>
            <w:vAlign w:val="bottom"/>
          </w:tcPr>
          <w:p w:rsidR="003F791C" w:rsidRPr="00BF7528" w:rsidRDefault="003F791C" w:rsidP="00F84223">
            <w:pPr>
              <w:pStyle w:val="Tabletext"/>
            </w:pPr>
            <w:r w:rsidRPr="00BF7528">
              <w:t>0.025974</w:t>
            </w:r>
          </w:p>
        </w:tc>
      </w:tr>
      <w:tr w:rsidR="003F791C" w:rsidTr="00F84223">
        <w:tc>
          <w:tcPr>
            <w:tcW w:w="819" w:type="pct"/>
          </w:tcPr>
          <w:p w:rsidR="003F791C" w:rsidRDefault="003F791C" w:rsidP="00F84223">
            <w:pPr>
              <w:pStyle w:val="Tabletext"/>
            </w:pPr>
            <w:r>
              <w:t>HSIL+</w:t>
            </w:r>
          </w:p>
        </w:tc>
        <w:tc>
          <w:tcPr>
            <w:tcW w:w="473" w:type="pct"/>
          </w:tcPr>
          <w:p w:rsidR="003F791C" w:rsidRPr="00BF7528" w:rsidRDefault="003F791C" w:rsidP="00F84223">
            <w:pPr>
              <w:pStyle w:val="Tabletext"/>
            </w:pPr>
            <w:r w:rsidRPr="00BF7528">
              <w:t>42</w:t>
            </w:r>
          </w:p>
        </w:tc>
        <w:tc>
          <w:tcPr>
            <w:tcW w:w="409" w:type="pct"/>
          </w:tcPr>
          <w:p w:rsidR="003F791C" w:rsidRPr="00BF7528" w:rsidRDefault="003F791C" w:rsidP="00F84223">
            <w:pPr>
              <w:pStyle w:val="Tabletext"/>
            </w:pPr>
            <w:r w:rsidRPr="00BF7528">
              <w:t>2</w:t>
            </w:r>
          </w:p>
        </w:tc>
        <w:tc>
          <w:tcPr>
            <w:tcW w:w="575" w:type="pct"/>
            <w:vAlign w:val="bottom"/>
          </w:tcPr>
          <w:p w:rsidR="003F791C" w:rsidRPr="00BF7528" w:rsidRDefault="003F791C" w:rsidP="00F84223">
            <w:pPr>
              <w:pStyle w:val="Tabletext"/>
            </w:pPr>
            <w:r w:rsidRPr="00BF7528">
              <w:t>21:1</w:t>
            </w:r>
          </w:p>
        </w:tc>
        <w:tc>
          <w:tcPr>
            <w:tcW w:w="492" w:type="pct"/>
          </w:tcPr>
          <w:p w:rsidR="003F791C" w:rsidRPr="00BF7528" w:rsidRDefault="003F791C" w:rsidP="00F84223">
            <w:pPr>
              <w:pStyle w:val="Tabletext"/>
            </w:pPr>
            <w:r w:rsidRPr="00BF7528">
              <w:t>29</w:t>
            </w:r>
          </w:p>
        </w:tc>
        <w:tc>
          <w:tcPr>
            <w:tcW w:w="492" w:type="pct"/>
          </w:tcPr>
          <w:p w:rsidR="003F791C" w:rsidRPr="00BF7528" w:rsidRDefault="003F791C" w:rsidP="00F84223">
            <w:pPr>
              <w:pStyle w:val="Tabletext"/>
            </w:pPr>
            <w:r w:rsidRPr="00BF7528">
              <w:t>6</w:t>
            </w:r>
          </w:p>
        </w:tc>
        <w:tc>
          <w:tcPr>
            <w:tcW w:w="574" w:type="pct"/>
            <w:vAlign w:val="bottom"/>
          </w:tcPr>
          <w:p w:rsidR="003F791C" w:rsidRPr="00BF7528" w:rsidRDefault="003F791C" w:rsidP="00F84223">
            <w:pPr>
              <w:pStyle w:val="Tabletext"/>
            </w:pPr>
            <w:r w:rsidRPr="00BF7528">
              <w:t>4.83:1</w:t>
            </w:r>
          </w:p>
        </w:tc>
        <w:tc>
          <w:tcPr>
            <w:tcW w:w="1166" w:type="pct"/>
            <w:vAlign w:val="bottom"/>
          </w:tcPr>
          <w:p w:rsidR="003F791C" w:rsidRPr="00BF7528" w:rsidRDefault="003F791C" w:rsidP="00F84223">
            <w:pPr>
              <w:pStyle w:val="Tabletext"/>
            </w:pPr>
            <w:r w:rsidRPr="00BF7528">
              <w:t>-16.1667</w:t>
            </w:r>
          </w:p>
        </w:tc>
      </w:tr>
      <w:tr w:rsidR="003F791C" w:rsidTr="00F84223">
        <w:tc>
          <w:tcPr>
            <w:tcW w:w="819" w:type="pct"/>
          </w:tcPr>
          <w:p w:rsidR="003F791C" w:rsidRDefault="003F791C" w:rsidP="00F84223">
            <w:pPr>
              <w:pStyle w:val="Tabletext"/>
            </w:pPr>
            <w:r>
              <w:t>Source</w:t>
            </w:r>
          </w:p>
        </w:tc>
        <w:tc>
          <w:tcPr>
            <w:tcW w:w="4181" w:type="pct"/>
            <w:gridSpan w:val="7"/>
          </w:tcPr>
          <w:p w:rsidR="003F791C" w:rsidRPr="00BF7528" w:rsidRDefault="005F6015" w:rsidP="00F84223">
            <w:pPr>
              <w:pStyle w:val="Tabletext"/>
            </w:pPr>
            <w:r w:rsidRPr="005F6015">
              <w:t>Attachment 4</w:t>
            </w:r>
          </w:p>
        </w:tc>
      </w:tr>
    </w:tbl>
    <w:p w:rsidR="003F791C" w:rsidRDefault="003F791C" w:rsidP="003F791C">
      <w:pPr>
        <w:pStyle w:val="Tablenotes"/>
        <w:spacing w:before="0" w:after="0"/>
      </w:pPr>
    </w:p>
    <w:sectPr w:rsidR="003F791C" w:rsidSect="008846BA">
      <w:pgSz w:w="11907" w:h="16839" w:code="9"/>
      <w:pgMar w:top="1701" w:right="1418" w:bottom="1418" w:left="1701" w:header="720" w:footer="720" w:gutter="0"/>
      <w:paperSrc w:first="4035" w:other="4035"/>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4159" w:rsidRDefault="001D4159">
      <w:r>
        <w:separator/>
      </w:r>
    </w:p>
  </w:endnote>
  <w:endnote w:type="continuationSeparator" w:id="0">
    <w:p w:rsidR="001D4159" w:rsidRDefault="001D4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fornian FB">
    <w:panose1 w:val="0207040306080B03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roman"/>
    <w:notTrueType/>
    <w:pitch w:val="default"/>
    <w:sig w:usb0="00000003" w:usb1="080E0000" w:usb2="00000010"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Franklin Gothic Medium">
    <w:panose1 w:val="020B06030201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7D5C08">
    <w:pPr>
      <w:pStyle w:val="Footers"/>
      <w:tabs>
        <w:tab w:val="clear" w:pos="9000"/>
        <w:tab w:val="left" w:pos="6270"/>
        <w:tab w:val="right" w:pos="8647"/>
        <w:tab w:val="right" w:pos="13704"/>
      </w:tabs>
      <w:jc w:val="right"/>
      <w:rPr>
        <w:rStyle w:val="PageNumber"/>
        <w:smallCaps w:val="0"/>
      </w:rPr>
    </w:pP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2716F8">
      <w:rPr>
        <w:rStyle w:val="PageNumber"/>
        <w:smallCaps w:val="0"/>
        <w:noProof/>
      </w:rPr>
      <w:t>167</w:t>
    </w:r>
    <w:r w:rsidRPr="006C19CB">
      <w:rPr>
        <w:rStyle w:val="PageNumber"/>
        <w:smallCaps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8846BA">
    <w:pPr>
      <w:pStyle w:val="Footers"/>
      <w:tabs>
        <w:tab w:val="clear" w:pos="9000"/>
        <w:tab w:val="left" w:pos="6270"/>
        <w:tab w:val="right" w:pos="8647"/>
        <w:tab w:val="right" w:pos="13704"/>
      </w:tabs>
      <w:rPr>
        <w:rStyle w:val="PageNumber"/>
        <w:smallCaps w:val="0"/>
      </w:rPr>
    </w:pPr>
    <w:r>
      <w:rPr>
        <w:rStyle w:val="PageNumber"/>
      </w:rPr>
      <w:t>THIS SECTION (SECTION D.1) IS COMMERCIAL-IN-CONFIDENCE</w:t>
    </w:r>
    <w:r>
      <w:rPr>
        <w:rStyle w:val="PageNumber"/>
      </w:rPr>
      <w:tab/>
    </w:r>
    <w:r>
      <w:rPr>
        <w:rStyle w:val="PageNumber"/>
      </w:rPr>
      <w:tab/>
    </w: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2716F8">
      <w:rPr>
        <w:rStyle w:val="PageNumber"/>
        <w:smallCaps w:val="0"/>
        <w:noProof/>
      </w:rPr>
      <w:t>168</w:t>
    </w:r>
    <w:r w:rsidRPr="006C19CB">
      <w:rPr>
        <w:rStyle w:val="PageNumber"/>
        <w:smallCaps w:val="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7D5C08">
    <w:pPr>
      <w:pStyle w:val="Footers"/>
      <w:tabs>
        <w:tab w:val="clear" w:pos="9000"/>
        <w:tab w:val="left" w:pos="6270"/>
        <w:tab w:val="right" w:pos="8647"/>
        <w:tab w:val="right" w:pos="13704"/>
      </w:tabs>
      <w:jc w:val="right"/>
      <w:rPr>
        <w:rStyle w:val="PageNumber"/>
        <w:smallCaps w:val="0"/>
      </w:rPr>
    </w:pPr>
    <w:r w:rsidRPr="006C19CB">
      <w:rPr>
        <w:rStyle w:val="PageNumber"/>
        <w:smallCaps w:val="0"/>
      </w:rPr>
      <w:fldChar w:fldCharType="begin"/>
    </w:r>
    <w:r w:rsidRPr="006C19CB">
      <w:rPr>
        <w:rStyle w:val="PageNumber"/>
        <w:smallCaps w:val="0"/>
      </w:rPr>
      <w:instrText xml:space="preserve"> PAGE </w:instrText>
    </w:r>
    <w:r w:rsidRPr="006C19CB">
      <w:rPr>
        <w:rStyle w:val="PageNumber"/>
        <w:smallCaps w:val="0"/>
      </w:rPr>
      <w:fldChar w:fldCharType="separate"/>
    </w:r>
    <w:r w:rsidR="008949BF">
      <w:rPr>
        <w:rStyle w:val="PageNumber"/>
        <w:smallCaps w:val="0"/>
        <w:noProof/>
      </w:rPr>
      <w:t>183</w:t>
    </w:r>
    <w:r w:rsidRPr="006C19CB">
      <w:rPr>
        <w:rStyle w:val="PageNumber"/>
        <w:smallCaps w:val="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791EC7">
    <w:pPr>
      <w:pStyle w:val="Footers"/>
      <w:tabs>
        <w:tab w:val="clear" w:pos="9000"/>
        <w:tab w:val="right" w:pos="8647"/>
      </w:tabs>
    </w:pPr>
    <w:r>
      <w:tab/>
    </w:r>
    <w:r>
      <w:tab/>
    </w:r>
    <w:r>
      <w:fldChar w:fldCharType="begin"/>
    </w:r>
    <w:r>
      <w:instrText xml:space="preserve"> PAGE   \* MERGEFORMAT </w:instrText>
    </w:r>
    <w:r>
      <w:fldChar w:fldCharType="separate"/>
    </w:r>
    <w:r w:rsidR="00470D30">
      <w:rPr>
        <w:noProof/>
      </w:rPr>
      <w:t>214</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791EC7">
    <w:pPr>
      <w:pStyle w:val="Footers"/>
      <w:tabs>
        <w:tab w:val="clear" w:pos="9000"/>
        <w:tab w:val="right" w:pos="8647"/>
      </w:tabs>
    </w:pPr>
    <w:r>
      <w:tab/>
    </w:r>
    <w:r>
      <w:tab/>
    </w:r>
    <w:r>
      <w:fldChar w:fldCharType="begin"/>
    </w:r>
    <w:r>
      <w:instrText xml:space="preserve"> PAGE   \* MERGEFORMAT </w:instrText>
    </w:r>
    <w:r>
      <w:fldChar w:fldCharType="separate"/>
    </w:r>
    <w:r w:rsidR="002716F8">
      <w:rPr>
        <w:noProof/>
      </w:rPr>
      <w:t>223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4159" w:rsidRDefault="001D4159">
      <w:r>
        <w:separator/>
      </w:r>
    </w:p>
  </w:footnote>
  <w:footnote w:type="continuationSeparator" w:id="0">
    <w:p w:rsidR="001D4159" w:rsidRDefault="001D4159">
      <w:r>
        <w:continuationSeparator/>
      </w:r>
    </w:p>
  </w:footnote>
  <w:footnote w:id="1">
    <w:p w:rsidR="003361A8" w:rsidRDefault="003361A8" w:rsidP="006C25B2">
      <w:pPr>
        <w:pStyle w:val="FootnoteText"/>
      </w:pPr>
      <w:r>
        <w:rPr>
          <w:rStyle w:val="FootnoteReference"/>
        </w:rPr>
        <w:footnoteRef/>
      </w:r>
      <w:r>
        <w:t xml:space="preserve"> The NHMRC Guidelines suggest that LSIL’s may be managed more aggressively in women aged 30 years or more without a history of normal smears in the preceding two to three years (that is, repeat test within 6 months or immediate colposcopy), although the guidance for “all ages” is a repeat test in 12 months. Management following this guidance is expected to affect a small minority of women (on the basis that only a small minority of women over 30 experience persistent low grade abnormalities). Also in such circumstances a LSIL finding is more likely to be clinically significant. For the purpose of this submission it is assumed that the follow-up for pLSIL and LSIL findings is a repeat test at 12 months.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D21516">
    <w:pPr>
      <w:pStyle w:val="Header"/>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b. clinical evaluation for the main indication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b. clinical evaluation for the main indication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b. clinical evaluation for the main indication</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0761FC">
    <w:pPr>
      <w:pStyle w:val="Headers"/>
    </w:pPr>
    <w:r>
      <w:t xml:space="preserve">c. translating the clinical evaluation to the listing requested for inclusion in the economic evaluation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302D82">
    <w:pPr>
      <w:pStyle w:val="Headers"/>
    </w:pPr>
    <w:r w:rsidRPr="000F12DB">
      <w:t>D.</w:t>
    </w:r>
    <w:r>
      <w:t xml:space="preserve"> E</w:t>
    </w:r>
    <w:r w:rsidRPr="000F12DB">
      <w:t>conomic evalu</w:t>
    </w:r>
    <w:r>
      <w:t>ation for the main indication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e. estimated extent f use and financial implications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references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appendix 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Executive Summary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list of tables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list of figures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lists of attachments and volumes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Abbreviations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a. details of the proposed intervention and its intended use on the MBS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1A8" w:rsidRDefault="003361A8" w:rsidP="006C19CB">
    <w:pPr>
      <w:pStyle w:val="Headers"/>
    </w:pPr>
    <w:r>
      <w:t>b. clinical evaluation for the main indication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1967836"/>
    <w:lvl w:ilvl="0">
      <w:start w:val="1"/>
      <w:numFmt w:val="decimal"/>
      <w:pStyle w:val="ListNumber5"/>
      <w:lvlText w:val="%1."/>
      <w:lvlJc w:val="left"/>
      <w:pPr>
        <w:tabs>
          <w:tab w:val="num" w:pos="952"/>
        </w:tabs>
        <w:ind w:left="952" w:hanging="360"/>
      </w:pPr>
    </w:lvl>
  </w:abstractNum>
  <w:abstractNum w:abstractNumId="1">
    <w:nsid w:val="FFFFFF7D"/>
    <w:multiLevelType w:val="singleLevel"/>
    <w:tmpl w:val="9AD8F01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F624B1C"/>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47BDC"/>
    <w:lvl w:ilvl="0">
      <w:start w:val="1"/>
      <w:numFmt w:val="decimal"/>
      <w:pStyle w:val="ListNumber2"/>
      <w:lvlText w:val="%1."/>
      <w:lvlJc w:val="left"/>
      <w:pPr>
        <w:tabs>
          <w:tab w:val="num" w:pos="643"/>
        </w:tabs>
        <w:ind w:left="643" w:hanging="360"/>
      </w:pPr>
    </w:lvl>
  </w:abstractNum>
  <w:abstractNum w:abstractNumId="4">
    <w:nsid w:val="FFFFFF80"/>
    <w:multiLevelType w:val="singleLevel"/>
    <w:tmpl w:val="5EEE5B00"/>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ABD819D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A2D0B85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9DA418E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F6E66612"/>
    <w:lvl w:ilvl="0">
      <w:start w:val="1"/>
      <w:numFmt w:val="decimal"/>
      <w:pStyle w:val="ListNumber"/>
      <w:lvlText w:val="%1."/>
      <w:lvlJc w:val="left"/>
      <w:pPr>
        <w:tabs>
          <w:tab w:val="num" w:pos="360"/>
        </w:tabs>
        <w:ind w:left="360" w:hanging="360"/>
      </w:pPr>
    </w:lvl>
  </w:abstractNum>
  <w:abstractNum w:abstractNumId="9">
    <w:nsid w:val="FFFFFF89"/>
    <w:multiLevelType w:val="singleLevel"/>
    <w:tmpl w:val="3D4E356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733E11"/>
    <w:multiLevelType w:val="hybridMultilevel"/>
    <w:tmpl w:val="CAE89BB4"/>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06C60B16"/>
    <w:multiLevelType w:val="hybridMultilevel"/>
    <w:tmpl w:val="98CAF97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06E35B64"/>
    <w:multiLevelType w:val="multilevel"/>
    <w:tmpl w:val="EAFA29B0"/>
    <w:lvl w:ilvl="0">
      <w:start w:val="1"/>
      <w:numFmt w:val="bullet"/>
      <w:pStyle w:val="Bullet"/>
      <w:lvlText w:val=""/>
      <w:lvlJc w:val="left"/>
      <w:pPr>
        <w:tabs>
          <w:tab w:val="num" w:pos="1080"/>
        </w:tabs>
        <w:ind w:left="1080" w:hanging="360"/>
      </w:pPr>
      <w:rPr>
        <w:rFonts w:ascii="Symbol" w:hAnsi="Symbol" w:hint="default"/>
      </w:rPr>
    </w:lvl>
    <w:lvl w:ilvl="1">
      <w:start w:val="1"/>
      <w:numFmt w:val="bullet"/>
      <w:lvlRestart w:val="0"/>
      <w:lvlText w:val="○"/>
      <w:lvlJc w:val="left"/>
      <w:pPr>
        <w:tabs>
          <w:tab w:val="num" w:pos="1440"/>
        </w:tabs>
        <w:ind w:left="1440" w:hanging="360"/>
      </w:pPr>
      <w:rPr>
        <w:rFonts w:ascii="Times New Roman" w:cs="Times New Roman" w:hint="default"/>
      </w:rPr>
    </w:lvl>
    <w:lvl w:ilvl="2">
      <w:start w:val="1"/>
      <w:numFmt w:val="bullet"/>
      <w:lvlRestart w:val="0"/>
      <w:lvlText w:val="●"/>
      <w:lvlJc w:val="left"/>
      <w:pPr>
        <w:tabs>
          <w:tab w:val="num" w:pos="1800"/>
        </w:tabs>
        <w:ind w:left="1800" w:hanging="360"/>
      </w:pPr>
      <w:rPr>
        <w:rFonts w:ascii="Times New Roman" w:cs="Times New Roman" w:hint="default"/>
      </w:rPr>
    </w:lvl>
    <w:lvl w:ilvl="3">
      <w:start w:val="1"/>
      <w:numFmt w:val="bullet"/>
      <w:lvlRestart w:val="0"/>
      <w:lvlText w:val="○"/>
      <w:lvlJc w:val="left"/>
      <w:pPr>
        <w:tabs>
          <w:tab w:val="num" w:pos="2160"/>
        </w:tabs>
        <w:ind w:left="2160" w:hanging="360"/>
      </w:pPr>
      <w:rPr>
        <w:rFonts w:ascii="Times New Roman" w:cs="Times New Roman" w:hint="default"/>
      </w:rPr>
    </w:lvl>
    <w:lvl w:ilvl="4">
      <w:start w:val="1"/>
      <w:numFmt w:val="bullet"/>
      <w:lvlRestart w:val="0"/>
      <w:lvlText w:val="●"/>
      <w:lvlJc w:val="left"/>
      <w:pPr>
        <w:tabs>
          <w:tab w:val="num" w:pos="2520"/>
        </w:tabs>
        <w:ind w:left="2520" w:hanging="360"/>
      </w:pPr>
      <w:rPr>
        <w:rFonts w:ascii="Times New Roman" w:cs="Times New Roman" w:hint="default"/>
      </w:rPr>
    </w:lvl>
    <w:lvl w:ilvl="5">
      <w:start w:val="1"/>
      <w:numFmt w:val="bullet"/>
      <w:lvlRestart w:val="0"/>
      <w:lvlText w:val="○"/>
      <w:lvlJc w:val="left"/>
      <w:pPr>
        <w:tabs>
          <w:tab w:val="num" w:pos="2880"/>
        </w:tabs>
        <w:ind w:left="2880" w:hanging="360"/>
      </w:pPr>
      <w:rPr>
        <w:rFonts w:ascii="Times New Roman" w:cs="Times New Roman" w:hint="default"/>
      </w:rPr>
    </w:lvl>
    <w:lvl w:ilvl="6">
      <w:start w:val="1"/>
      <w:numFmt w:val="bullet"/>
      <w:lvlRestart w:val="0"/>
      <w:lvlText w:val="●"/>
      <w:lvlJc w:val="left"/>
      <w:pPr>
        <w:tabs>
          <w:tab w:val="num" w:pos="3240"/>
        </w:tabs>
        <w:ind w:left="3240" w:hanging="360"/>
      </w:pPr>
      <w:rPr>
        <w:rFonts w:ascii="Times New Roman" w:cs="Times New Roman" w:hint="default"/>
      </w:rPr>
    </w:lvl>
    <w:lvl w:ilvl="7">
      <w:start w:val="1"/>
      <w:numFmt w:val="bullet"/>
      <w:lvlRestart w:val="0"/>
      <w:lvlText w:val="○"/>
      <w:lvlJc w:val="left"/>
      <w:pPr>
        <w:tabs>
          <w:tab w:val="num" w:pos="3600"/>
        </w:tabs>
        <w:ind w:left="3600" w:hanging="360"/>
      </w:pPr>
      <w:rPr>
        <w:rFonts w:ascii="Times New Roman" w:cs="Times New Roman" w:hint="default"/>
      </w:rPr>
    </w:lvl>
    <w:lvl w:ilvl="8">
      <w:start w:val="1"/>
      <w:numFmt w:val="bullet"/>
      <w:lvlRestart w:val="0"/>
      <w:lvlText w:val="●"/>
      <w:lvlJc w:val="left"/>
      <w:pPr>
        <w:tabs>
          <w:tab w:val="num" w:pos="3960"/>
        </w:tabs>
        <w:ind w:left="3960" w:hanging="360"/>
      </w:pPr>
      <w:rPr>
        <w:rFonts w:ascii="Times New Roman" w:cs="Times New Roman" w:hint="default"/>
      </w:rPr>
    </w:lvl>
  </w:abstractNum>
  <w:abstractNum w:abstractNumId="13">
    <w:nsid w:val="09F35ABC"/>
    <w:multiLevelType w:val="hybridMultilevel"/>
    <w:tmpl w:val="CA325B4A"/>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0F6D6A8C"/>
    <w:multiLevelType w:val="hybridMultilevel"/>
    <w:tmpl w:val="9EE43A8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F764814"/>
    <w:multiLevelType w:val="hybridMultilevel"/>
    <w:tmpl w:val="E7F07E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10665160"/>
    <w:multiLevelType w:val="hybridMultilevel"/>
    <w:tmpl w:val="1854969A"/>
    <w:lvl w:ilvl="0" w:tplc="A308EBC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10DF78F1"/>
    <w:multiLevelType w:val="hybridMultilevel"/>
    <w:tmpl w:val="A5C06AF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12113CD5"/>
    <w:multiLevelType w:val="hybridMultilevel"/>
    <w:tmpl w:val="E98062D8"/>
    <w:lvl w:ilvl="0" w:tplc="117E5F64">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nsid w:val="15A51D6B"/>
    <w:multiLevelType w:val="hybridMultilevel"/>
    <w:tmpl w:val="8FAAEE2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164E6478"/>
    <w:multiLevelType w:val="hybridMultilevel"/>
    <w:tmpl w:val="FE8E197E"/>
    <w:lvl w:ilvl="0" w:tplc="52AABF64">
      <w:start w:val="1"/>
      <w:numFmt w:val="bullet"/>
      <w:pStyle w:val="Bulletedbodytext"/>
      <w:lvlText w:val=""/>
      <w:lvlJc w:val="left"/>
      <w:pPr>
        <w:ind w:left="720" w:hanging="360"/>
      </w:pPr>
      <w:rPr>
        <w:rFonts w:ascii="Symbol" w:hAnsi="Symbol" w:hint="default"/>
        <w:spacing w:val="0"/>
        <w:w w:val="100"/>
        <w:position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BD74246"/>
    <w:multiLevelType w:val="hybridMultilevel"/>
    <w:tmpl w:val="5106B31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nsid w:val="1D0A372B"/>
    <w:multiLevelType w:val="hybridMultilevel"/>
    <w:tmpl w:val="6F2436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23A661A1"/>
    <w:multiLevelType w:val="hybridMultilevel"/>
    <w:tmpl w:val="88686C3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2C0B4D53"/>
    <w:multiLevelType w:val="hybridMultilevel"/>
    <w:tmpl w:val="1604064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D030ACD"/>
    <w:multiLevelType w:val="hybridMultilevel"/>
    <w:tmpl w:val="6D862BAE"/>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nsid w:val="2DFC4CCD"/>
    <w:multiLevelType w:val="hybridMultilevel"/>
    <w:tmpl w:val="CDF85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245625"/>
    <w:multiLevelType w:val="hybridMultilevel"/>
    <w:tmpl w:val="D09CA7D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3273244D"/>
    <w:multiLevelType w:val="hybridMultilevel"/>
    <w:tmpl w:val="95848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330D26BC"/>
    <w:multiLevelType w:val="hybridMultilevel"/>
    <w:tmpl w:val="3DEAA3B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60B768B"/>
    <w:multiLevelType w:val="singleLevel"/>
    <w:tmpl w:val="0A56DC84"/>
    <w:lvl w:ilvl="0">
      <w:start w:val="1"/>
      <w:numFmt w:val="bullet"/>
      <w:pStyle w:val="ListBullet-Last"/>
      <w:lvlText w:val=""/>
      <w:lvlJc w:val="left"/>
      <w:pPr>
        <w:tabs>
          <w:tab w:val="num" w:pos="360"/>
        </w:tabs>
        <w:ind w:left="360" w:hanging="360"/>
      </w:pPr>
      <w:rPr>
        <w:rFonts w:ascii="Symbol" w:hAnsi="Symbol" w:hint="default"/>
      </w:rPr>
    </w:lvl>
  </w:abstractNum>
  <w:abstractNum w:abstractNumId="31">
    <w:nsid w:val="364E7B8C"/>
    <w:multiLevelType w:val="hybridMultilevel"/>
    <w:tmpl w:val="569AA4D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3B317C93"/>
    <w:multiLevelType w:val="hybridMultilevel"/>
    <w:tmpl w:val="5106B31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nsid w:val="3BBF528C"/>
    <w:multiLevelType w:val="hybridMultilevel"/>
    <w:tmpl w:val="C2942EC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3CC21B40"/>
    <w:multiLevelType w:val="hybridMultilevel"/>
    <w:tmpl w:val="527E32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3EDC514E"/>
    <w:multiLevelType w:val="hybridMultilevel"/>
    <w:tmpl w:val="CC7A1D2C"/>
    <w:lvl w:ilvl="0" w:tplc="655E351C">
      <w:start w:val="1"/>
      <w:numFmt w:val="low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3FD060EE"/>
    <w:multiLevelType w:val="hybridMultilevel"/>
    <w:tmpl w:val="E04439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443D11F5"/>
    <w:multiLevelType w:val="hybridMultilevel"/>
    <w:tmpl w:val="E6667D6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49075B34"/>
    <w:multiLevelType w:val="hybridMultilevel"/>
    <w:tmpl w:val="5C209188"/>
    <w:lvl w:ilvl="0" w:tplc="837EED8A">
      <w:start w:val="1"/>
      <w:numFmt w:val="lowerRoman"/>
      <w:lvlText w:val="%1)"/>
      <w:lvlJc w:val="left"/>
      <w:pPr>
        <w:ind w:left="720" w:hanging="360"/>
      </w:pPr>
      <w:rPr>
        <w:rFonts w:hint="default"/>
      </w:rPr>
    </w:lvl>
    <w:lvl w:ilvl="1" w:tplc="028E6DBC">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BFA099B"/>
    <w:multiLevelType w:val="hybridMultilevel"/>
    <w:tmpl w:val="55ACFBC8"/>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nsid w:val="51F324C5"/>
    <w:multiLevelType w:val="hybridMultilevel"/>
    <w:tmpl w:val="14C29E8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557E7E7D"/>
    <w:multiLevelType w:val="hybridMultilevel"/>
    <w:tmpl w:val="FBD859F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58614BB9"/>
    <w:multiLevelType w:val="hybridMultilevel"/>
    <w:tmpl w:val="6D8CF22C"/>
    <w:lvl w:ilvl="0" w:tplc="CF0C7CA8">
      <w:start w:val="1"/>
      <w:numFmt w:val="decimal"/>
      <w:pStyle w:val="NumberedList"/>
      <w:lvlText w:val="%1."/>
      <w:lvlJc w:val="right"/>
      <w:pPr>
        <w:tabs>
          <w:tab w:val="num" w:pos="648"/>
        </w:tabs>
        <w:ind w:left="648"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D387ED3"/>
    <w:multiLevelType w:val="hybridMultilevel"/>
    <w:tmpl w:val="E9E830C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5E745721"/>
    <w:multiLevelType w:val="hybridMultilevel"/>
    <w:tmpl w:val="3796D58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nsid w:val="62603C08"/>
    <w:multiLevelType w:val="hybridMultilevel"/>
    <w:tmpl w:val="142E89C6"/>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nsid w:val="648A4FAB"/>
    <w:multiLevelType w:val="hybridMultilevel"/>
    <w:tmpl w:val="7C48596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654F57CD"/>
    <w:multiLevelType w:val="hybridMultilevel"/>
    <w:tmpl w:val="2488CC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nsid w:val="66D13356"/>
    <w:multiLevelType w:val="hybridMultilevel"/>
    <w:tmpl w:val="33BE7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nsid w:val="67E46C0F"/>
    <w:multiLevelType w:val="hybridMultilevel"/>
    <w:tmpl w:val="D22C73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67F276C6"/>
    <w:multiLevelType w:val="hybridMultilevel"/>
    <w:tmpl w:val="3E9A2B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6832025F"/>
    <w:multiLevelType w:val="hybridMultilevel"/>
    <w:tmpl w:val="A54287D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6914679D"/>
    <w:multiLevelType w:val="hybridMultilevel"/>
    <w:tmpl w:val="9DFAF1C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nsid w:val="6A2E401A"/>
    <w:multiLevelType w:val="hybridMultilevel"/>
    <w:tmpl w:val="E08AB27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6DDD0E9F"/>
    <w:multiLevelType w:val="multilevel"/>
    <w:tmpl w:val="FFA85D9C"/>
    <w:lvl w:ilvl="0">
      <w:start w:val="1"/>
      <w:numFmt w:val="upperLetter"/>
      <w:lvlText w:val="%1"/>
      <w:lvlJc w:val="left"/>
      <w:pPr>
        <w:tabs>
          <w:tab w:val="num" w:pos="574"/>
        </w:tabs>
        <w:ind w:left="574" w:hanging="716"/>
      </w:pPr>
      <w:rPr>
        <w:rFonts w:hint="default"/>
      </w:rPr>
    </w:lvl>
    <w:lvl w:ilvl="1">
      <w:start w:val="1"/>
      <w:numFmt w:val="decimal"/>
      <w:lvlText w:val="%1.%2"/>
      <w:lvlJc w:val="left"/>
      <w:pPr>
        <w:tabs>
          <w:tab w:val="num" w:pos="718"/>
        </w:tabs>
        <w:ind w:left="28" w:hanging="170"/>
      </w:pPr>
      <w:rPr>
        <w:rFonts w:hint="default"/>
      </w:rPr>
    </w:lvl>
    <w:lvl w:ilvl="2">
      <w:start w:val="1"/>
      <w:numFmt w:val="decimal"/>
      <w:pStyle w:val="Heading3"/>
      <w:lvlText w:val="%1.%2.%3"/>
      <w:lvlJc w:val="left"/>
      <w:pPr>
        <w:tabs>
          <w:tab w:val="num" w:pos="1004"/>
        </w:tabs>
        <w:ind w:left="1004" w:hanging="1004"/>
      </w:pPr>
      <w:rPr>
        <w:rFonts w:hint="default"/>
      </w:rPr>
    </w:lvl>
    <w:lvl w:ilvl="3">
      <w:start w:val="1"/>
      <w:numFmt w:val="decimal"/>
      <w:lvlText w:val="%1.%2.%3.%4"/>
      <w:lvlJc w:val="left"/>
      <w:pPr>
        <w:tabs>
          <w:tab w:val="num" w:pos="862"/>
        </w:tabs>
        <w:ind w:left="862" w:hanging="1004"/>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294"/>
        </w:tabs>
        <w:ind w:left="1294" w:hanging="1152"/>
      </w:pPr>
      <w:rPr>
        <w:rFonts w:hint="default"/>
      </w:rPr>
    </w:lvl>
    <w:lvl w:ilvl="6">
      <w:start w:val="1"/>
      <w:numFmt w:val="decimal"/>
      <w:lvlText w:val="%1.%2.%3.%4.%5.%6.%7"/>
      <w:lvlJc w:val="left"/>
      <w:pPr>
        <w:tabs>
          <w:tab w:val="num" w:pos="1438"/>
        </w:tabs>
        <w:ind w:left="1438" w:hanging="1296"/>
      </w:pPr>
      <w:rPr>
        <w:rFonts w:hint="default"/>
      </w:rPr>
    </w:lvl>
    <w:lvl w:ilvl="7">
      <w:start w:val="1"/>
      <w:numFmt w:val="decimal"/>
      <w:lvlText w:val="%1.%2.%3.%4.%5.%6.%7.%8"/>
      <w:lvlJc w:val="left"/>
      <w:pPr>
        <w:tabs>
          <w:tab w:val="num" w:pos="1582"/>
        </w:tabs>
        <w:ind w:left="1582" w:hanging="1440"/>
      </w:pPr>
      <w:rPr>
        <w:rFonts w:hint="default"/>
      </w:rPr>
    </w:lvl>
    <w:lvl w:ilvl="8">
      <w:start w:val="1"/>
      <w:numFmt w:val="decimal"/>
      <w:lvlText w:val="%1.%2.%3.%4.%5.%6.%7.%8.%9"/>
      <w:lvlJc w:val="left"/>
      <w:pPr>
        <w:tabs>
          <w:tab w:val="num" w:pos="1726"/>
        </w:tabs>
        <w:ind w:left="1726" w:hanging="1584"/>
      </w:pPr>
      <w:rPr>
        <w:rFonts w:hint="default"/>
      </w:rPr>
    </w:lvl>
  </w:abstractNum>
  <w:abstractNum w:abstractNumId="55">
    <w:nsid w:val="73334928"/>
    <w:multiLevelType w:val="hybridMultilevel"/>
    <w:tmpl w:val="AD7295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nsid w:val="73B66174"/>
    <w:multiLevelType w:val="hybridMultilevel"/>
    <w:tmpl w:val="0628859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nsid w:val="7CC0276B"/>
    <w:multiLevelType w:val="hybridMultilevel"/>
    <w:tmpl w:val="F300E73A"/>
    <w:lvl w:ilvl="0" w:tplc="0C090019">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8">
    <w:nsid w:val="7EE72728"/>
    <w:multiLevelType w:val="hybridMultilevel"/>
    <w:tmpl w:val="4676846E"/>
    <w:lvl w:ilvl="0" w:tplc="8042E164">
      <w:start w:val="1"/>
      <w:numFmt w:val="lowerLetter"/>
      <w:lvlText w:val="%1."/>
      <w:lvlJc w:val="left"/>
      <w:pPr>
        <w:ind w:left="720" w:hanging="360"/>
      </w:pPr>
      <w:rPr>
        <w:rFonts w:hint="default"/>
        <w:sz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4"/>
  </w:num>
  <w:num w:numId="2">
    <w:abstractNumId w:val="7"/>
  </w:num>
  <w:num w:numId="3">
    <w:abstractNumId w:val="9"/>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42"/>
  </w:num>
  <w:num w:numId="14">
    <w:abstractNumId w:val="12"/>
  </w:num>
  <w:num w:numId="15">
    <w:abstractNumId w:val="20"/>
  </w:num>
  <w:num w:numId="16">
    <w:abstractNumId w:val="21"/>
  </w:num>
  <w:num w:numId="17">
    <w:abstractNumId w:val="32"/>
  </w:num>
  <w:num w:numId="18">
    <w:abstractNumId w:val="26"/>
  </w:num>
  <w:num w:numId="19">
    <w:abstractNumId w:val="38"/>
  </w:num>
  <w:num w:numId="20">
    <w:abstractNumId w:val="16"/>
  </w:num>
  <w:num w:numId="21">
    <w:abstractNumId w:val="49"/>
  </w:num>
  <w:num w:numId="22">
    <w:abstractNumId w:val="47"/>
  </w:num>
  <w:num w:numId="23">
    <w:abstractNumId w:val="11"/>
  </w:num>
  <w:num w:numId="24">
    <w:abstractNumId w:val="19"/>
  </w:num>
  <w:num w:numId="25">
    <w:abstractNumId w:val="31"/>
  </w:num>
  <w:num w:numId="26">
    <w:abstractNumId w:val="24"/>
  </w:num>
  <w:num w:numId="27">
    <w:abstractNumId w:val="40"/>
  </w:num>
  <w:num w:numId="28">
    <w:abstractNumId w:val="10"/>
  </w:num>
  <w:num w:numId="29">
    <w:abstractNumId w:val="25"/>
  </w:num>
  <w:num w:numId="30">
    <w:abstractNumId w:val="45"/>
  </w:num>
  <w:num w:numId="31">
    <w:abstractNumId w:val="18"/>
  </w:num>
  <w:num w:numId="32">
    <w:abstractNumId w:val="41"/>
  </w:num>
  <w:num w:numId="33">
    <w:abstractNumId w:val="51"/>
  </w:num>
  <w:num w:numId="34">
    <w:abstractNumId w:val="37"/>
  </w:num>
  <w:num w:numId="35">
    <w:abstractNumId w:val="23"/>
  </w:num>
  <w:num w:numId="36">
    <w:abstractNumId w:val="57"/>
  </w:num>
  <w:num w:numId="37">
    <w:abstractNumId w:val="39"/>
  </w:num>
  <w:num w:numId="38">
    <w:abstractNumId w:val="29"/>
  </w:num>
  <w:num w:numId="39">
    <w:abstractNumId w:val="44"/>
  </w:num>
  <w:num w:numId="40">
    <w:abstractNumId w:val="56"/>
  </w:num>
  <w:num w:numId="41">
    <w:abstractNumId w:val="46"/>
  </w:num>
  <w:num w:numId="42">
    <w:abstractNumId w:val="58"/>
  </w:num>
  <w:num w:numId="43">
    <w:abstractNumId w:val="35"/>
  </w:num>
  <w:num w:numId="44">
    <w:abstractNumId w:val="36"/>
  </w:num>
  <w:num w:numId="45">
    <w:abstractNumId w:val="43"/>
  </w:num>
  <w:num w:numId="46">
    <w:abstractNumId w:val="33"/>
  </w:num>
  <w:num w:numId="47">
    <w:abstractNumId w:val="50"/>
  </w:num>
  <w:num w:numId="48">
    <w:abstractNumId w:val="17"/>
  </w:num>
  <w:num w:numId="49">
    <w:abstractNumId w:val="52"/>
  </w:num>
  <w:num w:numId="50">
    <w:abstractNumId w:val="48"/>
  </w:num>
  <w:num w:numId="51">
    <w:abstractNumId w:val="14"/>
  </w:num>
  <w:num w:numId="52">
    <w:abstractNumId w:val="15"/>
  </w:num>
  <w:num w:numId="53">
    <w:abstractNumId w:val="55"/>
  </w:num>
  <w:num w:numId="54">
    <w:abstractNumId w:val="34"/>
  </w:num>
  <w:num w:numId="55">
    <w:abstractNumId w:val="22"/>
  </w:num>
  <w:num w:numId="56">
    <w:abstractNumId w:val="28"/>
  </w:num>
  <w:num w:numId="57">
    <w:abstractNumId w:val="53"/>
  </w:num>
  <w:num w:numId="58">
    <w:abstractNumId w:val="27"/>
  </w:num>
  <w:num w:numId="59">
    <w:abstractNumId w:val="1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hideSpellingErrors/>
  <w:activeWritingStyle w:appName="MSWord" w:lang="en-AU" w:vendorID="64" w:dllVersion="131078" w:nlCheck="1" w:checkStyle="1"/>
  <w:activeWritingStyle w:appName="MSWord" w:lang="en-US" w:vendorID="64" w:dllVersion="131078" w:nlCheck="1" w:checkStyle="1"/>
  <w:activeWritingStyle w:appName="MSWord" w:lang="en-GB" w:vendorID="64" w:dllVersion="131078" w:nlCheck="1" w:checkStyle="1"/>
  <w:proofState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0FA"/>
    <w:rsid w:val="00000ABB"/>
    <w:rsid w:val="00001806"/>
    <w:rsid w:val="00002FD5"/>
    <w:rsid w:val="00003B43"/>
    <w:rsid w:val="00005680"/>
    <w:rsid w:val="00005978"/>
    <w:rsid w:val="00006F95"/>
    <w:rsid w:val="000102CB"/>
    <w:rsid w:val="0001287B"/>
    <w:rsid w:val="0001299B"/>
    <w:rsid w:val="00013774"/>
    <w:rsid w:val="00015B26"/>
    <w:rsid w:val="000167F2"/>
    <w:rsid w:val="000175F8"/>
    <w:rsid w:val="0002020C"/>
    <w:rsid w:val="000203D1"/>
    <w:rsid w:val="00020561"/>
    <w:rsid w:val="000207C7"/>
    <w:rsid w:val="00021B7C"/>
    <w:rsid w:val="00022100"/>
    <w:rsid w:val="00023462"/>
    <w:rsid w:val="000236D8"/>
    <w:rsid w:val="000270B9"/>
    <w:rsid w:val="000271B0"/>
    <w:rsid w:val="00030DC1"/>
    <w:rsid w:val="00031041"/>
    <w:rsid w:val="00033EF6"/>
    <w:rsid w:val="000341D1"/>
    <w:rsid w:val="000354FF"/>
    <w:rsid w:val="000367FE"/>
    <w:rsid w:val="00036DF1"/>
    <w:rsid w:val="00037176"/>
    <w:rsid w:val="00040356"/>
    <w:rsid w:val="00041974"/>
    <w:rsid w:val="00041A06"/>
    <w:rsid w:val="0004238C"/>
    <w:rsid w:val="00042A00"/>
    <w:rsid w:val="00044B07"/>
    <w:rsid w:val="00045479"/>
    <w:rsid w:val="00045D99"/>
    <w:rsid w:val="00046FB9"/>
    <w:rsid w:val="00052CF4"/>
    <w:rsid w:val="000533CC"/>
    <w:rsid w:val="0005362F"/>
    <w:rsid w:val="00054309"/>
    <w:rsid w:val="00054963"/>
    <w:rsid w:val="00054D25"/>
    <w:rsid w:val="00055224"/>
    <w:rsid w:val="000553C6"/>
    <w:rsid w:val="000553ED"/>
    <w:rsid w:val="00055DE8"/>
    <w:rsid w:val="0005795A"/>
    <w:rsid w:val="0006170F"/>
    <w:rsid w:val="0006244F"/>
    <w:rsid w:val="00062B77"/>
    <w:rsid w:val="00063591"/>
    <w:rsid w:val="0006485B"/>
    <w:rsid w:val="0006554C"/>
    <w:rsid w:val="0006604D"/>
    <w:rsid w:val="00066C0D"/>
    <w:rsid w:val="00066C8B"/>
    <w:rsid w:val="000670D1"/>
    <w:rsid w:val="00067180"/>
    <w:rsid w:val="000675E0"/>
    <w:rsid w:val="000704A6"/>
    <w:rsid w:val="00070B2F"/>
    <w:rsid w:val="000732FB"/>
    <w:rsid w:val="00073397"/>
    <w:rsid w:val="0007366A"/>
    <w:rsid w:val="00073E40"/>
    <w:rsid w:val="00074AE3"/>
    <w:rsid w:val="00075BA1"/>
    <w:rsid w:val="000761FC"/>
    <w:rsid w:val="000768C8"/>
    <w:rsid w:val="000770B2"/>
    <w:rsid w:val="00077A8F"/>
    <w:rsid w:val="00077CED"/>
    <w:rsid w:val="00077E6E"/>
    <w:rsid w:val="00077E87"/>
    <w:rsid w:val="00080175"/>
    <w:rsid w:val="000806AF"/>
    <w:rsid w:val="000812DC"/>
    <w:rsid w:val="00081881"/>
    <w:rsid w:val="00082522"/>
    <w:rsid w:val="000829E5"/>
    <w:rsid w:val="00082CDA"/>
    <w:rsid w:val="00083898"/>
    <w:rsid w:val="00084D55"/>
    <w:rsid w:val="00084E75"/>
    <w:rsid w:val="000863B0"/>
    <w:rsid w:val="00086C77"/>
    <w:rsid w:val="0009065A"/>
    <w:rsid w:val="00090833"/>
    <w:rsid w:val="000941E8"/>
    <w:rsid w:val="00094A30"/>
    <w:rsid w:val="00094B7A"/>
    <w:rsid w:val="00094BDE"/>
    <w:rsid w:val="000955BF"/>
    <w:rsid w:val="00096610"/>
    <w:rsid w:val="00096B8F"/>
    <w:rsid w:val="00097F4E"/>
    <w:rsid w:val="000A03AD"/>
    <w:rsid w:val="000A38BA"/>
    <w:rsid w:val="000A3B68"/>
    <w:rsid w:val="000A4118"/>
    <w:rsid w:val="000A4B20"/>
    <w:rsid w:val="000A7F2D"/>
    <w:rsid w:val="000B0010"/>
    <w:rsid w:val="000B08B1"/>
    <w:rsid w:val="000B10C9"/>
    <w:rsid w:val="000B18D8"/>
    <w:rsid w:val="000B1F4E"/>
    <w:rsid w:val="000B208B"/>
    <w:rsid w:val="000B27AB"/>
    <w:rsid w:val="000B288D"/>
    <w:rsid w:val="000B2CBF"/>
    <w:rsid w:val="000B5A59"/>
    <w:rsid w:val="000B70C0"/>
    <w:rsid w:val="000B7447"/>
    <w:rsid w:val="000C0E1B"/>
    <w:rsid w:val="000C1751"/>
    <w:rsid w:val="000C20D6"/>
    <w:rsid w:val="000C3E92"/>
    <w:rsid w:val="000C4E12"/>
    <w:rsid w:val="000C646B"/>
    <w:rsid w:val="000C66AD"/>
    <w:rsid w:val="000C69E2"/>
    <w:rsid w:val="000C73F3"/>
    <w:rsid w:val="000D172A"/>
    <w:rsid w:val="000D386F"/>
    <w:rsid w:val="000D3A74"/>
    <w:rsid w:val="000D3CB5"/>
    <w:rsid w:val="000D59CC"/>
    <w:rsid w:val="000D5D75"/>
    <w:rsid w:val="000D632E"/>
    <w:rsid w:val="000D6966"/>
    <w:rsid w:val="000D6DC2"/>
    <w:rsid w:val="000E0CFD"/>
    <w:rsid w:val="000E37DA"/>
    <w:rsid w:val="000E425A"/>
    <w:rsid w:val="000E4C95"/>
    <w:rsid w:val="000E54C4"/>
    <w:rsid w:val="000E6862"/>
    <w:rsid w:val="000E7B1F"/>
    <w:rsid w:val="000F126D"/>
    <w:rsid w:val="000F129E"/>
    <w:rsid w:val="000F17D3"/>
    <w:rsid w:val="000F1908"/>
    <w:rsid w:val="000F1AD1"/>
    <w:rsid w:val="000F1DAC"/>
    <w:rsid w:val="000F31AB"/>
    <w:rsid w:val="000F330B"/>
    <w:rsid w:val="000F5B40"/>
    <w:rsid w:val="000F7A8B"/>
    <w:rsid w:val="000F7F0C"/>
    <w:rsid w:val="001015AB"/>
    <w:rsid w:val="0010233D"/>
    <w:rsid w:val="00102B0B"/>
    <w:rsid w:val="00102B54"/>
    <w:rsid w:val="00104F4C"/>
    <w:rsid w:val="0010645E"/>
    <w:rsid w:val="00110080"/>
    <w:rsid w:val="0011034D"/>
    <w:rsid w:val="00111534"/>
    <w:rsid w:val="001126D0"/>
    <w:rsid w:val="00112BA0"/>
    <w:rsid w:val="0011310F"/>
    <w:rsid w:val="0011397F"/>
    <w:rsid w:val="00114D62"/>
    <w:rsid w:val="001165AC"/>
    <w:rsid w:val="00116743"/>
    <w:rsid w:val="00116CCC"/>
    <w:rsid w:val="00116E5D"/>
    <w:rsid w:val="00117A16"/>
    <w:rsid w:val="00121231"/>
    <w:rsid w:val="00121842"/>
    <w:rsid w:val="00121AA5"/>
    <w:rsid w:val="00123496"/>
    <w:rsid w:val="001235C4"/>
    <w:rsid w:val="00124FA7"/>
    <w:rsid w:val="00125903"/>
    <w:rsid w:val="001278D7"/>
    <w:rsid w:val="00127975"/>
    <w:rsid w:val="001310A0"/>
    <w:rsid w:val="00131E92"/>
    <w:rsid w:val="00131FFB"/>
    <w:rsid w:val="00132E0B"/>
    <w:rsid w:val="0013401A"/>
    <w:rsid w:val="00134CE2"/>
    <w:rsid w:val="00136913"/>
    <w:rsid w:val="00136D50"/>
    <w:rsid w:val="00140B5E"/>
    <w:rsid w:val="00140CA4"/>
    <w:rsid w:val="0014216D"/>
    <w:rsid w:val="001438AD"/>
    <w:rsid w:val="00144D81"/>
    <w:rsid w:val="0014599C"/>
    <w:rsid w:val="00146B66"/>
    <w:rsid w:val="00146B90"/>
    <w:rsid w:val="00146EF5"/>
    <w:rsid w:val="00147C10"/>
    <w:rsid w:val="00150FDA"/>
    <w:rsid w:val="001511F4"/>
    <w:rsid w:val="00152C1A"/>
    <w:rsid w:val="00152E28"/>
    <w:rsid w:val="00153828"/>
    <w:rsid w:val="001542C4"/>
    <w:rsid w:val="00155DFA"/>
    <w:rsid w:val="00155F44"/>
    <w:rsid w:val="001576D0"/>
    <w:rsid w:val="00160107"/>
    <w:rsid w:val="001609A8"/>
    <w:rsid w:val="00160CBF"/>
    <w:rsid w:val="0016113D"/>
    <w:rsid w:val="00164751"/>
    <w:rsid w:val="001658EC"/>
    <w:rsid w:val="001663C9"/>
    <w:rsid w:val="001703A4"/>
    <w:rsid w:val="001706D3"/>
    <w:rsid w:val="0017130A"/>
    <w:rsid w:val="0017151F"/>
    <w:rsid w:val="00172CF5"/>
    <w:rsid w:val="00173D85"/>
    <w:rsid w:val="0017440D"/>
    <w:rsid w:val="00174D0E"/>
    <w:rsid w:val="0017645D"/>
    <w:rsid w:val="00177431"/>
    <w:rsid w:val="00177756"/>
    <w:rsid w:val="00180260"/>
    <w:rsid w:val="00181166"/>
    <w:rsid w:val="00181823"/>
    <w:rsid w:val="0018424E"/>
    <w:rsid w:val="00186523"/>
    <w:rsid w:val="001873A8"/>
    <w:rsid w:val="00187C39"/>
    <w:rsid w:val="00191CFE"/>
    <w:rsid w:val="00191E52"/>
    <w:rsid w:val="001925F6"/>
    <w:rsid w:val="00192A41"/>
    <w:rsid w:val="00192B9C"/>
    <w:rsid w:val="00192DC5"/>
    <w:rsid w:val="00192E11"/>
    <w:rsid w:val="00193A71"/>
    <w:rsid w:val="0019520E"/>
    <w:rsid w:val="00195600"/>
    <w:rsid w:val="00196EA7"/>
    <w:rsid w:val="0019703A"/>
    <w:rsid w:val="00197183"/>
    <w:rsid w:val="00197312"/>
    <w:rsid w:val="0019784C"/>
    <w:rsid w:val="00197D3F"/>
    <w:rsid w:val="001A0033"/>
    <w:rsid w:val="001A05B2"/>
    <w:rsid w:val="001A0BB9"/>
    <w:rsid w:val="001A111B"/>
    <w:rsid w:val="001A312F"/>
    <w:rsid w:val="001A3488"/>
    <w:rsid w:val="001A3CFB"/>
    <w:rsid w:val="001A5CDD"/>
    <w:rsid w:val="001A60BA"/>
    <w:rsid w:val="001A70F7"/>
    <w:rsid w:val="001B160D"/>
    <w:rsid w:val="001B1D4E"/>
    <w:rsid w:val="001B4316"/>
    <w:rsid w:val="001B434B"/>
    <w:rsid w:val="001B4A68"/>
    <w:rsid w:val="001B4D68"/>
    <w:rsid w:val="001B5668"/>
    <w:rsid w:val="001B592B"/>
    <w:rsid w:val="001B5B6E"/>
    <w:rsid w:val="001B5C13"/>
    <w:rsid w:val="001B6F38"/>
    <w:rsid w:val="001C0D34"/>
    <w:rsid w:val="001C2E95"/>
    <w:rsid w:val="001C332B"/>
    <w:rsid w:val="001C4016"/>
    <w:rsid w:val="001C4EFF"/>
    <w:rsid w:val="001C4F2A"/>
    <w:rsid w:val="001D0DE9"/>
    <w:rsid w:val="001D1C2C"/>
    <w:rsid w:val="001D2230"/>
    <w:rsid w:val="001D2B10"/>
    <w:rsid w:val="001D4159"/>
    <w:rsid w:val="001D4417"/>
    <w:rsid w:val="001D49A6"/>
    <w:rsid w:val="001D4EFB"/>
    <w:rsid w:val="001D5154"/>
    <w:rsid w:val="001D5418"/>
    <w:rsid w:val="001D5635"/>
    <w:rsid w:val="001D56D3"/>
    <w:rsid w:val="001D5952"/>
    <w:rsid w:val="001D61AB"/>
    <w:rsid w:val="001D65A9"/>
    <w:rsid w:val="001D6DA2"/>
    <w:rsid w:val="001D7743"/>
    <w:rsid w:val="001D7A2D"/>
    <w:rsid w:val="001E0981"/>
    <w:rsid w:val="001E0B4C"/>
    <w:rsid w:val="001E35F4"/>
    <w:rsid w:val="001E3870"/>
    <w:rsid w:val="001E4261"/>
    <w:rsid w:val="001E569B"/>
    <w:rsid w:val="001E6537"/>
    <w:rsid w:val="001E6DCE"/>
    <w:rsid w:val="001E7FB4"/>
    <w:rsid w:val="001F09AD"/>
    <w:rsid w:val="001F1863"/>
    <w:rsid w:val="001F2367"/>
    <w:rsid w:val="001F29A4"/>
    <w:rsid w:val="001F35C0"/>
    <w:rsid w:val="001F3EF4"/>
    <w:rsid w:val="001F4471"/>
    <w:rsid w:val="001F48DF"/>
    <w:rsid w:val="001F62C3"/>
    <w:rsid w:val="001F7135"/>
    <w:rsid w:val="001F760B"/>
    <w:rsid w:val="001F7F34"/>
    <w:rsid w:val="002004B1"/>
    <w:rsid w:val="00200AE2"/>
    <w:rsid w:val="00200EDC"/>
    <w:rsid w:val="002015A4"/>
    <w:rsid w:val="0020199F"/>
    <w:rsid w:val="00202061"/>
    <w:rsid w:val="0020223D"/>
    <w:rsid w:val="0020241A"/>
    <w:rsid w:val="00203578"/>
    <w:rsid w:val="00204F6D"/>
    <w:rsid w:val="00205610"/>
    <w:rsid w:val="00206970"/>
    <w:rsid w:val="00206FA0"/>
    <w:rsid w:val="00210A04"/>
    <w:rsid w:val="00210DF9"/>
    <w:rsid w:val="00211196"/>
    <w:rsid w:val="00213453"/>
    <w:rsid w:val="002139B8"/>
    <w:rsid w:val="00213CB1"/>
    <w:rsid w:val="00213D8A"/>
    <w:rsid w:val="00214346"/>
    <w:rsid w:val="002148E1"/>
    <w:rsid w:val="00214A23"/>
    <w:rsid w:val="00214D6F"/>
    <w:rsid w:val="00214FDA"/>
    <w:rsid w:val="00215144"/>
    <w:rsid w:val="00215AF6"/>
    <w:rsid w:val="00215DEE"/>
    <w:rsid w:val="00216EFB"/>
    <w:rsid w:val="0021724B"/>
    <w:rsid w:val="00217C21"/>
    <w:rsid w:val="002209F6"/>
    <w:rsid w:val="00220AE2"/>
    <w:rsid w:val="0022199E"/>
    <w:rsid w:val="00222808"/>
    <w:rsid w:val="00223225"/>
    <w:rsid w:val="00223AA2"/>
    <w:rsid w:val="00224612"/>
    <w:rsid w:val="002246BA"/>
    <w:rsid w:val="00224980"/>
    <w:rsid w:val="002252AB"/>
    <w:rsid w:val="00227197"/>
    <w:rsid w:val="002304DF"/>
    <w:rsid w:val="002311A9"/>
    <w:rsid w:val="002320DA"/>
    <w:rsid w:val="0023269B"/>
    <w:rsid w:val="002350D0"/>
    <w:rsid w:val="002352A9"/>
    <w:rsid w:val="00235AC3"/>
    <w:rsid w:val="00237C5D"/>
    <w:rsid w:val="00237CB6"/>
    <w:rsid w:val="002427B4"/>
    <w:rsid w:val="002435A5"/>
    <w:rsid w:val="002456B3"/>
    <w:rsid w:val="0024601A"/>
    <w:rsid w:val="00246F63"/>
    <w:rsid w:val="00247BCE"/>
    <w:rsid w:val="00247CDF"/>
    <w:rsid w:val="0025176C"/>
    <w:rsid w:val="0025334A"/>
    <w:rsid w:val="0025365D"/>
    <w:rsid w:val="00254CBD"/>
    <w:rsid w:val="002561B1"/>
    <w:rsid w:val="00257721"/>
    <w:rsid w:val="0025779E"/>
    <w:rsid w:val="00257D36"/>
    <w:rsid w:val="00257EDD"/>
    <w:rsid w:val="00260E6C"/>
    <w:rsid w:val="002612AA"/>
    <w:rsid w:val="002614A4"/>
    <w:rsid w:val="002616F6"/>
    <w:rsid w:val="00261ABC"/>
    <w:rsid w:val="002620AF"/>
    <w:rsid w:val="002633EE"/>
    <w:rsid w:val="00264ACA"/>
    <w:rsid w:val="00267817"/>
    <w:rsid w:val="00270FB9"/>
    <w:rsid w:val="002716F8"/>
    <w:rsid w:val="00272416"/>
    <w:rsid w:val="00272BA6"/>
    <w:rsid w:val="00272D96"/>
    <w:rsid w:val="00273259"/>
    <w:rsid w:val="0027382B"/>
    <w:rsid w:val="002741E1"/>
    <w:rsid w:val="002744FD"/>
    <w:rsid w:val="002753A9"/>
    <w:rsid w:val="00275488"/>
    <w:rsid w:val="00275721"/>
    <w:rsid w:val="0027733E"/>
    <w:rsid w:val="00280480"/>
    <w:rsid w:val="0028088C"/>
    <w:rsid w:val="00280D30"/>
    <w:rsid w:val="0028143F"/>
    <w:rsid w:val="00281AE4"/>
    <w:rsid w:val="00282645"/>
    <w:rsid w:val="00283237"/>
    <w:rsid w:val="00283546"/>
    <w:rsid w:val="00285CC5"/>
    <w:rsid w:val="00286B64"/>
    <w:rsid w:val="00287273"/>
    <w:rsid w:val="002872AA"/>
    <w:rsid w:val="00287478"/>
    <w:rsid w:val="0028751E"/>
    <w:rsid w:val="00294C0A"/>
    <w:rsid w:val="00294E04"/>
    <w:rsid w:val="0029566B"/>
    <w:rsid w:val="00295B89"/>
    <w:rsid w:val="00296B79"/>
    <w:rsid w:val="00296C87"/>
    <w:rsid w:val="002A07D2"/>
    <w:rsid w:val="002A22FD"/>
    <w:rsid w:val="002A2EAC"/>
    <w:rsid w:val="002A2EE0"/>
    <w:rsid w:val="002A392A"/>
    <w:rsid w:val="002A39FB"/>
    <w:rsid w:val="002A4898"/>
    <w:rsid w:val="002A5763"/>
    <w:rsid w:val="002A5880"/>
    <w:rsid w:val="002A5E3A"/>
    <w:rsid w:val="002A6361"/>
    <w:rsid w:val="002A7261"/>
    <w:rsid w:val="002B0893"/>
    <w:rsid w:val="002B1896"/>
    <w:rsid w:val="002B2788"/>
    <w:rsid w:val="002B2B10"/>
    <w:rsid w:val="002B489D"/>
    <w:rsid w:val="002B4DDB"/>
    <w:rsid w:val="002B62D4"/>
    <w:rsid w:val="002B63FE"/>
    <w:rsid w:val="002B6828"/>
    <w:rsid w:val="002B73DC"/>
    <w:rsid w:val="002C00BE"/>
    <w:rsid w:val="002C09EE"/>
    <w:rsid w:val="002C0DD7"/>
    <w:rsid w:val="002C1A00"/>
    <w:rsid w:val="002C1AFE"/>
    <w:rsid w:val="002C1BCA"/>
    <w:rsid w:val="002C1FBC"/>
    <w:rsid w:val="002C1FD0"/>
    <w:rsid w:val="002C281A"/>
    <w:rsid w:val="002C3B78"/>
    <w:rsid w:val="002C486C"/>
    <w:rsid w:val="002C5814"/>
    <w:rsid w:val="002C5BAA"/>
    <w:rsid w:val="002C5D43"/>
    <w:rsid w:val="002D0D39"/>
    <w:rsid w:val="002D10D6"/>
    <w:rsid w:val="002D14D7"/>
    <w:rsid w:val="002D1F83"/>
    <w:rsid w:val="002D2611"/>
    <w:rsid w:val="002D27E9"/>
    <w:rsid w:val="002D28E4"/>
    <w:rsid w:val="002D2D01"/>
    <w:rsid w:val="002D3910"/>
    <w:rsid w:val="002D3D69"/>
    <w:rsid w:val="002D4F47"/>
    <w:rsid w:val="002D6D34"/>
    <w:rsid w:val="002D755B"/>
    <w:rsid w:val="002D7E9E"/>
    <w:rsid w:val="002E065A"/>
    <w:rsid w:val="002E13B3"/>
    <w:rsid w:val="002E19A8"/>
    <w:rsid w:val="002E25FB"/>
    <w:rsid w:val="002E285A"/>
    <w:rsid w:val="002E2A50"/>
    <w:rsid w:val="002E35E3"/>
    <w:rsid w:val="002E383C"/>
    <w:rsid w:val="002E4C52"/>
    <w:rsid w:val="002E50D4"/>
    <w:rsid w:val="002E7501"/>
    <w:rsid w:val="002F06AC"/>
    <w:rsid w:val="002F06D4"/>
    <w:rsid w:val="002F18A4"/>
    <w:rsid w:val="002F1FF4"/>
    <w:rsid w:val="002F342C"/>
    <w:rsid w:val="002F3C3B"/>
    <w:rsid w:val="002F3C50"/>
    <w:rsid w:val="002F4E36"/>
    <w:rsid w:val="002F514B"/>
    <w:rsid w:val="002F7048"/>
    <w:rsid w:val="002F76EC"/>
    <w:rsid w:val="002F7F12"/>
    <w:rsid w:val="00301D5F"/>
    <w:rsid w:val="003022C1"/>
    <w:rsid w:val="00302D82"/>
    <w:rsid w:val="00303080"/>
    <w:rsid w:val="00303104"/>
    <w:rsid w:val="00303D7C"/>
    <w:rsid w:val="00305713"/>
    <w:rsid w:val="00305C3C"/>
    <w:rsid w:val="00307FBC"/>
    <w:rsid w:val="00310777"/>
    <w:rsid w:val="00310E36"/>
    <w:rsid w:val="00311731"/>
    <w:rsid w:val="00312254"/>
    <w:rsid w:val="00312FB3"/>
    <w:rsid w:val="00313F9D"/>
    <w:rsid w:val="00314060"/>
    <w:rsid w:val="00315290"/>
    <w:rsid w:val="00315975"/>
    <w:rsid w:val="00315D4F"/>
    <w:rsid w:val="003164C2"/>
    <w:rsid w:val="00316B20"/>
    <w:rsid w:val="00316D78"/>
    <w:rsid w:val="00316E34"/>
    <w:rsid w:val="00317236"/>
    <w:rsid w:val="00320416"/>
    <w:rsid w:val="0032066E"/>
    <w:rsid w:val="0032221D"/>
    <w:rsid w:val="0032266E"/>
    <w:rsid w:val="00322FCF"/>
    <w:rsid w:val="003232DC"/>
    <w:rsid w:val="0032389A"/>
    <w:rsid w:val="0032570A"/>
    <w:rsid w:val="00325907"/>
    <w:rsid w:val="00325CCE"/>
    <w:rsid w:val="0032677D"/>
    <w:rsid w:val="00326E4F"/>
    <w:rsid w:val="00327298"/>
    <w:rsid w:val="0033054D"/>
    <w:rsid w:val="00330C7E"/>
    <w:rsid w:val="00330CE8"/>
    <w:rsid w:val="00331981"/>
    <w:rsid w:val="00331A19"/>
    <w:rsid w:val="00331C76"/>
    <w:rsid w:val="00333B70"/>
    <w:rsid w:val="003340D7"/>
    <w:rsid w:val="00334132"/>
    <w:rsid w:val="00335F4E"/>
    <w:rsid w:val="003361A8"/>
    <w:rsid w:val="00337682"/>
    <w:rsid w:val="00337C2F"/>
    <w:rsid w:val="00340838"/>
    <w:rsid w:val="003415DE"/>
    <w:rsid w:val="0034297F"/>
    <w:rsid w:val="00342F53"/>
    <w:rsid w:val="00343E08"/>
    <w:rsid w:val="0034427A"/>
    <w:rsid w:val="00344636"/>
    <w:rsid w:val="00344D88"/>
    <w:rsid w:val="00344F05"/>
    <w:rsid w:val="00345355"/>
    <w:rsid w:val="003457C5"/>
    <w:rsid w:val="003469B2"/>
    <w:rsid w:val="00347B58"/>
    <w:rsid w:val="0035011E"/>
    <w:rsid w:val="00351315"/>
    <w:rsid w:val="0035157F"/>
    <w:rsid w:val="003521B1"/>
    <w:rsid w:val="00352E05"/>
    <w:rsid w:val="00353809"/>
    <w:rsid w:val="00354922"/>
    <w:rsid w:val="00355437"/>
    <w:rsid w:val="00355A8A"/>
    <w:rsid w:val="00355EBB"/>
    <w:rsid w:val="0035611C"/>
    <w:rsid w:val="0035650E"/>
    <w:rsid w:val="00357062"/>
    <w:rsid w:val="0035722C"/>
    <w:rsid w:val="0036000E"/>
    <w:rsid w:val="00360315"/>
    <w:rsid w:val="00360382"/>
    <w:rsid w:val="00360750"/>
    <w:rsid w:val="00361DE2"/>
    <w:rsid w:val="00362526"/>
    <w:rsid w:val="00362F85"/>
    <w:rsid w:val="00363A4C"/>
    <w:rsid w:val="003657CC"/>
    <w:rsid w:val="00365E0B"/>
    <w:rsid w:val="00366097"/>
    <w:rsid w:val="0037031D"/>
    <w:rsid w:val="00370426"/>
    <w:rsid w:val="0037193C"/>
    <w:rsid w:val="00372737"/>
    <w:rsid w:val="00374B82"/>
    <w:rsid w:val="00375413"/>
    <w:rsid w:val="00375635"/>
    <w:rsid w:val="0037697C"/>
    <w:rsid w:val="00376CD6"/>
    <w:rsid w:val="00376EBD"/>
    <w:rsid w:val="00376F99"/>
    <w:rsid w:val="00377C51"/>
    <w:rsid w:val="003810FA"/>
    <w:rsid w:val="00381791"/>
    <w:rsid w:val="00382717"/>
    <w:rsid w:val="0038425B"/>
    <w:rsid w:val="00384456"/>
    <w:rsid w:val="00386049"/>
    <w:rsid w:val="00386F0D"/>
    <w:rsid w:val="003874EE"/>
    <w:rsid w:val="00390469"/>
    <w:rsid w:val="00393EC1"/>
    <w:rsid w:val="003942DE"/>
    <w:rsid w:val="003948F2"/>
    <w:rsid w:val="003954A4"/>
    <w:rsid w:val="00397645"/>
    <w:rsid w:val="00397CE8"/>
    <w:rsid w:val="003A06B6"/>
    <w:rsid w:val="003A1124"/>
    <w:rsid w:val="003A121E"/>
    <w:rsid w:val="003A1804"/>
    <w:rsid w:val="003A1E77"/>
    <w:rsid w:val="003A4975"/>
    <w:rsid w:val="003A4F59"/>
    <w:rsid w:val="003A6825"/>
    <w:rsid w:val="003A78CC"/>
    <w:rsid w:val="003A7AB2"/>
    <w:rsid w:val="003A7C6C"/>
    <w:rsid w:val="003B073E"/>
    <w:rsid w:val="003B1063"/>
    <w:rsid w:val="003B1271"/>
    <w:rsid w:val="003B27F9"/>
    <w:rsid w:val="003B2F96"/>
    <w:rsid w:val="003B4263"/>
    <w:rsid w:val="003B6229"/>
    <w:rsid w:val="003B65F7"/>
    <w:rsid w:val="003B68E2"/>
    <w:rsid w:val="003B7152"/>
    <w:rsid w:val="003B7C5E"/>
    <w:rsid w:val="003C0082"/>
    <w:rsid w:val="003C04D8"/>
    <w:rsid w:val="003C0CF9"/>
    <w:rsid w:val="003C1F3C"/>
    <w:rsid w:val="003C2846"/>
    <w:rsid w:val="003C2C65"/>
    <w:rsid w:val="003C49DD"/>
    <w:rsid w:val="003C6559"/>
    <w:rsid w:val="003C7B77"/>
    <w:rsid w:val="003D1B93"/>
    <w:rsid w:val="003D1EDB"/>
    <w:rsid w:val="003D4360"/>
    <w:rsid w:val="003D64A7"/>
    <w:rsid w:val="003D6690"/>
    <w:rsid w:val="003D6B98"/>
    <w:rsid w:val="003D7398"/>
    <w:rsid w:val="003E123A"/>
    <w:rsid w:val="003E23D0"/>
    <w:rsid w:val="003E23D4"/>
    <w:rsid w:val="003E2EC5"/>
    <w:rsid w:val="003E6081"/>
    <w:rsid w:val="003E7337"/>
    <w:rsid w:val="003E782B"/>
    <w:rsid w:val="003E7891"/>
    <w:rsid w:val="003E7B76"/>
    <w:rsid w:val="003E7D1C"/>
    <w:rsid w:val="003F1915"/>
    <w:rsid w:val="003F1AE1"/>
    <w:rsid w:val="003F1BA4"/>
    <w:rsid w:val="003F2342"/>
    <w:rsid w:val="003F2BF7"/>
    <w:rsid w:val="003F3F65"/>
    <w:rsid w:val="003F4168"/>
    <w:rsid w:val="003F4F7D"/>
    <w:rsid w:val="003F65F0"/>
    <w:rsid w:val="003F72B3"/>
    <w:rsid w:val="003F791C"/>
    <w:rsid w:val="004001F2"/>
    <w:rsid w:val="00400B75"/>
    <w:rsid w:val="004016B6"/>
    <w:rsid w:val="00401748"/>
    <w:rsid w:val="00401D1E"/>
    <w:rsid w:val="00402D73"/>
    <w:rsid w:val="00403D11"/>
    <w:rsid w:val="00404A62"/>
    <w:rsid w:val="004054BA"/>
    <w:rsid w:val="0040598F"/>
    <w:rsid w:val="00405D66"/>
    <w:rsid w:val="00407BEB"/>
    <w:rsid w:val="00407C6E"/>
    <w:rsid w:val="00407F61"/>
    <w:rsid w:val="004108FD"/>
    <w:rsid w:val="00411A12"/>
    <w:rsid w:val="00411D11"/>
    <w:rsid w:val="00412CDA"/>
    <w:rsid w:val="0041335B"/>
    <w:rsid w:val="00413663"/>
    <w:rsid w:val="00413F5F"/>
    <w:rsid w:val="00414015"/>
    <w:rsid w:val="00414B5A"/>
    <w:rsid w:val="00416A1A"/>
    <w:rsid w:val="00416B08"/>
    <w:rsid w:val="00416B1C"/>
    <w:rsid w:val="00416FF7"/>
    <w:rsid w:val="0042024A"/>
    <w:rsid w:val="00421091"/>
    <w:rsid w:val="00421AB4"/>
    <w:rsid w:val="00422E6C"/>
    <w:rsid w:val="0042339E"/>
    <w:rsid w:val="00423D8F"/>
    <w:rsid w:val="00423ECA"/>
    <w:rsid w:val="0042438C"/>
    <w:rsid w:val="00424B86"/>
    <w:rsid w:val="00424CC2"/>
    <w:rsid w:val="00426859"/>
    <w:rsid w:val="0042689C"/>
    <w:rsid w:val="004278A7"/>
    <w:rsid w:val="00427983"/>
    <w:rsid w:val="004279A7"/>
    <w:rsid w:val="0043006A"/>
    <w:rsid w:val="00430184"/>
    <w:rsid w:val="00430877"/>
    <w:rsid w:val="00432665"/>
    <w:rsid w:val="004342EB"/>
    <w:rsid w:val="004347D3"/>
    <w:rsid w:val="00434C31"/>
    <w:rsid w:val="00434CC2"/>
    <w:rsid w:val="00435CEF"/>
    <w:rsid w:val="00437049"/>
    <w:rsid w:val="004377AA"/>
    <w:rsid w:val="00440AAC"/>
    <w:rsid w:val="004417B4"/>
    <w:rsid w:val="00441994"/>
    <w:rsid w:val="00442176"/>
    <w:rsid w:val="0044233C"/>
    <w:rsid w:val="0044255A"/>
    <w:rsid w:val="0044371E"/>
    <w:rsid w:val="00444425"/>
    <w:rsid w:val="00444C5E"/>
    <w:rsid w:val="00444D1B"/>
    <w:rsid w:val="00445BCE"/>
    <w:rsid w:val="00446BA7"/>
    <w:rsid w:val="00446E98"/>
    <w:rsid w:val="00447222"/>
    <w:rsid w:val="004475DD"/>
    <w:rsid w:val="00447A4A"/>
    <w:rsid w:val="00447C21"/>
    <w:rsid w:val="0045028B"/>
    <w:rsid w:val="00450A9F"/>
    <w:rsid w:val="00451282"/>
    <w:rsid w:val="00453089"/>
    <w:rsid w:val="004532C7"/>
    <w:rsid w:val="00453545"/>
    <w:rsid w:val="004538D6"/>
    <w:rsid w:val="00453A14"/>
    <w:rsid w:val="00454367"/>
    <w:rsid w:val="00454F3B"/>
    <w:rsid w:val="00456782"/>
    <w:rsid w:val="00456E86"/>
    <w:rsid w:val="004579C3"/>
    <w:rsid w:val="0046069A"/>
    <w:rsid w:val="00460949"/>
    <w:rsid w:val="004613F4"/>
    <w:rsid w:val="0046371A"/>
    <w:rsid w:val="00463AB8"/>
    <w:rsid w:val="004645E8"/>
    <w:rsid w:val="00464B1E"/>
    <w:rsid w:val="00464DC4"/>
    <w:rsid w:val="00464E65"/>
    <w:rsid w:val="00464EE2"/>
    <w:rsid w:val="00465823"/>
    <w:rsid w:val="004677FD"/>
    <w:rsid w:val="00470763"/>
    <w:rsid w:val="0047098C"/>
    <w:rsid w:val="00470A48"/>
    <w:rsid w:val="00470D2B"/>
    <w:rsid w:val="00470D30"/>
    <w:rsid w:val="00472419"/>
    <w:rsid w:val="00472F4F"/>
    <w:rsid w:val="00473267"/>
    <w:rsid w:val="00473C72"/>
    <w:rsid w:val="0047613D"/>
    <w:rsid w:val="00476EF1"/>
    <w:rsid w:val="00480E4F"/>
    <w:rsid w:val="00482F2A"/>
    <w:rsid w:val="00483303"/>
    <w:rsid w:val="00486763"/>
    <w:rsid w:val="00486ADC"/>
    <w:rsid w:val="0049266B"/>
    <w:rsid w:val="004935DE"/>
    <w:rsid w:val="00496781"/>
    <w:rsid w:val="004A1486"/>
    <w:rsid w:val="004A15FD"/>
    <w:rsid w:val="004A192F"/>
    <w:rsid w:val="004A2853"/>
    <w:rsid w:val="004A31B4"/>
    <w:rsid w:val="004A4774"/>
    <w:rsid w:val="004A5317"/>
    <w:rsid w:val="004A55D1"/>
    <w:rsid w:val="004A73F7"/>
    <w:rsid w:val="004B07F4"/>
    <w:rsid w:val="004B1020"/>
    <w:rsid w:val="004B1080"/>
    <w:rsid w:val="004B172A"/>
    <w:rsid w:val="004B1CB5"/>
    <w:rsid w:val="004B1D92"/>
    <w:rsid w:val="004B2181"/>
    <w:rsid w:val="004B3488"/>
    <w:rsid w:val="004B5387"/>
    <w:rsid w:val="004B5945"/>
    <w:rsid w:val="004B6EE6"/>
    <w:rsid w:val="004C0BE3"/>
    <w:rsid w:val="004C112A"/>
    <w:rsid w:val="004C1B24"/>
    <w:rsid w:val="004C1CFA"/>
    <w:rsid w:val="004C2C5F"/>
    <w:rsid w:val="004C3228"/>
    <w:rsid w:val="004C72A6"/>
    <w:rsid w:val="004C7E0E"/>
    <w:rsid w:val="004C7EB1"/>
    <w:rsid w:val="004D0475"/>
    <w:rsid w:val="004D0A45"/>
    <w:rsid w:val="004D10FA"/>
    <w:rsid w:val="004D1B88"/>
    <w:rsid w:val="004D1BF4"/>
    <w:rsid w:val="004D2996"/>
    <w:rsid w:val="004D3462"/>
    <w:rsid w:val="004D5A34"/>
    <w:rsid w:val="004D636C"/>
    <w:rsid w:val="004D67E5"/>
    <w:rsid w:val="004D7D39"/>
    <w:rsid w:val="004D7F1C"/>
    <w:rsid w:val="004E04E5"/>
    <w:rsid w:val="004E377A"/>
    <w:rsid w:val="004E3B16"/>
    <w:rsid w:val="004E3CFF"/>
    <w:rsid w:val="004E60E0"/>
    <w:rsid w:val="004E71C8"/>
    <w:rsid w:val="004F19D0"/>
    <w:rsid w:val="004F2C76"/>
    <w:rsid w:val="004F3378"/>
    <w:rsid w:val="004F40AE"/>
    <w:rsid w:val="004F4523"/>
    <w:rsid w:val="004F4721"/>
    <w:rsid w:val="004F4B3F"/>
    <w:rsid w:val="004F523D"/>
    <w:rsid w:val="004F5663"/>
    <w:rsid w:val="004F73E5"/>
    <w:rsid w:val="0050014D"/>
    <w:rsid w:val="005015D1"/>
    <w:rsid w:val="00501746"/>
    <w:rsid w:val="005021B6"/>
    <w:rsid w:val="005028DA"/>
    <w:rsid w:val="00503272"/>
    <w:rsid w:val="00503319"/>
    <w:rsid w:val="00503582"/>
    <w:rsid w:val="00504F47"/>
    <w:rsid w:val="005057D7"/>
    <w:rsid w:val="005077B6"/>
    <w:rsid w:val="00507EC1"/>
    <w:rsid w:val="005104B5"/>
    <w:rsid w:val="00510D25"/>
    <w:rsid w:val="005111A1"/>
    <w:rsid w:val="00513A5F"/>
    <w:rsid w:val="0051420D"/>
    <w:rsid w:val="005174B9"/>
    <w:rsid w:val="0052082B"/>
    <w:rsid w:val="005222AE"/>
    <w:rsid w:val="00522911"/>
    <w:rsid w:val="005232D2"/>
    <w:rsid w:val="00524346"/>
    <w:rsid w:val="00526218"/>
    <w:rsid w:val="0052644C"/>
    <w:rsid w:val="0052766B"/>
    <w:rsid w:val="00527B1E"/>
    <w:rsid w:val="005305D1"/>
    <w:rsid w:val="0053135D"/>
    <w:rsid w:val="0053155D"/>
    <w:rsid w:val="005316A8"/>
    <w:rsid w:val="00531807"/>
    <w:rsid w:val="005322E3"/>
    <w:rsid w:val="0053374D"/>
    <w:rsid w:val="0053503B"/>
    <w:rsid w:val="00535326"/>
    <w:rsid w:val="00535600"/>
    <w:rsid w:val="00535886"/>
    <w:rsid w:val="005359F0"/>
    <w:rsid w:val="005361DA"/>
    <w:rsid w:val="005372CE"/>
    <w:rsid w:val="00537CF9"/>
    <w:rsid w:val="00540B61"/>
    <w:rsid w:val="005412A1"/>
    <w:rsid w:val="0054270C"/>
    <w:rsid w:val="00542974"/>
    <w:rsid w:val="00542A84"/>
    <w:rsid w:val="0054583C"/>
    <w:rsid w:val="00545FEF"/>
    <w:rsid w:val="00550959"/>
    <w:rsid w:val="0055192E"/>
    <w:rsid w:val="00551AEC"/>
    <w:rsid w:val="00552AF2"/>
    <w:rsid w:val="00553438"/>
    <w:rsid w:val="00553A93"/>
    <w:rsid w:val="00553B3E"/>
    <w:rsid w:val="00553FBE"/>
    <w:rsid w:val="00554A35"/>
    <w:rsid w:val="00555C66"/>
    <w:rsid w:val="00556188"/>
    <w:rsid w:val="00557925"/>
    <w:rsid w:val="005600AF"/>
    <w:rsid w:val="00560C71"/>
    <w:rsid w:val="00564ECA"/>
    <w:rsid w:val="0056539B"/>
    <w:rsid w:val="005660C3"/>
    <w:rsid w:val="00566C92"/>
    <w:rsid w:val="00567320"/>
    <w:rsid w:val="0057058A"/>
    <w:rsid w:val="00570C21"/>
    <w:rsid w:val="0057134B"/>
    <w:rsid w:val="005719FE"/>
    <w:rsid w:val="00571E82"/>
    <w:rsid w:val="0057298B"/>
    <w:rsid w:val="00575137"/>
    <w:rsid w:val="00580601"/>
    <w:rsid w:val="00580882"/>
    <w:rsid w:val="00581AB7"/>
    <w:rsid w:val="0058203E"/>
    <w:rsid w:val="00582780"/>
    <w:rsid w:val="00582F84"/>
    <w:rsid w:val="00583406"/>
    <w:rsid w:val="00584412"/>
    <w:rsid w:val="005855A4"/>
    <w:rsid w:val="00586EA6"/>
    <w:rsid w:val="005901DF"/>
    <w:rsid w:val="00591385"/>
    <w:rsid w:val="00592AB7"/>
    <w:rsid w:val="00592DA6"/>
    <w:rsid w:val="005939C1"/>
    <w:rsid w:val="00594037"/>
    <w:rsid w:val="005968BC"/>
    <w:rsid w:val="0059787F"/>
    <w:rsid w:val="005A060F"/>
    <w:rsid w:val="005A0C80"/>
    <w:rsid w:val="005A3CB9"/>
    <w:rsid w:val="005A49EE"/>
    <w:rsid w:val="005A62C0"/>
    <w:rsid w:val="005A7021"/>
    <w:rsid w:val="005A730E"/>
    <w:rsid w:val="005A7418"/>
    <w:rsid w:val="005B033B"/>
    <w:rsid w:val="005B0889"/>
    <w:rsid w:val="005B08A7"/>
    <w:rsid w:val="005B2CBE"/>
    <w:rsid w:val="005B3672"/>
    <w:rsid w:val="005B46BB"/>
    <w:rsid w:val="005B52BB"/>
    <w:rsid w:val="005B6EDB"/>
    <w:rsid w:val="005B72E1"/>
    <w:rsid w:val="005B7A33"/>
    <w:rsid w:val="005C0568"/>
    <w:rsid w:val="005C0E2E"/>
    <w:rsid w:val="005C30ED"/>
    <w:rsid w:val="005C35F4"/>
    <w:rsid w:val="005C389E"/>
    <w:rsid w:val="005C38C4"/>
    <w:rsid w:val="005C404A"/>
    <w:rsid w:val="005C4613"/>
    <w:rsid w:val="005C5628"/>
    <w:rsid w:val="005C56B8"/>
    <w:rsid w:val="005C7DF8"/>
    <w:rsid w:val="005D0F52"/>
    <w:rsid w:val="005D1995"/>
    <w:rsid w:val="005D1FC1"/>
    <w:rsid w:val="005D1FFA"/>
    <w:rsid w:val="005D20DC"/>
    <w:rsid w:val="005D2B8D"/>
    <w:rsid w:val="005D368E"/>
    <w:rsid w:val="005D4D06"/>
    <w:rsid w:val="005D7275"/>
    <w:rsid w:val="005D79E8"/>
    <w:rsid w:val="005E05F5"/>
    <w:rsid w:val="005E0D57"/>
    <w:rsid w:val="005E1293"/>
    <w:rsid w:val="005E13EF"/>
    <w:rsid w:val="005E19FC"/>
    <w:rsid w:val="005E1FD5"/>
    <w:rsid w:val="005E2228"/>
    <w:rsid w:val="005E3B41"/>
    <w:rsid w:val="005E3BFE"/>
    <w:rsid w:val="005E41D8"/>
    <w:rsid w:val="005E443A"/>
    <w:rsid w:val="005E4D36"/>
    <w:rsid w:val="005E611D"/>
    <w:rsid w:val="005E678A"/>
    <w:rsid w:val="005E7508"/>
    <w:rsid w:val="005F04BC"/>
    <w:rsid w:val="005F0953"/>
    <w:rsid w:val="005F0B95"/>
    <w:rsid w:val="005F1C1E"/>
    <w:rsid w:val="005F2D3D"/>
    <w:rsid w:val="005F6015"/>
    <w:rsid w:val="005F63CB"/>
    <w:rsid w:val="005F671E"/>
    <w:rsid w:val="005F7065"/>
    <w:rsid w:val="005F7447"/>
    <w:rsid w:val="005F74E5"/>
    <w:rsid w:val="005F7652"/>
    <w:rsid w:val="005F7673"/>
    <w:rsid w:val="005F7B56"/>
    <w:rsid w:val="006003F3"/>
    <w:rsid w:val="0060046B"/>
    <w:rsid w:val="00601604"/>
    <w:rsid w:val="00601A11"/>
    <w:rsid w:val="0060264A"/>
    <w:rsid w:val="006028F4"/>
    <w:rsid w:val="006030C2"/>
    <w:rsid w:val="006041AF"/>
    <w:rsid w:val="006046ED"/>
    <w:rsid w:val="00605C6D"/>
    <w:rsid w:val="00606621"/>
    <w:rsid w:val="00606A4E"/>
    <w:rsid w:val="00607DCB"/>
    <w:rsid w:val="006105D8"/>
    <w:rsid w:val="0061117D"/>
    <w:rsid w:val="00611587"/>
    <w:rsid w:val="006125E6"/>
    <w:rsid w:val="006131AC"/>
    <w:rsid w:val="006137D6"/>
    <w:rsid w:val="00616644"/>
    <w:rsid w:val="00616D44"/>
    <w:rsid w:val="00620DD5"/>
    <w:rsid w:val="006225B6"/>
    <w:rsid w:val="00622FF8"/>
    <w:rsid w:val="00623290"/>
    <w:rsid w:val="006232A0"/>
    <w:rsid w:val="0062349C"/>
    <w:rsid w:val="00623AFF"/>
    <w:rsid w:val="00623B15"/>
    <w:rsid w:val="00623C1E"/>
    <w:rsid w:val="00623E1B"/>
    <w:rsid w:val="00624C00"/>
    <w:rsid w:val="00625202"/>
    <w:rsid w:val="00625546"/>
    <w:rsid w:val="0062762B"/>
    <w:rsid w:val="0063191C"/>
    <w:rsid w:val="00633D22"/>
    <w:rsid w:val="00634B49"/>
    <w:rsid w:val="00634F90"/>
    <w:rsid w:val="006355CC"/>
    <w:rsid w:val="006374FB"/>
    <w:rsid w:val="00637E81"/>
    <w:rsid w:val="0064141B"/>
    <w:rsid w:val="00642233"/>
    <w:rsid w:val="00646859"/>
    <w:rsid w:val="00651FFA"/>
    <w:rsid w:val="006523EC"/>
    <w:rsid w:val="00654EFE"/>
    <w:rsid w:val="00655E8D"/>
    <w:rsid w:val="00655F5D"/>
    <w:rsid w:val="006560D2"/>
    <w:rsid w:val="00656AC8"/>
    <w:rsid w:val="006577BA"/>
    <w:rsid w:val="0066238E"/>
    <w:rsid w:val="00663927"/>
    <w:rsid w:val="00665F85"/>
    <w:rsid w:val="00667623"/>
    <w:rsid w:val="006702EA"/>
    <w:rsid w:val="006707EC"/>
    <w:rsid w:val="0067132C"/>
    <w:rsid w:val="006726BB"/>
    <w:rsid w:val="00672C0D"/>
    <w:rsid w:val="00673731"/>
    <w:rsid w:val="006737E4"/>
    <w:rsid w:val="00673EC8"/>
    <w:rsid w:val="006746B8"/>
    <w:rsid w:val="00675197"/>
    <w:rsid w:val="0067737C"/>
    <w:rsid w:val="0067783C"/>
    <w:rsid w:val="00677C24"/>
    <w:rsid w:val="00677DC2"/>
    <w:rsid w:val="006803BF"/>
    <w:rsid w:val="006824E4"/>
    <w:rsid w:val="00683195"/>
    <w:rsid w:val="00683A5F"/>
    <w:rsid w:val="00684AC9"/>
    <w:rsid w:val="00684B76"/>
    <w:rsid w:val="00687350"/>
    <w:rsid w:val="0068755D"/>
    <w:rsid w:val="00691CE3"/>
    <w:rsid w:val="00692B86"/>
    <w:rsid w:val="00693160"/>
    <w:rsid w:val="006934D8"/>
    <w:rsid w:val="00694D1A"/>
    <w:rsid w:val="00697443"/>
    <w:rsid w:val="00697471"/>
    <w:rsid w:val="006A03EA"/>
    <w:rsid w:val="006A1C12"/>
    <w:rsid w:val="006A1C7C"/>
    <w:rsid w:val="006A1D20"/>
    <w:rsid w:val="006A355F"/>
    <w:rsid w:val="006A37B2"/>
    <w:rsid w:val="006A3E7C"/>
    <w:rsid w:val="006A45E7"/>
    <w:rsid w:val="006A4EC1"/>
    <w:rsid w:val="006A54BE"/>
    <w:rsid w:val="006A55EA"/>
    <w:rsid w:val="006A5A16"/>
    <w:rsid w:val="006A771C"/>
    <w:rsid w:val="006B13B0"/>
    <w:rsid w:val="006B1477"/>
    <w:rsid w:val="006B1E37"/>
    <w:rsid w:val="006B2F62"/>
    <w:rsid w:val="006B3B6B"/>
    <w:rsid w:val="006B3F1A"/>
    <w:rsid w:val="006B4F9D"/>
    <w:rsid w:val="006C1910"/>
    <w:rsid w:val="006C19CB"/>
    <w:rsid w:val="006C1E18"/>
    <w:rsid w:val="006C23F9"/>
    <w:rsid w:val="006C25B2"/>
    <w:rsid w:val="006C323B"/>
    <w:rsid w:val="006C55B5"/>
    <w:rsid w:val="006C5C1F"/>
    <w:rsid w:val="006C64AE"/>
    <w:rsid w:val="006C67F9"/>
    <w:rsid w:val="006C69F5"/>
    <w:rsid w:val="006C6F35"/>
    <w:rsid w:val="006D20B2"/>
    <w:rsid w:val="006D252C"/>
    <w:rsid w:val="006D31D3"/>
    <w:rsid w:val="006D3610"/>
    <w:rsid w:val="006D57BC"/>
    <w:rsid w:val="006D5CC8"/>
    <w:rsid w:val="006D6657"/>
    <w:rsid w:val="006E00C2"/>
    <w:rsid w:val="006E0CE4"/>
    <w:rsid w:val="006E39A0"/>
    <w:rsid w:val="006E52EC"/>
    <w:rsid w:val="006E5A20"/>
    <w:rsid w:val="006E7118"/>
    <w:rsid w:val="006E72DC"/>
    <w:rsid w:val="006E77C0"/>
    <w:rsid w:val="006E7CD1"/>
    <w:rsid w:val="006E7EF6"/>
    <w:rsid w:val="006F0003"/>
    <w:rsid w:val="006F00EE"/>
    <w:rsid w:val="006F0272"/>
    <w:rsid w:val="006F03A1"/>
    <w:rsid w:val="006F0A9F"/>
    <w:rsid w:val="006F0EF5"/>
    <w:rsid w:val="006F179D"/>
    <w:rsid w:val="006F195D"/>
    <w:rsid w:val="006F1E66"/>
    <w:rsid w:val="006F39BA"/>
    <w:rsid w:val="006F4A9E"/>
    <w:rsid w:val="006F5D57"/>
    <w:rsid w:val="006F6BBD"/>
    <w:rsid w:val="006F7E4E"/>
    <w:rsid w:val="00702AD5"/>
    <w:rsid w:val="00703406"/>
    <w:rsid w:val="007036C9"/>
    <w:rsid w:val="00704CC9"/>
    <w:rsid w:val="00705A05"/>
    <w:rsid w:val="00706341"/>
    <w:rsid w:val="00707027"/>
    <w:rsid w:val="00710D07"/>
    <w:rsid w:val="0071102A"/>
    <w:rsid w:val="00712499"/>
    <w:rsid w:val="0071333B"/>
    <w:rsid w:val="00715662"/>
    <w:rsid w:val="007156C3"/>
    <w:rsid w:val="00715D4A"/>
    <w:rsid w:val="00717543"/>
    <w:rsid w:val="0072065E"/>
    <w:rsid w:val="007206A8"/>
    <w:rsid w:val="00720A10"/>
    <w:rsid w:val="007213B1"/>
    <w:rsid w:val="0072244B"/>
    <w:rsid w:val="007224EC"/>
    <w:rsid w:val="007229E9"/>
    <w:rsid w:val="00724354"/>
    <w:rsid w:val="007252ED"/>
    <w:rsid w:val="00726AE5"/>
    <w:rsid w:val="00727C9E"/>
    <w:rsid w:val="00732352"/>
    <w:rsid w:val="0073261F"/>
    <w:rsid w:val="0073395D"/>
    <w:rsid w:val="00735BBE"/>
    <w:rsid w:val="0073688C"/>
    <w:rsid w:val="00737FC6"/>
    <w:rsid w:val="0074037F"/>
    <w:rsid w:val="00740986"/>
    <w:rsid w:val="007414C2"/>
    <w:rsid w:val="00742119"/>
    <w:rsid w:val="00742249"/>
    <w:rsid w:val="007424FF"/>
    <w:rsid w:val="00743551"/>
    <w:rsid w:val="00743935"/>
    <w:rsid w:val="00743B4A"/>
    <w:rsid w:val="00743CFF"/>
    <w:rsid w:val="00745461"/>
    <w:rsid w:val="00745FF4"/>
    <w:rsid w:val="00746987"/>
    <w:rsid w:val="007476F2"/>
    <w:rsid w:val="00747F8F"/>
    <w:rsid w:val="007508D9"/>
    <w:rsid w:val="00752456"/>
    <w:rsid w:val="0075330F"/>
    <w:rsid w:val="00756ECF"/>
    <w:rsid w:val="007571B8"/>
    <w:rsid w:val="007572E0"/>
    <w:rsid w:val="00757B9C"/>
    <w:rsid w:val="007601B3"/>
    <w:rsid w:val="007602AE"/>
    <w:rsid w:val="00760386"/>
    <w:rsid w:val="00760938"/>
    <w:rsid w:val="00761366"/>
    <w:rsid w:val="00761846"/>
    <w:rsid w:val="00762687"/>
    <w:rsid w:val="00762887"/>
    <w:rsid w:val="0076623F"/>
    <w:rsid w:val="00766635"/>
    <w:rsid w:val="00766F57"/>
    <w:rsid w:val="00767F7A"/>
    <w:rsid w:val="007701E3"/>
    <w:rsid w:val="007721A8"/>
    <w:rsid w:val="00772B7B"/>
    <w:rsid w:val="007730FE"/>
    <w:rsid w:val="00773E09"/>
    <w:rsid w:val="00774409"/>
    <w:rsid w:val="00774E0F"/>
    <w:rsid w:val="00774F6E"/>
    <w:rsid w:val="007754C4"/>
    <w:rsid w:val="00775501"/>
    <w:rsid w:val="00775777"/>
    <w:rsid w:val="007768D8"/>
    <w:rsid w:val="00776C6D"/>
    <w:rsid w:val="00776E29"/>
    <w:rsid w:val="00781E03"/>
    <w:rsid w:val="007823AF"/>
    <w:rsid w:val="00785856"/>
    <w:rsid w:val="00785E35"/>
    <w:rsid w:val="0079010F"/>
    <w:rsid w:val="00790453"/>
    <w:rsid w:val="007916C4"/>
    <w:rsid w:val="00791803"/>
    <w:rsid w:val="00791EC7"/>
    <w:rsid w:val="00793BC6"/>
    <w:rsid w:val="00793D38"/>
    <w:rsid w:val="00793E92"/>
    <w:rsid w:val="007949EA"/>
    <w:rsid w:val="00794D1F"/>
    <w:rsid w:val="00794F4B"/>
    <w:rsid w:val="00796319"/>
    <w:rsid w:val="007972D0"/>
    <w:rsid w:val="007A0B57"/>
    <w:rsid w:val="007A2762"/>
    <w:rsid w:val="007A3C07"/>
    <w:rsid w:val="007A3CF1"/>
    <w:rsid w:val="007A4589"/>
    <w:rsid w:val="007A60BE"/>
    <w:rsid w:val="007A6D54"/>
    <w:rsid w:val="007A7415"/>
    <w:rsid w:val="007A7D60"/>
    <w:rsid w:val="007B289D"/>
    <w:rsid w:val="007B289E"/>
    <w:rsid w:val="007B3022"/>
    <w:rsid w:val="007B327E"/>
    <w:rsid w:val="007B3315"/>
    <w:rsid w:val="007B51A8"/>
    <w:rsid w:val="007B6BF2"/>
    <w:rsid w:val="007B742F"/>
    <w:rsid w:val="007C0819"/>
    <w:rsid w:val="007C08A0"/>
    <w:rsid w:val="007C2D1E"/>
    <w:rsid w:val="007C3C00"/>
    <w:rsid w:val="007C49F4"/>
    <w:rsid w:val="007C5A87"/>
    <w:rsid w:val="007C5E3B"/>
    <w:rsid w:val="007C73C4"/>
    <w:rsid w:val="007D131F"/>
    <w:rsid w:val="007D2FD7"/>
    <w:rsid w:val="007D4279"/>
    <w:rsid w:val="007D5608"/>
    <w:rsid w:val="007D5C08"/>
    <w:rsid w:val="007D73B2"/>
    <w:rsid w:val="007E0670"/>
    <w:rsid w:val="007E0976"/>
    <w:rsid w:val="007E0A1C"/>
    <w:rsid w:val="007E17EB"/>
    <w:rsid w:val="007E1FE5"/>
    <w:rsid w:val="007E45D7"/>
    <w:rsid w:val="007E4AAF"/>
    <w:rsid w:val="007E4AC5"/>
    <w:rsid w:val="007E571E"/>
    <w:rsid w:val="007E6583"/>
    <w:rsid w:val="007E6712"/>
    <w:rsid w:val="007E6F86"/>
    <w:rsid w:val="007E7C62"/>
    <w:rsid w:val="007E7EDE"/>
    <w:rsid w:val="007F0430"/>
    <w:rsid w:val="007F0C64"/>
    <w:rsid w:val="007F13D5"/>
    <w:rsid w:val="007F13EE"/>
    <w:rsid w:val="007F1B7D"/>
    <w:rsid w:val="007F1CF1"/>
    <w:rsid w:val="007F3F36"/>
    <w:rsid w:val="007F4137"/>
    <w:rsid w:val="007F5A3D"/>
    <w:rsid w:val="007F7F69"/>
    <w:rsid w:val="00802960"/>
    <w:rsid w:val="0080407D"/>
    <w:rsid w:val="00804B5B"/>
    <w:rsid w:val="00805DDD"/>
    <w:rsid w:val="008062CF"/>
    <w:rsid w:val="00807CC1"/>
    <w:rsid w:val="008109D5"/>
    <w:rsid w:val="00810B36"/>
    <w:rsid w:val="00811374"/>
    <w:rsid w:val="00813663"/>
    <w:rsid w:val="00814833"/>
    <w:rsid w:val="008150B9"/>
    <w:rsid w:val="00815255"/>
    <w:rsid w:val="008162C6"/>
    <w:rsid w:val="00816310"/>
    <w:rsid w:val="00817BA4"/>
    <w:rsid w:val="008223BD"/>
    <w:rsid w:val="00822524"/>
    <w:rsid w:val="008228E4"/>
    <w:rsid w:val="00825AA4"/>
    <w:rsid w:val="008269E0"/>
    <w:rsid w:val="00827512"/>
    <w:rsid w:val="00830D19"/>
    <w:rsid w:val="00830DFB"/>
    <w:rsid w:val="00831003"/>
    <w:rsid w:val="00831CAC"/>
    <w:rsid w:val="0083297B"/>
    <w:rsid w:val="008353DC"/>
    <w:rsid w:val="008363B8"/>
    <w:rsid w:val="008376BD"/>
    <w:rsid w:val="0083780C"/>
    <w:rsid w:val="008419BE"/>
    <w:rsid w:val="008434A3"/>
    <w:rsid w:val="0084372A"/>
    <w:rsid w:val="00843D0F"/>
    <w:rsid w:val="00843D82"/>
    <w:rsid w:val="00843E29"/>
    <w:rsid w:val="00844317"/>
    <w:rsid w:val="008447C6"/>
    <w:rsid w:val="00844D5D"/>
    <w:rsid w:val="00844E3E"/>
    <w:rsid w:val="00845F57"/>
    <w:rsid w:val="00847E19"/>
    <w:rsid w:val="0085199A"/>
    <w:rsid w:val="008519DA"/>
    <w:rsid w:val="008520D6"/>
    <w:rsid w:val="00852123"/>
    <w:rsid w:val="0085395B"/>
    <w:rsid w:val="00853F94"/>
    <w:rsid w:val="00854219"/>
    <w:rsid w:val="008578E0"/>
    <w:rsid w:val="00862F07"/>
    <w:rsid w:val="0086375B"/>
    <w:rsid w:val="00863770"/>
    <w:rsid w:val="008649D2"/>
    <w:rsid w:val="00864BC9"/>
    <w:rsid w:val="00865F32"/>
    <w:rsid w:val="00866962"/>
    <w:rsid w:val="00866D89"/>
    <w:rsid w:val="00867CC2"/>
    <w:rsid w:val="00870ADC"/>
    <w:rsid w:val="00871493"/>
    <w:rsid w:val="008717F2"/>
    <w:rsid w:val="00871813"/>
    <w:rsid w:val="00872534"/>
    <w:rsid w:val="00872B81"/>
    <w:rsid w:val="0087305A"/>
    <w:rsid w:val="00873A41"/>
    <w:rsid w:val="008755C3"/>
    <w:rsid w:val="008766BB"/>
    <w:rsid w:val="008775E6"/>
    <w:rsid w:val="008803A7"/>
    <w:rsid w:val="00881BD2"/>
    <w:rsid w:val="008825F5"/>
    <w:rsid w:val="00882DC2"/>
    <w:rsid w:val="0088323A"/>
    <w:rsid w:val="008838D4"/>
    <w:rsid w:val="0088469A"/>
    <w:rsid w:val="008846BA"/>
    <w:rsid w:val="00884DB0"/>
    <w:rsid w:val="00884DF5"/>
    <w:rsid w:val="00884E64"/>
    <w:rsid w:val="00884F65"/>
    <w:rsid w:val="0088798F"/>
    <w:rsid w:val="008900C3"/>
    <w:rsid w:val="00890EDC"/>
    <w:rsid w:val="00890EEF"/>
    <w:rsid w:val="00891297"/>
    <w:rsid w:val="008930AD"/>
    <w:rsid w:val="008931BD"/>
    <w:rsid w:val="00894194"/>
    <w:rsid w:val="008949B0"/>
    <w:rsid w:val="008949BF"/>
    <w:rsid w:val="00895ADF"/>
    <w:rsid w:val="008A038A"/>
    <w:rsid w:val="008A042F"/>
    <w:rsid w:val="008A0DFE"/>
    <w:rsid w:val="008A109D"/>
    <w:rsid w:val="008A1E12"/>
    <w:rsid w:val="008A2A36"/>
    <w:rsid w:val="008A4676"/>
    <w:rsid w:val="008A4DC1"/>
    <w:rsid w:val="008A6228"/>
    <w:rsid w:val="008A626E"/>
    <w:rsid w:val="008A68C1"/>
    <w:rsid w:val="008A6E5E"/>
    <w:rsid w:val="008B017B"/>
    <w:rsid w:val="008B03AB"/>
    <w:rsid w:val="008B13BB"/>
    <w:rsid w:val="008B1448"/>
    <w:rsid w:val="008B2437"/>
    <w:rsid w:val="008B2837"/>
    <w:rsid w:val="008B2DEB"/>
    <w:rsid w:val="008B3EF5"/>
    <w:rsid w:val="008B4547"/>
    <w:rsid w:val="008B4E05"/>
    <w:rsid w:val="008B5472"/>
    <w:rsid w:val="008C1658"/>
    <w:rsid w:val="008C2117"/>
    <w:rsid w:val="008C2B84"/>
    <w:rsid w:val="008C3103"/>
    <w:rsid w:val="008C3B7A"/>
    <w:rsid w:val="008C42CB"/>
    <w:rsid w:val="008C4526"/>
    <w:rsid w:val="008C5CBD"/>
    <w:rsid w:val="008C6F68"/>
    <w:rsid w:val="008C7F1F"/>
    <w:rsid w:val="008D0453"/>
    <w:rsid w:val="008D077E"/>
    <w:rsid w:val="008D0799"/>
    <w:rsid w:val="008D1686"/>
    <w:rsid w:val="008D1872"/>
    <w:rsid w:val="008D1D8A"/>
    <w:rsid w:val="008D1FAD"/>
    <w:rsid w:val="008D30CB"/>
    <w:rsid w:val="008D30DD"/>
    <w:rsid w:val="008D3801"/>
    <w:rsid w:val="008D5C76"/>
    <w:rsid w:val="008D691F"/>
    <w:rsid w:val="008D6DCE"/>
    <w:rsid w:val="008D6F3F"/>
    <w:rsid w:val="008D730A"/>
    <w:rsid w:val="008D7351"/>
    <w:rsid w:val="008E0E1A"/>
    <w:rsid w:val="008E1E97"/>
    <w:rsid w:val="008E2356"/>
    <w:rsid w:val="008E248D"/>
    <w:rsid w:val="008E43AB"/>
    <w:rsid w:val="008E497A"/>
    <w:rsid w:val="008E53F8"/>
    <w:rsid w:val="008E5D1C"/>
    <w:rsid w:val="008E665D"/>
    <w:rsid w:val="008E7C32"/>
    <w:rsid w:val="008F122B"/>
    <w:rsid w:val="008F1CDB"/>
    <w:rsid w:val="008F2D7F"/>
    <w:rsid w:val="008F3088"/>
    <w:rsid w:val="008F33C3"/>
    <w:rsid w:val="00902BC8"/>
    <w:rsid w:val="00903FDB"/>
    <w:rsid w:val="009048A9"/>
    <w:rsid w:val="00904BA0"/>
    <w:rsid w:val="00904BDF"/>
    <w:rsid w:val="0090540A"/>
    <w:rsid w:val="00906C98"/>
    <w:rsid w:val="009072BC"/>
    <w:rsid w:val="009073D9"/>
    <w:rsid w:val="0090784E"/>
    <w:rsid w:val="009100BD"/>
    <w:rsid w:val="0091180B"/>
    <w:rsid w:val="00914ADB"/>
    <w:rsid w:val="009166AE"/>
    <w:rsid w:val="009170DD"/>
    <w:rsid w:val="0091729F"/>
    <w:rsid w:val="0092045B"/>
    <w:rsid w:val="00920864"/>
    <w:rsid w:val="00920E83"/>
    <w:rsid w:val="00921646"/>
    <w:rsid w:val="0092180E"/>
    <w:rsid w:val="00922DC3"/>
    <w:rsid w:val="009234AA"/>
    <w:rsid w:val="00924C87"/>
    <w:rsid w:val="00925117"/>
    <w:rsid w:val="00925520"/>
    <w:rsid w:val="00925540"/>
    <w:rsid w:val="00926742"/>
    <w:rsid w:val="00930032"/>
    <w:rsid w:val="00931516"/>
    <w:rsid w:val="009319C0"/>
    <w:rsid w:val="00931E58"/>
    <w:rsid w:val="00932107"/>
    <w:rsid w:val="00932691"/>
    <w:rsid w:val="00932B53"/>
    <w:rsid w:val="009335B2"/>
    <w:rsid w:val="0093414A"/>
    <w:rsid w:val="00935DE5"/>
    <w:rsid w:val="00936251"/>
    <w:rsid w:val="009362A1"/>
    <w:rsid w:val="009373A7"/>
    <w:rsid w:val="00941743"/>
    <w:rsid w:val="00941EC6"/>
    <w:rsid w:val="00943CF6"/>
    <w:rsid w:val="00943E1C"/>
    <w:rsid w:val="00945B4B"/>
    <w:rsid w:val="00945E45"/>
    <w:rsid w:val="00945E95"/>
    <w:rsid w:val="00946169"/>
    <w:rsid w:val="009467F2"/>
    <w:rsid w:val="009475B9"/>
    <w:rsid w:val="00947991"/>
    <w:rsid w:val="009509F7"/>
    <w:rsid w:val="009510E4"/>
    <w:rsid w:val="009512FE"/>
    <w:rsid w:val="00951EA1"/>
    <w:rsid w:val="0095251D"/>
    <w:rsid w:val="00955D01"/>
    <w:rsid w:val="00956059"/>
    <w:rsid w:val="00960575"/>
    <w:rsid w:val="00960F27"/>
    <w:rsid w:val="00962443"/>
    <w:rsid w:val="00962CF6"/>
    <w:rsid w:val="00963888"/>
    <w:rsid w:val="00964B22"/>
    <w:rsid w:val="00964FDE"/>
    <w:rsid w:val="00965CE0"/>
    <w:rsid w:val="00965E7C"/>
    <w:rsid w:val="0096602B"/>
    <w:rsid w:val="0096756B"/>
    <w:rsid w:val="00967CDB"/>
    <w:rsid w:val="0097007E"/>
    <w:rsid w:val="00970548"/>
    <w:rsid w:val="00971159"/>
    <w:rsid w:val="00972323"/>
    <w:rsid w:val="0097462B"/>
    <w:rsid w:val="00975567"/>
    <w:rsid w:val="00975DF3"/>
    <w:rsid w:val="009767A9"/>
    <w:rsid w:val="00977EE4"/>
    <w:rsid w:val="00980149"/>
    <w:rsid w:val="00980DE6"/>
    <w:rsid w:val="00981D55"/>
    <w:rsid w:val="009834AD"/>
    <w:rsid w:val="009836D3"/>
    <w:rsid w:val="00983812"/>
    <w:rsid w:val="0098406B"/>
    <w:rsid w:val="009841B3"/>
    <w:rsid w:val="0098473A"/>
    <w:rsid w:val="0098744E"/>
    <w:rsid w:val="00987DB4"/>
    <w:rsid w:val="00992862"/>
    <w:rsid w:val="00993B08"/>
    <w:rsid w:val="009945E4"/>
    <w:rsid w:val="00994780"/>
    <w:rsid w:val="00994DD6"/>
    <w:rsid w:val="009954F7"/>
    <w:rsid w:val="009961B5"/>
    <w:rsid w:val="009A0559"/>
    <w:rsid w:val="009A0749"/>
    <w:rsid w:val="009A089F"/>
    <w:rsid w:val="009A2B6E"/>
    <w:rsid w:val="009A2BBB"/>
    <w:rsid w:val="009A4CD9"/>
    <w:rsid w:val="009A65C8"/>
    <w:rsid w:val="009B0F43"/>
    <w:rsid w:val="009B1F1B"/>
    <w:rsid w:val="009B2A90"/>
    <w:rsid w:val="009B4EEC"/>
    <w:rsid w:val="009B561B"/>
    <w:rsid w:val="009C044D"/>
    <w:rsid w:val="009C0922"/>
    <w:rsid w:val="009C1A30"/>
    <w:rsid w:val="009C2097"/>
    <w:rsid w:val="009C28DA"/>
    <w:rsid w:val="009C47BF"/>
    <w:rsid w:val="009C4D0C"/>
    <w:rsid w:val="009C4D8E"/>
    <w:rsid w:val="009C5312"/>
    <w:rsid w:val="009C583B"/>
    <w:rsid w:val="009C5922"/>
    <w:rsid w:val="009C5A48"/>
    <w:rsid w:val="009C6E3E"/>
    <w:rsid w:val="009D23B7"/>
    <w:rsid w:val="009D6743"/>
    <w:rsid w:val="009D6CCE"/>
    <w:rsid w:val="009D708E"/>
    <w:rsid w:val="009E05FF"/>
    <w:rsid w:val="009E0BCE"/>
    <w:rsid w:val="009E11E3"/>
    <w:rsid w:val="009E148E"/>
    <w:rsid w:val="009E29DF"/>
    <w:rsid w:val="009E2A74"/>
    <w:rsid w:val="009E314A"/>
    <w:rsid w:val="009E346E"/>
    <w:rsid w:val="009E3851"/>
    <w:rsid w:val="009E545F"/>
    <w:rsid w:val="009E63A6"/>
    <w:rsid w:val="009E678D"/>
    <w:rsid w:val="009E7AF0"/>
    <w:rsid w:val="009F0807"/>
    <w:rsid w:val="009F1B17"/>
    <w:rsid w:val="009F1C8D"/>
    <w:rsid w:val="009F38E2"/>
    <w:rsid w:val="009F42D8"/>
    <w:rsid w:val="009F5423"/>
    <w:rsid w:val="009F55FE"/>
    <w:rsid w:val="009F5712"/>
    <w:rsid w:val="009F5C7E"/>
    <w:rsid w:val="009F61C1"/>
    <w:rsid w:val="009F654F"/>
    <w:rsid w:val="00A00A66"/>
    <w:rsid w:val="00A00D15"/>
    <w:rsid w:val="00A0146B"/>
    <w:rsid w:val="00A02356"/>
    <w:rsid w:val="00A046B6"/>
    <w:rsid w:val="00A061C6"/>
    <w:rsid w:val="00A06B60"/>
    <w:rsid w:val="00A07544"/>
    <w:rsid w:val="00A07561"/>
    <w:rsid w:val="00A075C2"/>
    <w:rsid w:val="00A100EE"/>
    <w:rsid w:val="00A1094F"/>
    <w:rsid w:val="00A1190C"/>
    <w:rsid w:val="00A12E5D"/>
    <w:rsid w:val="00A138C4"/>
    <w:rsid w:val="00A14906"/>
    <w:rsid w:val="00A15547"/>
    <w:rsid w:val="00A157D7"/>
    <w:rsid w:val="00A158CF"/>
    <w:rsid w:val="00A16B52"/>
    <w:rsid w:val="00A17806"/>
    <w:rsid w:val="00A21F9E"/>
    <w:rsid w:val="00A233FE"/>
    <w:rsid w:val="00A2598E"/>
    <w:rsid w:val="00A26BE3"/>
    <w:rsid w:val="00A3294E"/>
    <w:rsid w:val="00A35355"/>
    <w:rsid w:val="00A354DF"/>
    <w:rsid w:val="00A3684A"/>
    <w:rsid w:val="00A3729C"/>
    <w:rsid w:val="00A37C04"/>
    <w:rsid w:val="00A4060E"/>
    <w:rsid w:val="00A417A4"/>
    <w:rsid w:val="00A42051"/>
    <w:rsid w:val="00A43144"/>
    <w:rsid w:val="00A44889"/>
    <w:rsid w:val="00A4543D"/>
    <w:rsid w:val="00A45FA1"/>
    <w:rsid w:val="00A50EDD"/>
    <w:rsid w:val="00A5223F"/>
    <w:rsid w:val="00A524CC"/>
    <w:rsid w:val="00A536DA"/>
    <w:rsid w:val="00A53EC8"/>
    <w:rsid w:val="00A54730"/>
    <w:rsid w:val="00A63F07"/>
    <w:rsid w:val="00A65168"/>
    <w:rsid w:val="00A65653"/>
    <w:rsid w:val="00A65D99"/>
    <w:rsid w:val="00A66D4D"/>
    <w:rsid w:val="00A712E4"/>
    <w:rsid w:val="00A71738"/>
    <w:rsid w:val="00A72202"/>
    <w:rsid w:val="00A72C93"/>
    <w:rsid w:val="00A73599"/>
    <w:rsid w:val="00A7507D"/>
    <w:rsid w:val="00A7533A"/>
    <w:rsid w:val="00A756D7"/>
    <w:rsid w:val="00A771ED"/>
    <w:rsid w:val="00A779E5"/>
    <w:rsid w:val="00A81570"/>
    <w:rsid w:val="00A8186F"/>
    <w:rsid w:val="00A82674"/>
    <w:rsid w:val="00A826EF"/>
    <w:rsid w:val="00A82877"/>
    <w:rsid w:val="00A83AB3"/>
    <w:rsid w:val="00A8405D"/>
    <w:rsid w:val="00A86EF9"/>
    <w:rsid w:val="00A873A3"/>
    <w:rsid w:val="00A90FC1"/>
    <w:rsid w:val="00A92154"/>
    <w:rsid w:val="00A9243F"/>
    <w:rsid w:val="00A9369E"/>
    <w:rsid w:val="00A94AC6"/>
    <w:rsid w:val="00A96C09"/>
    <w:rsid w:val="00A978A9"/>
    <w:rsid w:val="00A97A3B"/>
    <w:rsid w:val="00A97E86"/>
    <w:rsid w:val="00AA1B38"/>
    <w:rsid w:val="00AA38AB"/>
    <w:rsid w:val="00AA47FB"/>
    <w:rsid w:val="00AA4829"/>
    <w:rsid w:val="00AA509D"/>
    <w:rsid w:val="00AA56C5"/>
    <w:rsid w:val="00AA7097"/>
    <w:rsid w:val="00AA7242"/>
    <w:rsid w:val="00AB012A"/>
    <w:rsid w:val="00AB03B3"/>
    <w:rsid w:val="00AB0472"/>
    <w:rsid w:val="00AB0AC1"/>
    <w:rsid w:val="00AB0C17"/>
    <w:rsid w:val="00AB22FA"/>
    <w:rsid w:val="00AB23CE"/>
    <w:rsid w:val="00AB4597"/>
    <w:rsid w:val="00AB5496"/>
    <w:rsid w:val="00AB56A1"/>
    <w:rsid w:val="00AB6B9A"/>
    <w:rsid w:val="00AB79D3"/>
    <w:rsid w:val="00AC12B3"/>
    <w:rsid w:val="00AC16C7"/>
    <w:rsid w:val="00AC17A0"/>
    <w:rsid w:val="00AC1F3B"/>
    <w:rsid w:val="00AC3386"/>
    <w:rsid w:val="00AC3B44"/>
    <w:rsid w:val="00AC4D2D"/>
    <w:rsid w:val="00AC5B9B"/>
    <w:rsid w:val="00AC71E3"/>
    <w:rsid w:val="00AC7217"/>
    <w:rsid w:val="00AD0D40"/>
    <w:rsid w:val="00AD3593"/>
    <w:rsid w:val="00AD366D"/>
    <w:rsid w:val="00AD4453"/>
    <w:rsid w:val="00AD4915"/>
    <w:rsid w:val="00AD51F5"/>
    <w:rsid w:val="00AD5A4B"/>
    <w:rsid w:val="00AD5E2B"/>
    <w:rsid w:val="00AD6393"/>
    <w:rsid w:val="00AD6B23"/>
    <w:rsid w:val="00AD7557"/>
    <w:rsid w:val="00AD7DAA"/>
    <w:rsid w:val="00AE123B"/>
    <w:rsid w:val="00AE1DA7"/>
    <w:rsid w:val="00AE1E77"/>
    <w:rsid w:val="00AE269C"/>
    <w:rsid w:val="00AE29CF"/>
    <w:rsid w:val="00AE2E20"/>
    <w:rsid w:val="00AE4BEB"/>
    <w:rsid w:val="00AE5A07"/>
    <w:rsid w:val="00AE7583"/>
    <w:rsid w:val="00AF0E0B"/>
    <w:rsid w:val="00AF10EC"/>
    <w:rsid w:val="00AF2DA0"/>
    <w:rsid w:val="00AF2F54"/>
    <w:rsid w:val="00AF352A"/>
    <w:rsid w:val="00AF355A"/>
    <w:rsid w:val="00AF3889"/>
    <w:rsid w:val="00AF4FAB"/>
    <w:rsid w:val="00AF53CD"/>
    <w:rsid w:val="00AF5D38"/>
    <w:rsid w:val="00AF6012"/>
    <w:rsid w:val="00AF6021"/>
    <w:rsid w:val="00AF6F47"/>
    <w:rsid w:val="00AF76C2"/>
    <w:rsid w:val="00AF76D5"/>
    <w:rsid w:val="00AF79CF"/>
    <w:rsid w:val="00AF7B7C"/>
    <w:rsid w:val="00B012B9"/>
    <w:rsid w:val="00B013FA"/>
    <w:rsid w:val="00B01CC8"/>
    <w:rsid w:val="00B022F4"/>
    <w:rsid w:val="00B02701"/>
    <w:rsid w:val="00B03F70"/>
    <w:rsid w:val="00B0489E"/>
    <w:rsid w:val="00B04EE4"/>
    <w:rsid w:val="00B052A2"/>
    <w:rsid w:val="00B056F4"/>
    <w:rsid w:val="00B05AAA"/>
    <w:rsid w:val="00B05F8B"/>
    <w:rsid w:val="00B060CC"/>
    <w:rsid w:val="00B072ED"/>
    <w:rsid w:val="00B07B39"/>
    <w:rsid w:val="00B1154B"/>
    <w:rsid w:val="00B119A8"/>
    <w:rsid w:val="00B11D81"/>
    <w:rsid w:val="00B11E59"/>
    <w:rsid w:val="00B13C49"/>
    <w:rsid w:val="00B143AE"/>
    <w:rsid w:val="00B150BB"/>
    <w:rsid w:val="00B150E4"/>
    <w:rsid w:val="00B15413"/>
    <w:rsid w:val="00B16542"/>
    <w:rsid w:val="00B17D2E"/>
    <w:rsid w:val="00B2023E"/>
    <w:rsid w:val="00B204C3"/>
    <w:rsid w:val="00B20CD1"/>
    <w:rsid w:val="00B21043"/>
    <w:rsid w:val="00B21058"/>
    <w:rsid w:val="00B22B15"/>
    <w:rsid w:val="00B22D2F"/>
    <w:rsid w:val="00B22FBE"/>
    <w:rsid w:val="00B23D29"/>
    <w:rsid w:val="00B25405"/>
    <w:rsid w:val="00B25B82"/>
    <w:rsid w:val="00B2652A"/>
    <w:rsid w:val="00B266B0"/>
    <w:rsid w:val="00B275CE"/>
    <w:rsid w:val="00B27C9E"/>
    <w:rsid w:val="00B30457"/>
    <w:rsid w:val="00B32A75"/>
    <w:rsid w:val="00B33240"/>
    <w:rsid w:val="00B337D9"/>
    <w:rsid w:val="00B34214"/>
    <w:rsid w:val="00B34769"/>
    <w:rsid w:val="00B350F2"/>
    <w:rsid w:val="00B353EE"/>
    <w:rsid w:val="00B35F69"/>
    <w:rsid w:val="00B36143"/>
    <w:rsid w:val="00B362BF"/>
    <w:rsid w:val="00B365FE"/>
    <w:rsid w:val="00B36E1D"/>
    <w:rsid w:val="00B4026B"/>
    <w:rsid w:val="00B41652"/>
    <w:rsid w:val="00B416F6"/>
    <w:rsid w:val="00B41837"/>
    <w:rsid w:val="00B41AC8"/>
    <w:rsid w:val="00B4236A"/>
    <w:rsid w:val="00B4263D"/>
    <w:rsid w:val="00B42E67"/>
    <w:rsid w:val="00B4339B"/>
    <w:rsid w:val="00B436CF"/>
    <w:rsid w:val="00B43B48"/>
    <w:rsid w:val="00B440FA"/>
    <w:rsid w:val="00B448A9"/>
    <w:rsid w:val="00B44B0C"/>
    <w:rsid w:val="00B44D34"/>
    <w:rsid w:val="00B44EFF"/>
    <w:rsid w:val="00B44F3B"/>
    <w:rsid w:val="00B4528E"/>
    <w:rsid w:val="00B462E5"/>
    <w:rsid w:val="00B4714C"/>
    <w:rsid w:val="00B474B5"/>
    <w:rsid w:val="00B478B0"/>
    <w:rsid w:val="00B50EC8"/>
    <w:rsid w:val="00B51275"/>
    <w:rsid w:val="00B51FFF"/>
    <w:rsid w:val="00B52C97"/>
    <w:rsid w:val="00B53EF6"/>
    <w:rsid w:val="00B542C7"/>
    <w:rsid w:val="00B557B5"/>
    <w:rsid w:val="00B56538"/>
    <w:rsid w:val="00B57015"/>
    <w:rsid w:val="00B57367"/>
    <w:rsid w:val="00B60787"/>
    <w:rsid w:val="00B64250"/>
    <w:rsid w:val="00B64860"/>
    <w:rsid w:val="00B64A22"/>
    <w:rsid w:val="00B65321"/>
    <w:rsid w:val="00B65845"/>
    <w:rsid w:val="00B6595F"/>
    <w:rsid w:val="00B65ECD"/>
    <w:rsid w:val="00B66383"/>
    <w:rsid w:val="00B67902"/>
    <w:rsid w:val="00B67C7D"/>
    <w:rsid w:val="00B736EB"/>
    <w:rsid w:val="00B7390F"/>
    <w:rsid w:val="00B7569F"/>
    <w:rsid w:val="00B7626D"/>
    <w:rsid w:val="00B8016B"/>
    <w:rsid w:val="00B80836"/>
    <w:rsid w:val="00B82D1E"/>
    <w:rsid w:val="00B837E7"/>
    <w:rsid w:val="00B83BAD"/>
    <w:rsid w:val="00B848E1"/>
    <w:rsid w:val="00B84D1D"/>
    <w:rsid w:val="00B860A6"/>
    <w:rsid w:val="00B8642E"/>
    <w:rsid w:val="00B909A5"/>
    <w:rsid w:val="00B913C4"/>
    <w:rsid w:val="00B93154"/>
    <w:rsid w:val="00B94002"/>
    <w:rsid w:val="00B95104"/>
    <w:rsid w:val="00B95FF5"/>
    <w:rsid w:val="00B963F7"/>
    <w:rsid w:val="00B96573"/>
    <w:rsid w:val="00B967C6"/>
    <w:rsid w:val="00B96BE4"/>
    <w:rsid w:val="00B96C6B"/>
    <w:rsid w:val="00B977BF"/>
    <w:rsid w:val="00B97D04"/>
    <w:rsid w:val="00BA01A7"/>
    <w:rsid w:val="00BA06A6"/>
    <w:rsid w:val="00BA0E41"/>
    <w:rsid w:val="00BA16C6"/>
    <w:rsid w:val="00BA1D8B"/>
    <w:rsid w:val="00BA25B5"/>
    <w:rsid w:val="00BA423D"/>
    <w:rsid w:val="00BA4C57"/>
    <w:rsid w:val="00BA4EB4"/>
    <w:rsid w:val="00BA4EBB"/>
    <w:rsid w:val="00BA51A4"/>
    <w:rsid w:val="00BA5248"/>
    <w:rsid w:val="00BA5397"/>
    <w:rsid w:val="00BA5DB0"/>
    <w:rsid w:val="00BA601B"/>
    <w:rsid w:val="00BA6369"/>
    <w:rsid w:val="00BA768A"/>
    <w:rsid w:val="00BB01CF"/>
    <w:rsid w:val="00BB0DB3"/>
    <w:rsid w:val="00BB2254"/>
    <w:rsid w:val="00BB24A2"/>
    <w:rsid w:val="00BB6102"/>
    <w:rsid w:val="00BB791E"/>
    <w:rsid w:val="00BC0FE6"/>
    <w:rsid w:val="00BC14AF"/>
    <w:rsid w:val="00BC374B"/>
    <w:rsid w:val="00BC5AC9"/>
    <w:rsid w:val="00BC63D9"/>
    <w:rsid w:val="00BD08DF"/>
    <w:rsid w:val="00BD157A"/>
    <w:rsid w:val="00BD2D20"/>
    <w:rsid w:val="00BD3DAC"/>
    <w:rsid w:val="00BD4235"/>
    <w:rsid w:val="00BD5CD5"/>
    <w:rsid w:val="00BD62E6"/>
    <w:rsid w:val="00BD7049"/>
    <w:rsid w:val="00BE04E3"/>
    <w:rsid w:val="00BE0A56"/>
    <w:rsid w:val="00BE0FD7"/>
    <w:rsid w:val="00BE19D8"/>
    <w:rsid w:val="00BE19DF"/>
    <w:rsid w:val="00BE28F6"/>
    <w:rsid w:val="00BE2A0D"/>
    <w:rsid w:val="00BE380C"/>
    <w:rsid w:val="00BE5174"/>
    <w:rsid w:val="00BE5920"/>
    <w:rsid w:val="00BE6B57"/>
    <w:rsid w:val="00BE7DD8"/>
    <w:rsid w:val="00BF1AD3"/>
    <w:rsid w:val="00BF2AB9"/>
    <w:rsid w:val="00BF2C79"/>
    <w:rsid w:val="00BF4B69"/>
    <w:rsid w:val="00BF5408"/>
    <w:rsid w:val="00BF5BEF"/>
    <w:rsid w:val="00BF5F05"/>
    <w:rsid w:val="00BF6BDB"/>
    <w:rsid w:val="00BF722B"/>
    <w:rsid w:val="00BF7528"/>
    <w:rsid w:val="00BF7731"/>
    <w:rsid w:val="00C01133"/>
    <w:rsid w:val="00C02685"/>
    <w:rsid w:val="00C029FB"/>
    <w:rsid w:val="00C06175"/>
    <w:rsid w:val="00C06545"/>
    <w:rsid w:val="00C0686A"/>
    <w:rsid w:val="00C06D8A"/>
    <w:rsid w:val="00C073A6"/>
    <w:rsid w:val="00C07F95"/>
    <w:rsid w:val="00C1000D"/>
    <w:rsid w:val="00C107F7"/>
    <w:rsid w:val="00C10926"/>
    <w:rsid w:val="00C118AA"/>
    <w:rsid w:val="00C13FD9"/>
    <w:rsid w:val="00C1403F"/>
    <w:rsid w:val="00C162E5"/>
    <w:rsid w:val="00C16904"/>
    <w:rsid w:val="00C16FB4"/>
    <w:rsid w:val="00C17236"/>
    <w:rsid w:val="00C17911"/>
    <w:rsid w:val="00C17E56"/>
    <w:rsid w:val="00C21709"/>
    <w:rsid w:val="00C240F2"/>
    <w:rsid w:val="00C244D9"/>
    <w:rsid w:val="00C26047"/>
    <w:rsid w:val="00C2621F"/>
    <w:rsid w:val="00C26AA3"/>
    <w:rsid w:val="00C27274"/>
    <w:rsid w:val="00C27787"/>
    <w:rsid w:val="00C30B79"/>
    <w:rsid w:val="00C31B4D"/>
    <w:rsid w:val="00C32C5C"/>
    <w:rsid w:val="00C33963"/>
    <w:rsid w:val="00C33F6E"/>
    <w:rsid w:val="00C349BC"/>
    <w:rsid w:val="00C34FE6"/>
    <w:rsid w:val="00C35076"/>
    <w:rsid w:val="00C355AD"/>
    <w:rsid w:val="00C36822"/>
    <w:rsid w:val="00C36CFF"/>
    <w:rsid w:val="00C3774C"/>
    <w:rsid w:val="00C41EB6"/>
    <w:rsid w:val="00C439C8"/>
    <w:rsid w:val="00C4404F"/>
    <w:rsid w:val="00C44A57"/>
    <w:rsid w:val="00C46AB3"/>
    <w:rsid w:val="00C5140E"/>
    <w:rsid w:val="00C51AE5"/>
    <w:rsid w:val="00C529D3"/>
    <w:rsid w:val="00C5321C"/>
    <w:rsid w:val="00C53A3C"/>
    <w:rsid w:val="00C541BD"/>
    <w:rsid w:val="00C54D30"/>
    <w:rsid w:val="00C556A7"/>
    <w:rsid w:val="00C568E5"/>
    <w:rsid w:val="00C569E0"/>
    <w:rsid w:val="00C56C26"/>
    <w:rsid w:val="00C56FBF"/>
    <w:rsid w:val="00C5775A"/>
    <w:rsid w:val="00C57B41"/>
    <w:rsid w:val="00C60606"/>
    <w:rsid w:val="00C60C0C"/>
    <w:rsid w:val="00C6134A"/>
    <w:rsid w:val="00C619E9"/>
    <w:rsid w:val="00C62016"/>
    <w:rsid w:val="00C62E04"/>
    <w:rsid w:val="00C644C3"/>
    <w:rsid w:val="00C64B49"/>
    <w:rsid w:val="00C6536A"/>
    <w:rsid w:val="00C65C14"/>
    <w:rsid w:val="00C67B40"/>
    <w:rsid w:val="00C71280"/>
    <w:rsid w:val="00C71571"/>
    <w:rsid w:val="00C73561"/>
    <w:rsid w:val="00C750D8"/>
    <w:rsid w:val="00C7590A"/>
    <w:rsid w:val="00C75C62"/>
    <w:rsid w:val="00C76558"/>
    <w:rsid w:val="00C77067"/>
    <w:rsid w:val="00C802A4"/>
    <w:rsid w:val="00C80CB2"/>
    <w:rsid w:val="00C812CB"/>
    <w:rsid w:val="00C8159F"/>
    <w:rsid w:val="00C81AA5"/>
    <w:rsid w:val="00C8270F"/>
    <w:rsid w:val="00C83D01"/>
    <w:rsid w:val="00C8491F"/>
    <w:rsid w:val="00C85E05"/>
    <w:rsid w:val="00C9022B"/>
    <w:rsid w:val="00C902AF"/>
    <w:rsid w:val="00C90D02"/>
    <w:rsid w:val="00C92F3E"/>
    <w:rsid w:val="00C94CB2"/>
    <w:rsid w:val="00C9698A"/>
    <w:rsid w:val="00C977FE"/>
    <w:rsid w:val="00C979F8"/>
    <w:rsid w:val="00CA2830"/>
    <w:rsid w:val="00CA302F"/>
    <w:rsid w:val="00CA31F5"/>
    <w:rsid w:val="00CA327E"/>
    <w:rsid w:val="00CA426E"/>
    <w:rsid w:val="00CA4670"/>
    <w:rsid w:val="00CA694C"/>
    <w:rsid w:val="00CA6D8C"/>
    <w:rsid w:val="00CB01CC"/>
    <w:rsid w:val="00CB058C"/>
    <w:rsid w:val="00CB0D1B"/>
    <w:rsid w:val="00CB14F6"/>
    <w:rsid w:val="00CB2219"/>
    <w:rsid w:val="00CB2E82"/>
    <w:rsid w:val="00CB2E8F"/>
    <w:rsid w:val="00CB3032"/>
    <w:rsid w:val="00CB5ECA"/>
    <w:rsid w:val="00CB67C1"/>
    <w:rsid w:val="00CB6A66"/>
    <w:rsid w:val="00CB759D"/>
    <w:rsid w:val="00CB7CAE"/>
    <w:rsid w:val="00CC0B7F"/>
    <w:rsid w:val="00CC1085"/>
    <w:rsid w:val="00CC110B"/>
    <w:rsid w:val="00CC14B2"/>
    <w:rsid w:val="00CC1B3A"/>
    <w:rsid w:val="00CC1FC5"/>
    <w:rsid w:val="00CC2095"/>
    <w:rsid w:val="00CC279D"/>
    <w:rsid w:val="00CC4523"/>
    <w:rsid w:val="00CC6BE8"/>
    <w:rsid w:val="00CD0ADC"/>
    <w:rsid w:val="00CD15C2"/>
    <w:rsid w:val="00CD2044"/>
    <w:rsid w:val="00CD208A"/>
    <w:rsid w:val="00CD2E20"/>
    <w:rsid w:val="00CD3A77"/>
    <w:rsid w:val="00CD3F7E"/>
    <w:rsid w:val="00CD45C5"/>
    <w:rsid w:val="00CD48EA"/>
    <w:rsid w:val="00CD52C0"/>
    <w:rsid w:val="00CD54D6"/>
    <w:rsid w:val="00CD553C"/>
    <w:rsid w:val="00CD596C"/>
    <w:rsid w:val="00CD5EC2"/>
    <w:rsid w:val="00CD73D2"/>
    <w:rsid w:val="00CD7ADD"/>
    <w:rsid w:val="00CE20CC"/>
    <w:rsid w:val="00CE2384"/>
    <w:rsid w:val="00CE2A1E"/>
    <w:rsid w:val="00CE306E"/>
    <w:rsid w:val="00CE376C"/>
    <w:rsid w:val="00CE3EE4"/>
    <w:rsid w:val="00CE4664"/>
    <w:rsid w:val="00CE4E87"/>
    <w:rsid w:val="00CE531B"/>
    <w:rsid w:val="00CE6519"/>
    <w:rsid w:val="00CE7802"/>
    <w:rsid w:val="00CE7EFB"/>
    <w:rsid w:val="00CF1DE2"/>
    <w:rsid w:val="00CF34F9"/>
    <w:rsid w:val="00CF5C1A"/>
    <w:rsid w:val="00CF6B47"/>
    <w:rsid w:val="00CF76B3"/>
    <w:rsid w:val="00D00494"/>
    <w:rsid w:val="00D02467"/>
    <w:rsid w:val="00D02771"/>
    <w:rsid w:val="00D035F9"/>
    <w:rsid w:val="00D03C81"/>
    <w:rsid w:val="00D04A37"/>
    <w:rsid w:val="00D05633"/>
    <w:rsid w:val="00D05F22"/>
    <w:rsid w:val="00D06D1D"/>
    <w:rsid w:val="00D102BD"/>
    <w:rsid w:val="00D10856"/>
    <w:rsid w:val="00D1287E"/>
    <w:rsid w:val="00D12DA7"/>
    <w:rsid w:val="00D12E56"/>
    <w:rsid w:val="00D13DD9"/>
    <w:rsid w:val="00D14C80"/>
    <w:rsid w:val="00D1538B"/>
    <w:rsid w:val="00D1592C"/>
    <w:rsid w:val="00D15B47"/>
    <w:rsid w:val="00D15BB0"/>
    <w:rsid w:val="00D1637B"/>
    <w:rsid w:val="00D169FB"/>
    <w:rsid w:val="00D16BB8"/>
    <w:rsid w:val="00D170DD"/>
    <w:rsid w:val="00D1781A"/>
    <w:rsid w:val="00D21516"/>
    <w:rsid w:val="00D22121"/>
    <w:rsid w:val="00D22143"/>
    <w:rsid w:val="00D24B64"/>
    <w:rsid w:val="00D27B2F"/>
    <w:rsid w:val="00D27C10"/>
    <w:rsid w:val="00D307F6"/>
    <w:rsid w:val="00D31AAB"/>
    <w:rsid w:val="00D31BDA"/>
    <w:rsid w:val="00D31C04"/>
    <w:rsid w:val="00D33C7B"/>
    <w:rsid w:val="00D36279"/>
    <w:rsid w:val="00D37086"/>
    <w:rsid w:val="00D378F2"/>
    <w:rsid w:val="00D37BA6"/>
    <w:rsid w:val="00D40832"/>
    <w:rsid w:val="00D409E1"/>
    <w:rsid w:val="00D415C0"/>
    <w:rsid w:val="00D419F7"/>
    <w:rsid w:val="00D43B53"/>
    <w:rsid w:val="00D445AA"/>
    <w:rsid w:val="00D44F5D"/>
    <w:rsid w:val="00D44FAE"/>
    <w:rsid w:val="00D46137"/>
    <w:rsid w:val="00D46454"/>
    <w:rsid w:val="00D469F2"/>
    <w:rsid w:val="00D46DE0"/>
    <w:rsid w:val="00D47BB4"/>
    <w:rsid w:val="00D50394"/>
    <w:rsid w:val="00D51012"/>
    <w:rsid w:val="00D518AF"/>
    <w:rsid w:val="00D51B61"/>
    <w:rsid w:val="00D51F91"/>
    <w:rsid w:val="00D53404"/>
    <w:rsid w:val="00D53839"/>
    <w:rsid w:val="00D54720"/>
    <w:rsid w:val="00D54D3A"/>
    <w:rsid w:val="00D5545B"/>
    <w:rsid w:val="00D57A98"/>
    <w:rsid w:val="00D57B9F"/>
    <w:rsid w:val="00D600EF"/>
    <w:rsid w:val="00D60C95"/>
    <w:rsid w:val="00D60CEC"/>
    <w:rsid w:val="00D62545"/>
    <w:rsid w:val="00D632BF"/>
    <w:rsid w:val="00D641B5"/>
    <w:rsid w:val="00D661EF"/>
    <w:rsid w:val="00D66611"/>
    <w:rsid w:val="00D66837"/>
    <w:rsid w:val="00D6725D"/>
    <w:rsid w:val="00D6732F"/>
    <w:rsid w:val="00D70F78"/>
    <w:rsid w:val="00D71B86"/>
    <w:rsid w:val="00D71DDE"/>
    <w:rsid w:val="00D72041"/>
    <w:rsid w:val="00D730FB"/>
    <w:rsid w:val="00D73240"/>
    <w:rsid w:val="00D733D9"/>
    <w:rsid w:val="00D73994"/>
    <w:rsid w:val="00D75352"/>
    <w:rsid w:val="00D75589"/>
    <w:rsid w:val="00D760E5"/>
    <w:rsid w:val="00D766D0"/>
    <w:rsid w:val="00D7751F"/>
    <w:rsid w:val="00D77AFD"/>
    <w:rsid w:val="00D77D08"/>
    <w:rsid w:val="00D807E8"/>
    <w:rsid w:val="00D81F87"/>
    <w:rsid w:val="00D82604"/>
    <w:rsid w:val="00D83BBF"/>
    <w:rsid w:val="00D847C9"/>
    <w:rsid w:val="00D857A3"/>
    <w:rsid w:val="00D85DC1"/>
    <w:rsid w:val="00D86AB9"/>
    <w:rsid w:val="00D90D82"/>
    <w:rsid w:val="00D9130D"/>
    <w:rsid w:val="00D91697"/>
    <w:rsid w:val="00D92257"/>
    <w:rsid w:val="00D9384A"/>
    <w:rsid w:val="00D95A2B"/>
    <w:rsid w:val="00D95A5F"/>
    <w:rsid w:val="00D95ADE"/>
    <w:rsid w:val="00D968E3"/>
    <w:rsid w:val="00DA1BA5"/>
    <w:rsid w:val="00DA2AAC"/>
    <w:rsid w:val="00DA3E4D"/>
    <w:rsid w:val="00DA5F68"/>
    <w:rsid w:val="00DA5F97"/>
    <w:rsid w:val="00DA7FCE"/>
    <w:rsid w:val="00DB0023"/>
    <w:rsid w:val="00DB0466"/>
    <w:rsid w:val="00DB058D"/>
    <w:rsid w:val="00DB05BA"/>
    <w:rsid w:val="00DB2AA1"/>
    <w:rsid w:val="00DB32A0"/>
    <w:rsid w:val="00DB47A3"/>
    <w:rsid w:val="00DB4C77"/>
    <w:rsid w:val="00DC017A"/>
    <w:rsid w:val="00DC17B4"/>
    <w:rsid w:val="00DC197A"/>
    <w:rsid w:val="00DC2D95"/>
    <w:rsid w:val="00DC30F4"/>
    <w:rsid w:val="00DC401B"/>
    <w:rsid w:val="00DC5788"/>
    <w:rsid w:val="00DC5888"/>
    <w:rsid w:val="00DC5A82"/>
    <w:rsid w:val="00DC691D"/>
    <w:rsid w:val="00DC6EEA"/>
    <w:rsid w:val="00DC78F6"/>
    <w:rsid w:val="00DC7A6E"/>
    <w:rsid w:val="00DC7B2C"/>
    <w:rsid w:val="00DD0F6A"/>
    <w:rsid w:val="00DD17C8"/>
    <w:rsid w:val="00DD1D4B"/>
    <w:rsid w:val="00DD2D99"/>
    <w:rsid w:val="00DD2F21"/>
    <w:rsid w:val="00DD3E87"/>
    <w:rsid w:val="00DD5E6E"/>
    <w:rsid w:val="00DD6677"/>
    <w:rsid w:val="00DD6750"/>
    <w:rsid w:val="00DD7FF1"/>
    <w:rsid w:val="00DE0899"/>
    <w:rsid w:val="00DE0DA6"/>
    <w:rsid w:val="00DE2BD6"/>
    <w:rsid w:val="00DE315C"/>
    <w:rsid w:val="00DE3EA3"/>
    <w:rsid w:val="00DE4FFD"/>
    <w:rsid w:val="00DE5158"/>
    <w:rsid w:val="00DE615C"/>
    <w:rsid w:val="00DE664C"/>
    <w:rsid w:val="00DE75A2"/>
    <w:rsid w:val="00DE76E0"/>
    <w:rsid w:val="00DE7779"/>
    <w:rsid w:val="00DE7D12"/>
    <w:rsid w:val="00DF2291"/>
    <w:rsid w:val="00DF2D46"/>
    <w:rsid w:val="00DF3090"/>
    <w:rsid w:val="00DF3F71"/>
    <w:rsid w:val="00DF4791"/>
    <w:rsid w:val="00DF6B9E"/>
    <w:rsid w:val="00DF6E73"/>
    <w:rsid w:val="00DF7BE3"/>
    <w:rsid w:val="00E00341"/>
    <w:rsid w:val="00E00C23"/>
    <w:rsid w:val="00E01F79"/>
    <w:rsid w:val="00E023D0"/>
    <w:rsid w:val="00E06B2F"/>
    <w:rsid w:val="00E06B7E"/>
    <w:rsid w:val="00E10C56"/>
    <w:rsid w:val="00E12109"/>
    <w:rsid w:val="00E1267D"/>
    <w:rsid w:val="00E13551"/>
    <w:rsid w:val="00E164E5"/>
    <w:rsid w:val="00E218C0"/>
    <w:rsid w:val="00E22701"/>
    <w:rsid w:val="00E2291F"/>
    <w:rsid w:val="00E232E5"/>
    <w:rsid w:val="00E237A2"/>
    <w:rsid w:val="00E23888"/>
    <w:rsid w:val="00E245C4"/>
    <w:rsid w:val="00E24CE6"/>
    <w:rsid w:val="00E2551E"/>
    <w:rsid w:val="00E26057"/>
    <w:rsid w:val="00E26F18"/>
    <w:rsid w:val="00E2737B"/>
    <w:rsid w:val="00E2792C"/>
    <w:rsid w:val="00E27D05"/>
    <w:rsid w:val="00E30CD7"/>
    <w:rsid w:val="00E30EC0"/>
    <w:rsid w:val="00E31533"/>
    <w:rsid w:val="00E315F4"/>
    <w:rsid w:val="00E316D4"/>
    <w:rsid w:val="00E32899"/>
    <w:rsid w:val="00E33AD4"/>
    <w:rsid w:val="00E35C9F"/>
    <w:rsid w:val="00E36DBF"/>
    <w:rsid w:val="00E3757A"/>
    <w:rsid w:val="00E375DE"/>
    <w:rsid w:val="00E377CC"/>
    <w:rsid w:val="00E40CAC"/>
    <w:rsid w:val="00E4290E"/>
    <w:rsid w:val="00E42DCC"/>
    <w:rsid w:val="00E433DC"/>
    <w:rsid w:val="00E444BF"/>
    <w:rsid w:val="00E44916"/>
    <w:rsid w:val="00E44C85"/>
    <w:rsid w:val="00E46DB3"/>
    <w:rsid w:val="00E514A4"/>
    <w:rsid w:val="00E515D0"/>
    <w:rsid w:val="00E518E0"/>
    <w:rsid w:val="00E534B4"/>
    <w:rsid w:val="00E53700"/>
    <w:rsid w:val="00E55829"/>
    <w:rsid w:val="00E572BD"/>
    <w:rsid w:val="00E57BF0"/>
    <w:rsid w:val="00E60090"/>
    <w:rsid w:val="00E601A4"/>
    <w:rsid w:val="00E60E31"/>
    <w:rsid w:val="00E61026"/>
    <w:rsid w:val="00E612CC"/>
    <w:rsid w:val="00E620B5"/>
    <w:rsid w:val="00E6363F"/>
    <w:rsid w:val="00E637EB"/>
    <w:rsid w:val="00E64881"/>
    <w:rsid w:val="00E650AB"/>
    <w:rsid w:val="00E66B39"/>
    <w:rsid w:val="00E66C19"/>
    <w:rsid w:val="00E712FD"/>
    <w:rsid w:val="00E71E85"/>
    <w:rsid w:val="00E75436"/>
    <w:rsid w:val="00E75850"/>
    <w:rsid w:val="00E775A7"/>
    <w:rsid w:val="00E803C9"/>
    <w:rsid w:val="00E8106A"/>
    <w:rsid w:val="00E90959"/>
    <w:rsid w:val="00E91161"/>
    <w:rsid w:val="00E916B3"/>
    <w:rsid w:val="00E9410D"/>
    <w:rsid w:val="00E94DA0"/>
    <w:rsid w:val="00E952BF"/>
    <w:rsid w:val="00E96674"/>
    <w:rsid w:val="00EA0104"/>
    <w:rsid w:val="00EA0551"/>
    <w:rsid w:val="00EA1399"/>
    <w:rsid w:val="00EA16CE"/>
    <w:rsid w:val="00EA354E"/>
    <w:rsid w:val="00EA36DB"/>
    <w:rsid w:val="00EA3792"/>
    <w:rsid w:val="00EA436A"/>
    <w:rsid w:val="00EA61C3"/>
    <w:rsid w:val="00EA6E37"/>
    <w:rsid w:val="00EB0054"/>
    <w:rsid w:val="00EB0659"/>
    <w:rsid w:val="00EB19A4"/>
    <w:rsid w:val="00EB3738"/>
    <w:rsid w:val="00EB4929"/>
    <w:rsid w:val="00EB5387"/>
    <w:rsid w:val="00EB64FD"/>
    <w:rsid w:val="00EB6545"/>
    <w:rsid w:val="00EB654D"/>
    <w:rsid w:val="00EB77AA"/>
    <w:rsid w:val="00EB7862"/>
    <w:rsid w:val="00EB7A13"/>
    <w:rsid w:val="00EB7B7A"/>
    <w:rsid w:val="00EC08D8"/>
    <w:rsid w:val="00EC0AF0"/>
    <w:rsid w:val="00EC11CC"/>
    <w:rsid w:val="00EC1570"/>
    <w:rsid w:val="00EC2A43"/>
    <w:rsid w:val="00EC426B"/>
    <w:rsid w:val="00EC431A"/>
    <w:rsid w:val="00EC458A"/>
    <w:rsid w:val="00EC5206"/>
    <w:rsid w:val="00EC5ECB"/>
    <w:rsid w:val="00EC5FE6"/>
    <w:rsid w:val="00ED2D86"/>
    <w:rsid w:val="00ED5F7B"/>
    <w:rsid w:val="00ED6123"/>
    <w:rsid w:val="00ED7797"/>
    <w:rsid w:val="00ED7E74"/>
    <w:rsid w:val="00ED7F90"/>
    <w:rsid w:val="00EE1B61"/>
    <w:rsid w:val="00EE1C18"/>
    <w:rsid w:val="00EE228D"/>
    <w:rsid w:val="00EE244D"/>
    <w:rsid w:val="00EE2D08"/>
    <w:rsid w:val="00EE4435"/>
    <w:rsid w:val="00EE543F"/>
    <w:rsid w:val="00EE693F"/>
    <w:rsid w:val="00EE7421"/>
    <w:rsid w:val="00EE7800"/>
    <w:rsid w:val="00EE79CC"/>
    <w:rsid w:val="00EF002B"/>
    <w:rsid w:val="00EF02B2"/>
    <w:rsid w:val="00EF0712"/>
    <w:rsid w:val="00EF0C69"/>
    <w:rsid w:val="00EF19DD"/>
    <w:rsid w:val="00EF1D97"/>
    <w:rsid w:val="00EF243F"/>
    <w:rsid w:val="00EF24CA"/>
    <w:rsid w:val="00EF2BC0"/>
    <w:rsid w:val="00EF2E1B"/>
    <w:rsid w:val="00EF3DEB"/>
    <w:rsid w:val="00EF4E3A"/>
    <w:rsid w:val="00EF5F58"/>
    <w:rsid w:val="00EF6859"/>
    <w:rsid w:val="00EF7179"/>
    <w:rsid w:val="00EF7259"/>
    <w:rsid w:val="00EF7786"/>
    <w:rsid w:val="00F012A5"/>
    <w:rsid w:val="00F01411"/>
    <w:rsid w:val="00F02756"/>
    <w:rsid w:val="00F0307E"/>
    <w:rsid w:val="00F0384C"/>
    <w:rsid w:val="00F03AB4"/>
    <w:rsid w:val="00F04BB4"/>
    <w:rsid w:val="00F05E5B"/>
    <w:rsid w:val="00F0725E"/>
    <w:rsid w:val="00F073A8"/>
    <w:rsid w:val="00F07F7C"/>
    <w:rsid w:val="00F11C54"/>
    <w:rsid w:val="00F1343D"/>
    <w:rsid w:val="00F145F5"/>
    <w:rsid w:val="00F14C43"/>
    <w:rsid w:val="00F177DC"/>
    <w:rsid w:val="00F21E06"/>
    <w:rsid w:val="00F23810"/>
    <w:rsid w:val="00F24859"/>
    <w:rsid w:val="00F25250"/>
    <w:rsid w:val="00F26D58"/>
    <w:rsid w:val="00F27244"/>
    <w:rsid w:val="00F277D0"/>
    <w:rsid w:val="00F30A8A"/>
    <w:rsid w:val="00F30ED0"/>
    <w:rsid w:val="00F31DAF"/>
    <w:rsid w:val="00F32F59"/>
    <w:rsid w:val="00F3338E"/>
    <w:rsid w:val="00F333F8"/>
    <w:rsid w:val="00F34519"/>
    <w:rsid w:val="00F35F9F"/>
    <w:rsid w:val="00F368B6"/>
    <w:rsid w:val="00F36B1E"/>
    <w:rsid w:val="00F372C6"/>
    <w:rsid w:val="00F37F7A"/>
    <w:rsid w:val="00F4004D"/>
    <w:rsid w:val="00F40533"/>
    <w:rsid w:val="00F41802"/>
    <w:rsid w:val="00F41BB7"/>
    <w:rsid w:val="00F422E7"/>
    <w:rsid w:val="00F435A9"/>
    <w:rsid w:val="00F442A6"/>
    <w:rsid w:val="00F44814"/>
    <w:rsid w:val="00F44855"/>
    <w:rsid w:val="00F45F3F"/>
    <w:rsid w:val="00F46808"/>
    <w:rsid w:val="00F4699A"/>
    <w:rsid w:val="00F4790A"/>
    <w:rsid w:val="00F479B5"/>
    <w:rsid w:val="00F47DB3"/>
    <w:rsid w:val="00F516C3"/>
    <w:rsid w:val="00F51A41"/>
    <w:rsid w:val="00F51F2E"/>
    <w:rsid w:val="00F52BDE"/>
    <w:rsid w:val="00F545DF"/>
    <w:rsid w:val="00F54AE2"/>
    <w:rsid w:val="00F553DD"/>
    <w:rsid w:val="00F55F8C"/>
    <w:rsid w:val="00F57598"/>
    <w:rsid w:val="00F57A65"/>
    <w:rsid w:val="00F616F3"/>
    <w:rsid w:val="00F6225B"/>
    <w:rsid w:val="00F628FE"/>
    <w:rsid w:val="00F6472D"/>
    <w:rsid w:val="00F6628D"/>
    <w:rsid w:val="00F662FA"/>
    <w:rsid w:val="00F665F9"/>
    <w:rsid w:val="00F66650"/>
    <w:rsid w:val="00F70E16"/>
    <w:rsid w:val="00F72651"/>
    <w:rsid w:val="00F72ECB"/>
    <w:rsid w:val="00F74627"/>
    <w:rsid w:val="00F746E9"/>
    <w:rsid w:val="00F757FF"/>
    <w:rsid w:val="00F76AAC"/>
    <w:rsid w:val="00F7704B"/>
    <w:rsid w:val="00F77239"/>
    <w:rsid w:val="00F77345"/>
    <w:rsid w:val="00F777F1"/>
    <w:rsid w:val="00F8017F"/>
    <w:rsid w:val="00F84223"/>
    <w:rsid w:val="00F84956"/>
    <w:rsid w:val="00F84DE6"/>
    <w:rsid w:val="00F85C8F"/>
    <w:rsid w:val="00F904D4"/>
    <w:rsid w:val="00F9074F"/>
    <w:rsid w:val="00F90E69"/>
    <w:rsid w:val="00F9226E"/>
    <w:rsid w:val="00F92938"/>
    <w:rsid w:val="00F92CBD"/>
    <w:rsid w:val="00F931A0"/>
    <w:rsid w:val="00F937ED"/>
    <w:rsid w:val="00F944BE"/>
    <w:rsid w:val="00F946B6"/>
    <w:rsid w:val="00F94BE1"/>
    <w:rsid w:val="00F94BEC"/>
    <w:rsid w:val="00F950CC"/>
    <w:rsid w:val="00F97779"/>
    <w:rsid w:val="00F97BEC"/>
    <w:rsid w:val="00FA06C4"/>
    <w:rsid w:val="00FA0F23"/>
    <w:rsid w:val="00FA1072"/>
    <w:rsid w:val="00FA1BC8"/>
    <w:rsid w:val="00FA2064"/>
    <w:rsid w:val="00FA2264"/>
    <w:rsid w:val="00FA2420"/>
    <w:rsid w:val="00FA2DDA"/>
    <w:rsid w:val="00FA356A"/>
    <w:rsid w:val="00FA35A6"/>
    <w:rsid w:val="00FA3CA6"/>
    <w:rsid w:val="00FA4285"/>
    <w:rsid w:val="00FA4E1A"/>
    <w:rsid w:val="00FA5500"/>
    <w:rsid w:val="00FA5639"/>
    <w:rsid w:val="00FA5AED"/>
    <w:rsid w:val="00FA676C"/>
    <w:rsid w:val="00FA6E32"/>
    <w:rsid w:val="00FB0DD7"/>
    <w:rsid w:val="00FB19EC"/>
    <w:rsid w:val="00FB2F4A"/>
    <w:rsid w:val="00FB3161"/>
    <w:rsid w:val="00FB34E1"/>
    <w:rsid w:val="00FB3B7C"/>
    <w:rsid w:val="00FB3DC0"/>
    <w:rsid w:val="00FB50F7"/>
    <w:rsid w:val="00FB606A"/>
    <w:rsid w:val="00FB6847"/>
    <w:rsid w:val="00FB6A89"/>
    <w:rsid w:val="00FB7201"/>
    <w:rsid w:val="00FC0CB9"/>
    <w:rsid w:val="00FC14D3"/>
    <w:rsid w:val="00FC15E5"/>
    <w:rsid w:val="00FC19C5"/>
    <w:rsid w:val="00FC202A"/>
    <w:rsid w:val="00FC22C7"/>
    <w:rsid w:val="00FC377B"/>
    <w:rsid w:val="00FC4D8A"/>
    <w:rsid w:val="00FC5B12"/>
    <w:rsid w:val="00FC5CC0"/>
    <w:rsid w:val="00FC6367"/>
    <w:rsid w:val="00FC70A0"/>
    <w:rsid w:val="00FC71BF"/>
    <w:rsid w:val="00FC75F0"/>
    <w:rsid w:val="00FC7A74"/>
    <w:rsid w:val="00FC7ECA"/>
    <w:rsid w:val="00FD0FED"/>
    <w:rsid w:val="00FD1227"/>
    <w:rsid w:val="00FD1CB5"/>
    <w:rsid w:val="00FD51A3"/>
    <w:rsid w:val="00FD596B"/>
    <w:rsid w:val="00FD5E4B"/>
    <w:rsid w:val="00FD6047"/>
    <w:rsid w:val="00FD643C"/>
    <w:rsid w:val="00FD6571"/>
    <w:rsid w:val="00FD6C32"/>
    <w:rsid w:val="00FE02C5"/>
    <w:rsid w:val="00FE0D5C"/>
    <w:rsid w:val="00FE1FE0"/>
    <w:rsid w:val="00FE21A6"/>
    <w:rsid w:val="00FE4156"/>
    <w:rsid w:val="00FE45BD"/>
    <w:rsid w:val="00FE4B6F"/>
    <w:rsid w:val="00FE51D6"/>
    <w:rsid w:val="00FF05EE"/>
    <w:rsid w:val="00FF18C7"/>
    <w:rsid w:val="00FF329D"/>
    <w:rsid w:val="00FF4C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AE"/>
    <w:pPr>
      <w:spacing w:after="240" w:line="360" w:lineRule="auto"/>
    </w:pPr>
    <w:rPr>
      <w:rFonts w:ascii="Californian FB" w:hAnsi="Californian FB"/>
      <w:sz w:val="22"/>
      <w:szCs w:val="24"/>
      <w:lang w:eastAsia="en-US"/>
    </w:rPr>
  </w:style>
  <w:style w:type="paragraph" w:styleId="Heading1">
    <w:name w:val="heading 1"/>
    <w:basedOn w:val="Normal"/>
    <w:next w:val="Normal"/>
    <w:link w:val="Heading1Char"/>
    <w:qFormat/>
    <w:rsid w:val="00881BD2"/>
    <w:pPr>
      <w:keepNext/>
      <w:pageBreakBefore/>
      <w:tabs>
        <w:tab w:val="left" w:pos="851"/>
      </w:tabs>
      <w:spacing w:before="240" w:after="360" w:line="240" w:lineRule="auto"/>
      <w:ind w:left="851" w:hanging="851"/>
      <w:outlineLvl w:val="0"/>
    </w:pPr>
    <w:rPr>
      <w:rFonts w:ascii="Gill Sans MT" w:hAnsi="Gill Sans MT"/>
      <w:b/>
      <w:bCs/>
      <w:sz w:val="40"/>
      <w:szCs w:val="40"/>
      <w:lang w:val="x-none"/>
    </w:rPr>
  </w:style>
  <w:style w:type="paragraph" w:styleId="Heading2">
    <w:name w:val="heading 2"/>
    <w:aliases w:val="H2,Follow Up Question"/>
    <w:basedOn w:val="Heading1"/>
    <w:next w:val="Normal"/>
    <w:rsid w:val="005D7275"/>
    <w:pPr>
      <w:outlineLvl w:val="1"/>
    </w:pPr>
  </w:style>
  <w:style w:type="paragraph" w:styleId="Heading3">
    <w:name w:val="heading 3"/>
    <w:aliases w:val="H3"/>
    <w:basedOn w:val="Normal"/>
    <w:next w:val="Normal"/>
    <w:rsid w:val="00F4699A"/>
    <w:pPr>
      <w:keepNext/>
      <w:numPr>
        <w:ilvl w:val="2"/>
        <w:numId w:val="1"/>
      </w:numPr>
      <w:autoSpaceDE w:val="0"/>
      <w:autoSpaceDN w:val="0"/>
      <w:adjustRightInd w:val="0"/>
      <w:spacing w:after="120" w:line="240" w:lineRule="auto"/>
      <w:ind w:left="993" w:hanging="1173"/>
      <w:outlineLvl w:val="2"/>
    </w:pPr>
    <w:rPr>
      <w:rFonts w:ascii="Gill Sans MT" w:hAnsi="Gill Sans MT"/>
      <w:b/>
      <w:bCs/>
      <w:sz w:val="32"/>
      <w:szCs w:val="18"/>
    </w:rPr>
  </w:style>
  <w:style w:type="paragraph" w:styleId="Heading4">
    <w:name w:val="heading 4"/>
    <w:aliases w:val="H4"/>
    <w:basedOn w:val="Normal"/>
    <w:next w:val="Normal"/>
    <w:rsid w:val="00742119"/>
    <w:pPr>
      <w:keepNext/>
      <w:keepLines/>
      <w:autoSpaceDE w:val="0"/>
      <w:autoSpaceDN w:val="0"/>
      <w:adjustRightInd w:val="0"/>
      <w:spacing w:after="120" w:line="240" w:lineRule="auto"/>
      <w:outlineLvl w:val="3"/>
    </w:pPr>
    <w:rPr>
      <w:b/>
      <w:bCs/>
      <w:sz w:val="24"/>
    </w:rPr>
  </w:style>
  <w:style w:type="paragraph" w:styleId="Heading5">
    <w:name w:val="heading 5"/>
    <w:aliases w:val=" DO NOT USE"/>
    <w:basedOn w:val="Normal"/>
    <w:next w:val="Normal"/>
    <w:link w:val="Heading5Char"/>
    <w:rsid w:val="00694D1A"/>
    <w:pPr>
      <w:keepNext/>
      <w:autoSpaceDE w:val="0"/>
      <w:autoSpaceDN w:val="0"/>
      <w:adjustRightInd w:val="0"/>
      <w:outlineLvl w:val="4"/>
    </w:pPr>
    <w:rPr>
      <w:b/>
      <w:bCs/>
      <w:sz w:val="20"/>
      <w:szCs w:val="20"/>
      <w:lang w:val="en-US"/>
    </w:rPr>
  </w:style>
  <w:style w:type="paragraph" w:styleId="Heading6">
    <w:name w:val="heading 6"/>
    <w:aliases w:val="DO NOT USE,DO NOT USE4"/>
    <w:basedOn w:val="Normal"/>
    <w:next w:val="Normal"/>
    <w:rsid w:val="00694D1A"/>
    <w:pPr>
      <w:keepNext/>
      <w:outlineLvl w:val="5"/>
    </w:pPr>
    <w:rPr>
      <w:b/>
      <w:bCs/>
      <w:lang w:val="en-US"/>
    </w:rPr>
  </w:style>
  <w:style w:type="paragraph" w:styleId="Heading7">
    <w:name w:val="heading 7"/>
    <w:basedOn w:val="Normal"/>
    <w:next w:val="Normal"/>
    <w:rsid w:val="00694D1A"/>
    <w:pPr>
      <w:keepNext/>
      <w:outlineLvl w:val="6"/>
    </w:pPr>
    <w:rPr>
      <w:rFonts w:ascii="Garamond" w:hAnsi="Garamond"/>
      <w:b/>
      <w:iCs/>
      <w:smallCaps/>
      <w:sz w:val="28"/>
      <w:szCs w:val="28"/>
    </w:rPr>
  </w:style>
  <w:style w:type="paragraph" w:styleId="Heading8">
    <w:name w:val="heading 8"/>
    <w:basedOn w:val="Normal"/>
    <w:next w:val="Normal"/>
    <w:rsid w:val="007C08A0"/>
    <w:pPr>
      <w:keepNext/>
      <w:tabs>
        <w:tab w:val="left" w:pos="416"/>
      </w:tabs>
      <w:spacing w:line="240" w:lineRule="auto"/>
      <w:outlineLvl w:val="7"/>
    </w:pPr>
    <w:rPr>
      <w:rFonts w:ascii="Garamond" w:hAnsi="Garamond"/>
      <w:b/>
      <w:smallCaps/>
      <w:sz w:val="40"/>
      <w:szCs w:val="40"/>
    </w:rPr>
  </w:style>
  <w:style w:type="paragraph" w:styleId="Heading9">
    <w:name w:val="heading 9"/>
    <w:aliases w:val="cover page title"/>
    <w:basedOn w:val="Normal"/>
    <w:next w:val="Normal"/>
    <w:qFormat/>
    <w:rsid w:val="00694D1A"/>
    <w:pPr>
      <w:tabs>
        <w:tab w:val="left" w:pos="416"/>
        <w:tab w:val="left" w:pos="582"/>
      </w:tabs>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81BD2"/>
    <w:rPr>
      <w:rFonts w:ascii="Gill Sans MT" w:hAnsi="Gill Sans MT"/>
      <w:b/>
      <w:bCs/>
      <w:sz w:val="40"/>
      <w:szCs w:val="40"/>
      <w:lang w:eastAsia="en-US"/>
    </w:rPr>
  </w:style>
  <w:style w:type="paragraph" w:styleId="Caption">
    <w:name w:val="caption"/>
    <w:basedOn w:val="Normal"/>
    <w:next w:val="Normal"/>
    <w:link w:val="CaptionChar"/>
    <w:uiPriority w:val="99"/>
    <w:qFormat/>
    <w:rsid w:val="001F62C3"/>
    <w:pPr>
      <w:keepNext/>
      <w:spacing w:before="120" w:after="120" w:line="240" w:lineRule="auto"/>
      <w:ind w:left="1077" w:hanging="1077"/>
    </w:pPr>
    <w:rPr>
      <w:rFonts w:ascii="Gill Sans MT" w:hAnsi="Gill Sans MT"/>
      <w:b/>
      <w:bCs/>
      <w:sz w:val="20"/>
      <w:szCs w:val="20"/>
      <w:lang w:val="x-none"/>
    </w:rPr>
  </w:style>
  <w:style w:type="character" w:customStyle="1" w:styleId="CaptionChar">
    <w:name w:val="Caption Char"/>
    <w:link w:val="Caption"/>
    <w:uiPriority w:val="99"/>
    <w:rsid w:val="001F62C3"/>
    <w:rPr>
      <w:rFonts w:ascii="Gill Sans MT" w:hAnsi="Gill Sans MT"/>
      <w:b/>
      <w:bCs/>
      <w:lang w:eastAsia="en-US"/>
    </w:rPr>
  </w:style>
  <w:style w:type="paragraph" w:styleId="BodyText">
    <w:name w:val="Body Text"/>
    <w:aliases w:val="Body Text Char"/>
    <w:basedOn w:val="Normal"/>
    <w:link w:val="BodyTextChar1"/>
    <w:semiHidden/>
    <w:rsid w:val="00694D1A"/>
    <w:pPr>
      <w:autoSpaceDE w:val="0"/>
      <w:autoSpaceDN w:val="0"/>
      <w:adjustRightInd w:val="0"/>
    </w:pPr>
    <w:rPr>
      <w:rFonts w:ascii="TimesNewRomanPSMT" w:hAnsi="TimesNewRomanPSMT"/>
      <w:sz w:val="20"/>
      <w:szCs w:val="20"/>
      <w:lang w:val="en-US"/>
    </w:rPr>
  </w:style>
  <w:style w:type="paragraph" w:styleId="DocumentMap">
    <w:name w:val="Document Map"/>
    <w:basedOn w:val="Normal"/>
    <w:semiHidden/>
    <w:rsid w:val="00694D1A"/>
    <w:pPr>
      <w:shd w:val="clear" w:color="auto" w:fill="000080"/>
    </w:pPr>
    <w:rPr>
      <w:rFonts w:ascii="Tahoma" w:hAnsi="Tahoma" w:cs="Tahoma"/>
    </w:rPr>
  </w:style>
  <w:style w:type="paragraph" w:customStyle="1" w:styleId="Heading50">
    <w:name w:val="Heading5"/>
    <w:basedOn w:val="Heading40"/>
    <w:qFormat/>
    <w:rsid w:val="0023269B"/>
    <w:pPr>
      <w:spacing w:line="288" w:lineRule="auto"/>
      <w:outlineLvl w:val="4"/>
    </w:pPr>
    <w:rPr>
      <w:i w:val="0"/>
    </w:rPr>
  </w:style>
  <w:style w:type="paragraph" w:customStyle="1" w:styleId="Heading40">
    <w:name w:val="Heading4"/>
    <w:basedOn w:val="Heading30"/>
    <w:next w:val="Normal"/>
    <w:link w:val="Heading4Char"/>
    <w:qFormat/>
    <w:rsid w:val="002741E1"/>
    <w:pPr>
      <w:spacing w:after="120"/>
      <w:ind w:left="0" w:firstLine="0"/>
      <w:outlineLvl w:val="3"/>
    </w:pPr>
    <w:rPr>
      <w:i/>
      <w:sz w:val="22"/>
    </w:rPr>
  </w:style>
  <w:style w:type="paragraph" w:customStyle="1" w:styleId="Heading30">
    <w:name w:val="Heading3"/>
    <w:basedOn w:val="Heading20"/>
    <w:next w:val="Normal"/>
    <w:link w:val="Heading3Char"/>
    <w:qFormat/>
    <w:rsid w:val="0054583C"/>
    <w:pPr>
      <w:spacing w:after="240"/>
      <w:outlineLvl w:val="2"/>
    </w:pPr>
    <w:rPr>
      <w:sz w:val="28"/>
    </w:rPr>
  </w:style>
  <w:style w:type="paragraph" w:customStyle="1" w:styleId="Heading20">
    <w:name w:val="Heading2"/>
    <w:basedOn w:val="Heading1"/>
    <w:next w:val="Normal"/>
    <w:link w:val="Heading2Char"/>
    <w:qFormat/>
    <w:rsid w:val="00136D50"/>
    <w:pPr>
      <w:pageBreakBefore w:val="0"/>
      <w:outlineLvl w:val="1"/>
    </w:pPr>
    <w:rPr>
      <w:sz w:val="32"/>
      <w:szCs w:val="32"/>
    </w:rPr>
  </w:style>
  <w:style w:type="character" w:customStyle="1" w:styleId="Heading2Char">
    <w:name w:val="Heading2 Char"/>
    <w:link w:val="Heading20"/>
    <w:rsid w:val="00136D50"/>
    <w:rPr>
      <w:rFonts w:ascii="Gill Sans MT" w:hAnsi="Gill Sans MT"/>
      <w:b/>
      <w:bCs/>
      <w:sz w:val="32"/>
      <w:szCs w:val="32"/>
      <w:lang w:eastAsia="en-US"/>
    </w:rPr>
  </w:style>
  <w:style w:type="paragraph" w:customStyle="1" w:styleId="Tabletext">
    <w:name w:val="Table text"/>
    <w:basedOn w:val="Normal"/>
    <w:qFormat/>
    <w:rsid w:val="00623290"/>
    <w:pPr>
      <w:keepNext/>
      <w:spacing w:before="60" w:after="40" w:line="240" w:lineRule="auto"/>
    </w:pPr>
    <w:rPr>
      <w:rFonts w:ascii="Arial Narrow" w:hAnsi="Arial Narrow"/>
      <w:sz w:val="20"/>
      <w:szCs w:val="20"/>
    </w:rPr>
  </w:style>
  <w:style w:type="paragraph" w:styleId="BodyText2">
    <w:name w:val="Body Text 2"/>
    <w:basedOn w:val="Normal"/>
    <w:semiHidden/>
    <w:rsid w:val="00694D1A"/>
    <w:rPr>
      <w:b/>
      <w:bCs/>
      <w:lang w:val="en-US"/>
    </w:rPr>
  </w:style>
  <w:style w:type="paragraph" w:styleId="BodyText3">
    <w:name w:val="Body Text 3"/>
    <w:basedOn w:val="Normal"/>
    <w:semiHidden/>
    <w:rsid w:val="00694D1A"/>
    <w:rPr>
      <w:rFonts w:ascii="Verdana" w:hAnsi="Verdana" w:cs="Arial"/>
      <w:b/>
      <w:bCs/>
      <w:sz w:val="18"/>
      <w:szCs w:val="18"/>
      <w:lang w:val="en-GB"/>
    </w:rPr>
  </w:style>
  <w:style w:type="character" w:styleId="EndnoteReference">
    <w:name w:val="endnote reference"/>
    <w:semiHidden/>
    <w:rsid w:val="00694D1A"/>
    <w:rPr>
      <w:rFonts w:ascii="Verdana" w:hAnsi="Verdana"/>
      <w:sz w:val="14"/>
      <w:vertAlign w:val="superscript"/>
    </w:rPr>
  </w:style>
  <w:style w:type="paragraph" w:styleId="EndnoteText">
    <w:name w:val="endnote text"/>
    <w:basedOn w:val="Normal"/>
    <w:semiHidden/>
    <w:rsid w:val="00694D1A"/>
    <w:pPr>
      <w:overflowPunct w:val="0"/>
      <w:autoSpaceDE w:val="0"/>
      <w:autoSpaceDN w:val="0"/>
      <w:adjustRightInd w:val="0"/>
      <w:spacing w:line="240" w:lineRule="auto"/>
      <w:ind w:left="1440"/>
      <w:textAlignment w:val="baseline"/>
    </w:pPr>
    <w:rPr>
      <w:rFonts w:ascii="Verdana" w:hAnsi="Verdana"/>
      <w:sz w:val="18"/>
      <w:szCs w:val="20"/>
      <w:lang w:val="en-GB"/>
    </w:rPr>
  </w:style>
  <w:style w:type="paragraph" w:styleId="NormalWeb">
    <w:name w:val="Normal (Web)"/>
    <w:basedOn w:val="Normal"/>
    <w:uiPriority w:val="99"/>
    <w:semiHidden/>
    <w:rsid w:val="00694D1A"/>
    <w:pPr>
      <w:spacing w:before="100" w:beforeAutospacing="1" w:after="100" w:afterAutospacing="1" w:line="240" w:lineRule="auto"/>
    </w:pPr>
    <w:rPr>
      <w:rFonts w:ascii="Arial Unicode MS" w:eastAsia="Arial Unicode MS" w:hAnsi="Arial Unicode MS" w:cs="Arial Unicode MS"/>
      <w:sz w:val="24"/>
    </w:rPr>
  </w:style>
  <w:style w:type="paragraph" w:styleId="BodyTextIndent">
    <w:name w:val="Body Text Indent"/>
    <w:basedOn w:val="Normal"/>
    <w:link w:val="BodyTextIndentChar"/>
    <w:semiHidden/>
    <w:rsid w:val="00694D1A"/>
    <w:pPr>
      <w:ind w:left="720"/>
    </w:pPr>
    <w:rPr>
      <w:lang w:val="x-none"/>
    </w:rPr>
  </w:style>
  <w:style w:type="paragraph" w:styleId="FootnoteText">
    <w:name w:val="footnote text"/>
    <w:basedOn w:val="Normal"/>
    <w:semiHidden/>
    <w:qFormat/>
    <w:rsid w:val="00881BD2"/>
    <w:pPr>
      <w:spacing w:line="240" w:lineRule="auto"/>
    </w:pPr>
    <w:rPr>
      <w:sz w:val="20"/>
      <w:szCs w:val="20"/>
    </w:rPr>
  </w:style>
  <w:style w:type="character" w:styleId="FootnoteReference">
    <w:name w:val="footnote reference"/>
    <w:semiHidden/>
    <w:rsid w:val="00694D1A"/>
    <w:rPr>
      <w:vertAlign w:val="superscript"/>
    </w:rPr>
  </w:style>
  <w:style w:type="paragraph" w:styleId="TOC4">
    <w:name w:val="toc 4"/>
    <w:aliases w:val="title4"/>
    <w:basedOn w:val="Normal"/>
    <w:next w:val="Normal"/>
    <w:autoRedefine/>
    <w:semiHidden/>
    <w:rsid w:val="00694D1A"/>
    <w:pPr>
      <w:ind w:left="660"/>
    </w:pPr>
    <w:rPr>
      <w:rFonts w:ascii="Calibri" w:hAnsi="Calibri"/>
      <w:sz w:val="18"/>
      <w:szCs w:val="18"/>
    </w:rPr>
  </w:style>
  <w:style w:type="character" w:styleId="Hyperlink">
    <w:name w:val="Hyperlink"/>
    <w:uiPriority w:val="99"/>
    <w:rsid w:val="00694D1A"/>
    <w:rPr>
      <w:color w:val="000066"/>
      <w:u w:val="single"/>
      <w:shd w:val="clear" w:color="auto" w:fill="FFFFFF"/>
    </w:rPr>
  </w:style>
  <w:style w:type="paragraph" w:styleId="Header">
    <w:name w:val="header"/>
    <w:basedOn w:val="Normal"/>
    <w:semiHidden/>
    <w:rsid w:val="00BE19DF"/>
    <w:pPr>
      <w:pBdr>
        <w:bottom w:val="single" w:sz="4" w:space="1" w:color="000000"/>
      </w:pBdr>
      <w:tabs>
        <w:tab w:val="center" w:pos="4153"/>
        <w:tab w:val="right" w:pos="8306"/>
      </w:tabs>
      <w:spacing w:before="240" w:after="40" w:line="240" w:lineRule="auto"/>
      <w:jc w:val="right"/>
    </w:pPr>
    <w:rPr>
      <w:rFonts w:ascii="Franklin Gothic Medium" w:hAnsi="Franklin Gothic Medium"/>
      <w:smallCaps/>
      <w:sz w:val="18"/>
      <w:szCs w:val="18"/>
    </w:rPr>
  </w:style>
  <w:style w:type="paragraph" w:styleId="Footer">
    <w:name w:val="footer"/>
    <w:aliases w:val="Page Footer"/>
    <w:basedOn w:val="Normal"/>
    <w:link w:val="FooterChar"/>
    <w:uiPriority w:val="99"/>
    <w:rsid w:val="00694D1A"/>
    <w:pPr>
      <w:tabs>
        <w:tab w:val="center" w:pos="4153"/>
        <w:tab w:val="right" w:pos="8306"/>
      </w:tabs>
    </w:pPr>
    <w:rPr>
      <w:rFonts w:ascii="Arial Unicode MS" w:hAnsi="Arial Unicode MS"/>
    </w:rPr>
  </w:style>
  <w:style w:type="character" w:customStyle="1" w:styleId="FooterChar">
    <w:name w:val="Footer Char"/>
    <w:aliases w:val="Page Footer Char"/>
    <w:link w:val="Footer"/>
    <w:uiPriority w:val="99"/>
    <w:rsid w:val="00844317"/>
    <w:rPr>
      <w:rFonts w:ascii="Arial Unicode MS" w:hAnsi="Arial Unicode MS"/>
      <w:sz w:val="22"/>
      <w:szCs w:val="24"/>
      <w:lang w:val="en-AU" w:eastAsia="en-US" w:bidi="ar-SA"/>
    </w:rPr>
  </w:style>
  <w:style w:type="paragraph" w:customStyle="1" w:styleId="Tablenotes">
    <w:name w:val="Table notes"/>
    <w:basedOn w:val="Normal"/>
    <w:rsid w:val="003A1124"/>
    <w:pPr>
      <w:spacing w:before="40" w:after="360" w:line="240" w:lineRule="auto"/>
    </w:pPr>
    <w:rPr>
      <w:rFonts w:ascii="Arial Narrow" w:hAnsi="Arial Narrow"/>
      <w:sz w:val="16"/>
      <w:szCs w:val="22"/>
    </w:rPr>
  </w:style>
  <w:style w:type="paragraph" w:styleId="TOC1">
    <w:name w:val="toc 1"/>
    <w:basedOn w:val="Normal"/>
    <w:next w:val="Normal"/>
    <w:autoRedefine/>
    <w:uiPriority w:val="39"/>
    <w:qFormat/>
    <w:rsid w:val="004F3378"/>
    <w:pPr>
      <w:spacing w:before="120" w:after="60"/>
      <w:ind w:left="720" w:hanging="720"/>
    </w:pPr>
    <w:rPr>
      <w:rFonts w:ascii="Arial Narrow" w:hAnsi="Arial Narrow"/>
      <w:b/>
      <w:bCs/>
      <w:sz w:val="20"/>
      <w:szCs w:val="20"/>
    </w:rPr>
  </w:style>
  <w:style w:type="paragraph" w:styleId="TOC2">
    <w:name w:val="toc 2"/>
    <w:basedOn w:val="Normal"/>
    <w:next w:val="Normal"/>
    <w:autoRedefine/>
    <w:uiPriority w:val="39"/>
    <w:qFormat/>
    <w:rsid w:val="004F3378"/>
    <w:pPr>
      <w:spacing w:after="120"/>
      <w:ind w:left="221"/>
    </w:pPr>
    <w:rPr>
      <w:rFonts w:ascii="Arial Narrow" w:hAnsi="Arial Narrow"/>
      <w:sz w:val="20"/>
      <w:szCs w:val="20"/>
    </w:rPr>
  </w:style>
  <w:style w:type="paragraph" w:styleId="TOC3">
    <w:name w:val="toc 3"/>
    <w:basedOn w:val="Normal"/>
    <w:next w:val="Normal"/>
    <w:autoRedefine/>
    <w:uiPriority w:val="39"/>
    <w:qFormat/>
    <w:rsid w:val="004F3378"/>
    <w:pPr>
      <w:spacing w:after="120"/>
      <w:ind w:left="1162" w:hanging="720"/>
    </w:pPr>
    <w:rPr>
      <w:rFonts w:ascii="Arial Narrow" w:hAnsi="Arial Narrow"/>
      <w:iCs/>
      <w:sz w:val="20"/>
      <w:szCs w:val="20"/>
    </w:rPr>
  </w:style>
  <w:style w:type="paragraph" w:styleId="TOC5">
    <w:name w:val="toc 5"/>
    <w:basedOn w:val="Normal"/>
    <w:next w:val="Normal"/>
    <w:autoRedefine/>
    <w:semiHidden/>
    <w:rsid w:val="00694D1A"/>
    <w:pPr>
      <w:ind w:left="880"/>
    </w:pPr>
    <w:rPr>
      <w:rFonts w:ascii="Calibri" w:hAnsi="Calibri"/>
      <w:sz w:val="18"/>
      <w:szCs w:val="18"/>
    </w:rPr>
  </w:style>
  <w:style w:type="paragraph" w:styleId="TOC6">
    <w:name w:val="toc 6"/>
    <w:basedOn w:val="Normal"/>
    <w:next w:val="Normal"/>
    <w:autoRedefine/>
    <w:semiHidden/>
    <w:rsid w:val="00694D1A"/>
    <w:pPr>
      <w:ind w:left="1100"/>
    </w:pPr>
    <w:rPr>
      <w:rFonts w:ascii="Calibri" w:hAnsi="Calibri"/>
      <w:sz w:val="18"/>
      <w:szCs w:val="18"/>
    </w:rPr>
  </w:style>
  <w:style w:type="paragraph" w:styleId="TOC7">
    <w:name w:val="toc 7"/>
    <w:basedOn w:val="Normal"/>
    <w:next w:val="Normal"/>
    <w:autoRedefine/>
    <w:semiHidden/>
    <w:rsid w:val="00694D1A"/>
    <w:pPr>
      <w:ind w:left="1320"/>
    </w:pPr>
    <w:rPr>
      <w:rFonts w:ascii="Calibri" w:hAnsi="Calibri"/>
      <w:sz w:val="18"/>
      <w:szCs w:val="18"/>
    </w:rPr>
  </w:style>
  <w:style w:type="paragraph" w:styleId="TOC8">
    <w:name w:val="toc 8"/>
    <w:basedOn w:val="Normal"/>
    <w:next w:val="Normal"/>
    <w:autoRedefine/>
    <w:semiHidden/>
    <w:rsid w:val="00694D1A"/>
    <w:pPr>
      <w:ind w:left="1540"/>
    </w:pPr>
    <w:rPr>
      <w:rFonts w:ascii="Calibri" w:hAnsi="Calibri"/>
      <w:sz w:val="18"/>
      <w:szCs w:val="18"/>
    </w:rPr>
  </w:style>
  <w:style w:type="paragraph" w:styleId="TOC9">
    <w:name w:val="toc 9"/>
    <w:basedOn w:val="Normal"/>
    <w:next w:val="Normal"/>
    <w:autoRedefine/>
    <w:semiHidden/>
    <w:rsid w:val="00694D1A"/>
    <w:pPr>
      <w:ind w:left="1760"/>
    </w:pPr>
    <w:rPr>
      <w:rFonts w:ascii="Calibri" w:hAnsi="Calibri"/>
      <w:sz w:val="18"/>
      <w:szCs w:val="18"/>
    </w:rPr>
  </w:style>
  <w:style w:type="paragraph" w:styleId="ListBullet2">
    <w:name w:val="List Bullet 2"/>
    <w:basedOn w:val="Normal"/>
    <w:autoRedefine/>
    <w:semiHidden/>
    <w:rsid w:val="00694D1A"/>
    <w:pPr>
      <w:numPr>
        <w:numId w:val="2"/>
      </w:numPr>
      <w:tabs>
        <w:tab w:val="left" w:pos="416"/>
        <w:tab w:val="left" w:pos="582"/>
      </w:tabs>
    </w:pPr>
    <w:rPr>
      <w:sz w:val="24"/>
    </w:rPr>
  </w:style>
  <w:style w:type="paragraph" w:customStyle="1" w:styleId="ListBullet-Last">
    <w:name w:val="List Bullet - Last"/>
    <w:basedOn w:val="Normal"/>
    <w:rsid w:val="00404A62"/>
    <w:pPr>
      <w:numPr>
        <w:numId w:val="12"/>
      </w:numPr>
      <w:tabs>
        <w:tab w:val="left" w:pos="1152"/>
        <w:tab w:val="left" w:pos="1872"/>
      </w:tabs>
      <w:spacing w:line="288" w:lineRule="auto"/>
    </w:pPr>
    <w:rPr>
      <w:szCs w:val="20"/>
      <w:lang w:val="en-GB"/>
    </w:rPr>
  </w:style>
  <w:style w:type="paragraph" w:styleId="ListBullet">
    <w:name w:val="List Bullet"/>
    <w:basedOn w:val="Normal"/>
    <w:autoRedefine/>
    <w:semiHidden/>
    <w:rsid w:val="00694D1A"/>
    <w:pPr>
      <w:numPr>
        <w:numId w:val="3"/>
      </w:numPr>
      <w:spacing w:line="240" w:lineRule="auto"/>
    </w:pPr>
    <w:rPr>
      <w:rFonts w:ascii="Arial" w:hAnsi="Arial"/>
      <w:sz w:val="20"/>
      <w:szCs w:val="20"/>
      <w:lang w:val="en-GB"/>
    </w:rPr>
  </w:style>
  <w:style w:type="paragraph" w:styleId="ListBullet3">
    <w:name w:val="List Bullet 3"/>
    <w:basedOn w:val="Normal"/>
    <w:autoRedefine/>
    <w:semiHidden/>
    <w:rsid w:val="00694D1A"/>
    <w:pPr>
      <w:numPr>
        <w:numId w:val="4"/>
      </w:numPr>
      <w:tabs>
        <w:tab w:val="clear" w:pos="926"/>
        <w:tab w:val="num" w:pos="1080"/>
      </w:tabs>
      <w:spacing w:line="240" w:lineRule="auto"/>
      <w:ind w:left="1080"/>
    </w:pPr>
    <w:rPr>
      <w:rFonts w:ascii="Arial" w:hAnsi="Arial"/>
      <w:sz w:val="20"/>
      <w:szCs w:val="20"/>
      <w:lang w:val="en-GB"/>
    </w:rPr>
  </w:style>
  <w:style w:type="paragraph" w:styleId="ListBullet4">
    <w:name w:val="List Bullet 4"/>
    <w:basedOn w:val="Normal"/>
    <w:autoRedefine/>
    <w:semiHidden/>
    <w:rsid w:val="00694D1A"/>
    <w:pPr>
      <w:numPr>
        <w:numId w:val="5"/>
      </w:numPr>
      <w:tabs>
        <w:tab w:val="clear" w:pos="1209"/>
        <w:tab w:val="num" w:pos="1440"/>
      </w:tabs>
      <w:spacing w:line="240" w:lineRule="auto"/>
      <w:ind w:left="1440"/>
    </w:pPr>
    <w:rPr>
      <w:rFonts w:ascii="Arial" w:hAnsi="Arial"/>
      <w:sz w:val="20"/>
      <w:szCs w:val="20"/>
      <w:lang w:val="en-GB"/>
    </w:rPr>
  </w:style>
  <w:style w:type="paragraph" w:styleId="ListBullet5">
    <w:name w:val="List Bullet 5"/>
    <w:basedOn w:val="Normal"/>
    <w:autoRedefine/>
    <w:semiHidden/>
    <w:rsid w:val="00694D1A"/>
    <w:pPr>
      <w:numPr>
        <w:numId w:val="6"/>
      </w:numPr>
      <w:tabs>
        <w:tab w:val="clear" w:pos="1492"/>
        <w:tab w:val="num" w:pos="1800"/>
      </w:tabs>
      <w:spacing w:line="240" w:lineRule="auto"/>
      <w:ind w:left="1800"/>
    </w:pPr>
    <w:rPr>
      <w:rFonts w:ascii="Arial" w:hAnsi="Arial"/>
      <w:sz w:val="20"/>
      <w:szCs w:val="20"/>
      <w:lang w:val="en-GB"/>
    </w:rPr>
  </w:style>
  <w:style w:type="paragraph" w:styleId="ListNumber">
    <w:name w:val="List Number"/>
    <w:basedOn w:val="Normal"/>
    <w:semiHidden/>
    <w:rsid w:val="00694D1A"/>
    <w:pPr>
      <w:numPr>
        <w:numId w:val="7"/>
      </w:numPr>
      <w:spacing w:line="240" w:lineRule="auto"/>
    </w:pPr>
    <w:rPr>
      <w:rFonts w:ascii="Arial" w:hAnsi="Arial"/>
      <w:sz w:val="20"/>
      <w:szCs w:val="20"/>
      <w:lang w:val="en-GB"/>
    </w:rPr>
  </w:style>
  <w:style w:type="paragraph" w:styleId="ListNumber2">
    <w:name w:val="List Number 2"/>
    <w:basedOn w:val="Normal"/>
    <w:semiHidden/>
    <w:rsid w:val="00694D1A"/>
    <w:pPr>
      <w:numPr>
        <w:numId w:val="8"/>
      </w:numPr>
      <w:tabs>
        <w:tab w:val="clear" w:pos="643"/>
        <w:tab w:val="num" w:pos="720"/>
      </w:tabs>
      <w:spacing w:line="240" w:lineRule="auto"/>
      <w:ind w:left="720"/>
    </w:pPr>
    <w:rPr>
      <w:rFonts w:ascii="Arial" w:hAnsi="Arial"/>
      <w:sz w:val="20"/>
      <w:szCs w:val="20"/>
      <w:lang w:val="en-GB"/>
    </w:rPr>
  </w:style>
  <w:style w:type="paragraph" w:styleId="ListNumber3">
    <w:name w:val="List Number 3"/>
    <w:basedOn w:val="Normal"/>
    <w:semiHidden/>
    <w:rsid w:val="00694D1A"/>
    <w:pPr>
      <w:numPr>
        <w:numId w:val="9"/>
      </w:numPr>
      <w:tabs>
        <w:tab w:val="clear" w:pos="926"/>
        <w:tab w:val="num" w:pos="1080"/>
      </w:tabs>
      <w:spacing w:line="240" w:lineRule="auto"/>
      <w:ind w:left="1080"/>
    </w:pPr>
    <w:rPr>
      <w:rFonts w:ascii="Arial" w:hAnsi="Arial"/>
      <w:sz w:val="20"/>
      <w:szCs w:val="20"/>
      <w:lang w:val="en-GB"/>
    </w:rPr>
  </w:style>
  <w:style w:type="paragraph" w:styleId="ListNumber4">
    <w:name w:val="List Number 4"/>
    <w:basedOn w:val="Normal"/>
    <w:semiHidden/>
    <w:rsid w:val="00694D1A"/>
    <w:pPr>
      <w:numPr>
        <w:numId w:val="10"/>
      </w:numPr>
      <w:tabs>
        <w:tab w:val="clear" w:pos="1209"/>
        <w:tab w:val="num" w:pos="1440"/>
      </w:tabs>
      <w:spacing w:line="240" w:lineRule="auto"/>
      <w:ind w:left="1440"/>
    </w:pPr>
    <w:rPr>
      <w:rFonts w:ascii="Arial" w:hAnsi="Arial"/>
      <w:sz w:val="20"/>
      <w:szCs w:val="20"/>
      <w:lang w:val="en-GB"/>
    </w:rPr>
  </w:style>
  <w:style w:type="paragraph" w:styleId="ListNumber5">
    <w:name w:val="List Number 5"/>
    <w:basedOn w:val="Normal"/>
    <w:semiHidden/>
    <w:rsid w:val="00694D1A"/>
    <w:pPr>
      <w:numPr>
        <w:numId w:val="11"/>
      </w:numPr>
      <w:tabs>
        <w:tab w:val="num" w:pos="1800"/>
      </w:tabs>
      <w:spacing w:line="240" w:lineRule="auto"/>
      <w:ind w:left="1800"/>
    </w:pPr>
    <w:rPr>
      <w:rFonts w:ascii="Arial" w:hAnsi="Arial"/>
      <w:sz w:val="20"/>
      <w:szCs w:val="20"/>
      <w:lang w:val="en-GB"/>
    </w:rPr>
  </w:style>
  <w:style w:type="paragraph" w:styleId="BlockText">
    <w:name w:val="Block Text"/>
    <w:basedOn w:val="Normal"/>
    <w:semiHidden/>
    <w:rsid w:val="00694D1A"/>
    <w:pPr>
      <w:spacing w:line="288" w:lineRule="auto"/>
      <w:ind w:left="1152"/>
    </w:pPr>
    <w:rPr>
      <w:rFonts w:ascii="Arial" w:hAnsi="Arial"/>
      <w:sz w:val="20"/>
      <w:szCs w:val="20"/>
      <w:lang w:val="en-GB"/>
    </w:rPr>
  </w:style>
  <w:style w:type="paragraph" w:customStyle="1" w:styleId="Bullet">
    <w:name w:val="Bullet"/>
    <w:basedOn w:val="Normal"/>
    <w:rsid w:val="00404A62"/>
    <w:pPr>
      <w:numPr>
        <w:numId w:val="14"/>
      </w:numPr>
      <w:suppressAutoHyphens/>
      <w:spacing w:before="60" w:after="60" w:line="320" w:lineRule="exact"/>
    </w:pPr>
    <w:rPr>
      <w:szCs w:val="20"/>
      <w:lang w:val="en-GB"/>
    </w:rPr>
  </w:style>
  <w:style w:type="paragraph" w:customStyle="1" w:styleId="Heading2a">
    <w:name w:val="Heading2a"/>
    <w:basedOn w:val="Heading20"/>
    <w:link w:val="Heading2aChar"/>
    <w:rsid w:val="00E637EB"/>
    <w:pPr>
      <w:ind w:left="0" w:firstLine="0"/>
    </w:pPr>
  </w:style>
  <w:style w:type="character" w:customStyle="1" w:styleId="Heading2aChar">
    <w:name w:val="Heading2a Char"/>
    <w:link w:val="Heading2a"/>
    <w:rsid w:val="00E637EB"/>
    <w:rPr>
      <w:rFonts w:ascii="Gill Sans MT" w:hAnsi="Gill Sans MT"/>
      <w:b/>
      <w:bCs/>
      <w:sz w:val="32"/>
      <w:szCs w:val="32"/>
      <w:lang w:eastAsia="en-US"/>
    </w:rPr>
  </w:style>
  <w:style w:type="paragraph" w:customStyle="1" w:styleId="NumberedList">
    <w:name w:val="Numbered List"/>
    <w:rsid w:val="00404A62"/>
    <w:pPr>
      <w:numPr>
        <w:numId w:val="13"/>
      </w:numPr>
      <w:suppressAutoHyphens/>
      <w:spacing w:before="120" w:after="120" w:line="360" w:lineRule="exact"/>
      <w:ind w:left="646" w:hanging="357"/>
    </w:pPr>
    <w:rPr>
      <w:rFonts w:ascii="Californian FB" w:hAnsi="Californian FB"/>
      <w:sz w:val="24"/>
      <w:lang w:val="en-US" w:eastAsia="en-US"/>
    </w:rPr>
  </w:style>
  <w:style w:type="paragraph" w:styleId="CommentSubject">
    <w:name w:val="annotation subject"/>
    <w:basedOn w:val="CommentText"/>
    <w:next w:val="CommentText"/>
    <w:semiHidden/>
    <w:rsid w:val="00694D1A"/>
    <w:rPr>
      <w:b/>
      <w:bCs/>
    </w:rPr>
  </w:style>
  <w:style w:type="paragraph" w:styleId="CommentText">
    <w:name w:val="annotation text"/>
    <w:basedOn w:val="Normal"/>
    <w:link w:val="CommentTextChar"/>
    <w:rsid w:val="00694D1A"/>
    <w:pPr>
      <w:tabs>
        <w:tab w:val="left" w:pos="416"/>
        <w:tab w:val="left" w:pos="582"/>
      </w:tabs>
    </w:pPr>
    <w:rPr>
      <w:sz w:val="20"/>
      <w:szCs w:val="20"/>
      <w:lang w:val="x-none"/>
    </w:rPr>
  </w:style>
  <w:style w:type="paragraph" w:customStyle="1" w:styleId="summarybox">
    <w:name w:val="summary box"/>
    <w:basedOn w:val="Normal"/>
    <w:link w:val="summaryboxChar"/>
    <w:autoRedefine/>
    <w:rsid w:val="00F777F1"/>
    <w:pPr>
      <w:pBdr>
        <w:top w:val="single" w:sz="12" w:space="10" w:color="auto"/>
        <w:left w:val="single" w:sz="12" w:space="10" w:color="auto"/>
        <w:bottom w:val="single" w:sz="12" w:space="10" w:color="auto"/>
        <w:right w:val="single" w:sz="12" w:space="10" w:color="auto"/>
      </w:pBdr>
      <w:tabs>
        <w:tab w:val="left" w:pos="416"/>
        <w:tab w:val="left" w:pos="582"/>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uto"/>
      <w:jc w:val="center"/>
    </w:pPr>
    <w:rPr>
      <w:rFonts w:ascii="Gill Sans MT" w:hAnsi="Gill Sans MT"/>
      <w:szCs w:val="22"/>
    </w:rPr>
  </w:style>
  <w:style w:type="character" w:customStyle="1" w:styleId="summaryboxChar">
    <w:name w:val="summary box Char"/>
    <w:link w:val="summarybox"/>
    <w:rsid w:val="00F777F1"/>
    <w:rPr>
      <w:rFonts w:ascii="Gill Sans MT" w:hAnsi="Gill Sans MT"/>
      <w:sz w:val="22"/>
      <w:szCs w:val="22"/>
      <w:lang w:val="en-AU" w:eastAsia="en-US" w:bidi="ar-SA"/>
    </w:rPr>
  </w:style>
  <w:style w:type="paragraph" w:customStyle="1" w:styleId="Default">
    <w:name w:val="Default"/>
    <w:rsid w:val="00694D1A"/>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semiHidden/>
    <w:rsid w:val="00694D1A"/>
    <w:rPr>
      <w:rFonts w:ascii="Tahoma" w:hAnsi="Tahoma" w:cs="Tahoma"/>
      <w:sz w:val="16"/>
      <w:szCs w:val="16"/>
    </w:rPr>
  </w:style>
  <w:style w:type="character" w:styleId="PageNumber">
    <w:name w:val="page number"/>
    <w:basedOn w:val="DefaultParagraphFont"/>
    <w:semiHidden/>
    <w:rsid w:val="00694D1A"/>
  </w:style>
  <w:style w:type="paragraph" w:styleId="TableofFigures">
    <w:name w:val="table of figures"/>
    <w:basedOn w:val="Normal"/>
    <w:next w:val="Normal"/>
    <w:link w:val="TableofFiguresChar"/>
    <w:uiPriority w:val="99"/>
    <w:rsid w:val="00362526"/>
    <w:pPr>
      <w:tabs>
        <w:tab w:val="left" w:pos="1701"/>
        <w:tab w:val="right" w:leader="dot" w:pos="8779"/>
      </w:tabs>
      <w:spacing w:before="40" w:after="120" w:line="240" w:lineRule="auto"/>
      <w:ind w:left="1134" w:right="567" w:hanging="1134"/>
    </w:pPr>
    <w:rPr>
      <w:noProof/>
      <w:sz w:val="20"/>
      <w:lang w:val="x-none"/>
    </w:rPr>
  </w:style>
  <w:style w:type="paragraph" w:styleId="BodyTextIndent2">
    <w:name w:val="Body Text Indent 2"/>
    <w:basedOn w:val="Normal"/>
    <w:semiHidden/>
    <w:rsid w:val="00694D1A"/>
    <w:pPr>
      <w:spacing w:line="240" w:lineRule="auto"/>
      <w:ind w:left="-108"/>
    </w:pPr>
    <w:rPr>
      <w:sz w:val="18"/>
      <w:szCs w:val="20"/>
    </w:rPr>
  </w:style>
  <w:style w:type="character" w:styleId="FollowedHyperlink">
    <w:name w:val="FollowedHyperlink"/>
    <w:semiHidden/>
    <w:rsid w:val="00694D1A"/>
    <w:rPr>
      <w:color w:val="800080"/>
      <w:u w:val="single"/>
    </w:rPr>
  </w:style>
  <w:style w:type="character" w:customStyle="1" w:styleId="BodyTextIndent2Char">
    <w:name w:val="Body Text Indent 2 Char"/>
    <w:semiHidden/>
    <w:rsid w:val="00694D1A"/>
    <w:rPr>
      <w:sz w:val="18"/>
      <w:lang w:val="en-AU"/>
    </w:rPr>
  </w:style>
  <w:style w:type="paragraph" w:styleId="ListParagraph">
    <w:name w:val="List Paragraph"/>
    <w:basedOn w:val="Normal"/>
    <w:link w:val="ListParagraphChar"/>
    <w:uiPriority w:val="99"/>
    <w:qFormat/>
    <w:rsid w:val="005232D2"/>
    <w:rPr>
      <w:lang w:val="x-none"/>
    </w:rPr>
  </w:style>
  <w:style w:type="character" w:styleId="PlaceholderText">
    <w:name w:val="Placeholder Text"/>
    <w:semiHidden/>
    <w:rsid w:val="00694D1A"/>
    <w:rPr>
      <w:color w:val="808080"/>
    </w:rPr>
  </w:style>
  <w:style w:type="table" w:styleId="TableGrid">
    <w:name w:val="Table Grid"/>
    <w:basedOn w:val="TableNormal"/>
    <w:uiPriority w:val="59"/>
    <w:rsid w:val="00404A62"/>
    <w:rPr>
      <w:rFonts w:ascii="Arial Narrow" w:hAnsi="Arial Narro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nhideWhenUsed/>
    <w:rsid w:val="00694D1A"/>
    <w:rPr>
      <w:sz w:val="16"/>
      <w:szCs w:val="16"/>
    </w:rPr>
  </w:style>
  <w:style w:type="character" w:customStyle="1" w:styleId="HeaderChar">
    <w:name w:val="Header Char"/>
    <w:semiHidden/>
    <w:rsid w:val="00694D1A"/>
    <w:rPr>
      <w:sz w:val="22"/>
      <w:szCs w:val="24"/>
      <w:lang w:val="en-AU"/>
    </w:rPr>
  </w:style>
  <w:style w:type="paragraph" w:customStyle="1" w:styleId="Mainsubtitle">
    <w:name w:val="Main subtitle"/>
    <w:basedOn w:val="Normal"/>
    <w:rsid w:val="008E5D1C"/>
    <w:pPr>
      <w:spacing w:before="480" w:after="480" w:line="240" w:lineRule="auto"/>
      <w:jc w:val="center"/>
    </w:pPr>
    <w:rPr>
      <w:rFonts w:ascii="Gill Sans MT" w:hAnsi="Gill Sans MT"/>
      <w:b/>
      <w:bCs/>
      <w:sz w:val="36"/>
      <w:szCs w:val="22"/>
    </w:rPr>
  </w:style>
  <w:style w:type="paragraph" w:customStyle="1" w:styleId="Maintitle">
    <w:name w:val="Main title"/>
    <w:basedOn w:val="Normal"/>
    <w:rsid w:val="008E5D1C"/>
    <w:pPr>
      <w:spacing w:before="1920" w:after="480" w:line="240" w:lineRule="auto"/>
      <w:jc w:val="center"/>
    </w:pPr>
    <w:rPr>
      <w:rFonts w:ascii="Gill Sans MT" w:eastAsia="Batang" w:hAnsi="Gill Sans MT"/>
      <w:b/>
      <w:bCs/>
      <w:sz w:val="56"/>
      <w:szCs w:val="56"/>
    </w:rPr>
  </w:style>
  <w:style w:type="paragraph" w:customStyle="1" w:styleId="Mainsub2">
    <w:name w:val="Main sub 2"/>
    <w:basedOn w:val="Normal"/>
    <w:rsid w:val="008E5D1C"/>
    <w:pPr>
      <w:spacing w:line="240" w:lineRule="auto"/>
      <w:ind w:right="149"/>
      <w:jc w:val="center"/>
    </w:pPr>
    <w:rPr>
      <w:rFonts w:ascii="Gill Sans MT" w:hAnsi="Gill Sans MT"/>
      <w:sz w:val="28"/>
      <w:szCs w:val="22"/>
    </w:rPr>
  </w:style>
  <w:style w:type="paragraph" w:customStyle="1" w:styleId="Mainsub3">
    <w:name w:val="Main sub 3"/>
    <w:basedOn w:val="Normal"/>
    <w:rsid w:val="008E5D1C"/>
    <w:pPr>
      <w:spacing w:after="120" w:line="240" w:lineRule="auto"/>
      <w:ind w:right="147"/>
    </w:pPr>
    <w:rPr>
      <w:rFonts w:ascii="Gill Sans MT" w:hAnsi="Gill Sans MT"/>
      <w:b/>
      <w:sz w:val="20"/>
      <w:szCs w:val="20"/>
    </w:rPr>
  </w:style>
  <w:style w:type="paragraph" w:customStyle="1" w:styleId="Headers">
    <w:name w:val="Headers"/>
    <w:basedOn w:val="Normal"/>
    <w:rsid w:val="008E5D1C"/>
    <w:pPr>
      <w:pBdr>
        <w:bottom w:val="single" w:sz="4" w:space="1" w:color="auto"/>
      </w:pBdr>
      <w:spacing w:before="240" w:after="60"/>
      <w:jc w:val="right"/>
    </w:pPr>
    <w:rPr>
      <w:rFonts w:ascii="Gill Sans MT" w:hAnsi="Gill Sans MT"/>
      <w:smallCaps/>
      <w:sz w:val="18"/>
      <w:szCs w:val="18"/>
    </w:rPr>
  </w:style>
  <w:style w:type="paragraph" w:customStyle="1" w:styleId="Heading1a">
    <w:name w:val="Heading 1a"/>
    <w:basedOn w:val="Normal"/>
    <w:rsid w:val="008E5D1C"/>
    <w:pPr>
      <w:spacing w:after="360" w:line="240" w:lineRule="auto"/>
    </w:pPr>
    <w:rPr>
      <w:rFonts w:ascii="Gill Sans MT" w:hAnsi="Gill Sans MT"/>
      <w:b/>
      <w:sz w:val="32"/>
      <w:szCs w:val="22"/>
    </w:rPr>
  </w:style>
  <w:style w:type="paragraph" w:customStyle="1" w:styleId="Footers">
    <w:name w:val="Footers"/>
    <w:basedOn w:val="Footer"/>
    <w:link w:val="FootersChar"/>
    <w:rsid w:val="008E5D1C"/>
    <w:pPr>
      <w:pBdr>
        <w:top w:val="single" w:sz="4" w:space="1" w:color="auto"/>
      </w:pBdr>
      <w:tabs>
        <w:tab w:val="clear" w:pos="8306"/>
        <w:tab w:val="right" w:pos="9000"/>
      </w:tabs>
      <w:spacing w:before="60" w:line="240" w:lineRule="auto"/>
    </w:pPr>
    <w:rPr>
      <w:rFonts w:ascii="Gill Sans MT" w:hAnsi="Gill Sans MT"/>
      <w:smallCaps/>
      <w:sz w:val="18"/>
      <w:szCs w:val="18"/>
    </w:rPr>
  </w:style>
  <w:style w:type="character" w:customStyle="1" w:styleId="FootersChar">
    <w:name w:val="Footers Char"/>
    <w:link w:val="Footers"/>
    <w:rsid w:val="008E5D1C"/>
    <w:rPr>
      <w:rFonts w:ascii="Gill Sans MT" w:hAnsi="Gill Sans MT"/>
      <w:smallCaps/>
      <w:sz w:val="18"/>
      <w:szCs w:val="18"/>
      <w:lang w:val="en-AU" w:eastAsia="en-US" w:bidi="ar-SA"/>
    </w:rPr>
  </w:style>
  <w:style w:type="paragraph" w:customStyle="1" w:styleId="Tableheading">
    <w:name w:val="Table heading"/>
    <w:basedOn w:val="Normal"/>
    <w:link w:val="TableheadingChar"/>
    <w:rsid w:val="00A0146B"/>
    <w:pPr>
      <w:keepNext/>
      <w:spacing w:before="60" w:after="60" w:line="240" w:lineRule="auto"/>
    </w:pPr>
    <w:rPr>
      <w:rFonts w:ascii="Arial Narrow" w:hAnsi="Arial Narrow"/>
      <w:b/>
      <w:sz w:val="20"/>
      <w:szCs w:val="20"/>
    </w:rPr>
  </w:style>
  <w:style w:type="character" w:customStyle="1" w:styleId="TableheadingChar">
    <w:name w:val="Table heading Char"/>
    <w:link w:val="Tableheading"/>
    <w:rsid w:val="00A0146B"/>
    <w:rPr>
      <w:rFonts w:ascii="Arial Narrow" w:hAnsi="Arial Narrow"/>
      <w:b/>
      <w:lang w:val="en-AU" w:eastAsia="en-US" w:bidi="ar-SA"/>
    </w:rPr>
  </w:style>
  <w:style w:type="paragraph" w:customStyle="1" w:styleId="Heading3a">
    <w:name w:val="Heading3a"/>
    <w:basedOn w:val="Heading30"/>
    <w:rsid w:val="00F4699A"/>
    <w:rPr>
      <w:b w:val="0"/>
      <w:szCs w:val="24"/>
    </w:rPr>
  </w:style>
  <w:style w:type="paragraph" w:customStyle="1" w:styleId="Tablecaption">
    <w:name w:val="Table caption"/>
    <w:basedOn w:val="Caption"/>
    <w:rsid w:val="008E5D1C"/>
  </w:style>
  <w:style w:type="paragraph" w:customStyle="1" w:styleId="Figurecaption">
    <w:name w:val="Figure caption"/>
    <w:basedOn w:val="Caption"/>
    <w:link w:val="FigurecaptionChar"/>
    <w:rsid w:val="008E5D1C"/>
    <w:pPr>
      <w:keepLines/>
      <w:spacing w:after="480"/>
    </w:pPr>
    <w:rPr>
      <w:lang w:val="en-AU"/>
    </w:rPr>
  </w:style>
  <w:style w:type="character" w:customStyle="1" w:styleId="FigurecaptionChar">
    <w:name w:val="Figure caption Char"/>
    <w:link w:val="Figurecaption"/>
    <w:rsid w:val="008E5D1C"/>
    <w:rPr>
      <w:rFonts w:ascii="Gill Sans MT" w:hAnsi="Gill Sans MT"/>
      <w:b/>
      <w:bCs/>
      <w:lang w:val="en-AU" w:eastAsia="en-US" w:bidi="ar-SA"/>
    </w:rPr>
  </w:style>
  <w:style w:type="character" w:customStyle="1" w:styleId="Heading5Char">
    <w:name w:val="Heading 5 Char"/>
    <w:aliases w:val=" DO NOT USE Char"/>
    <w:link w:val="Heading5"/>
    <w:rsid w:val="006046ED"/>
    <w:rPr>
      <w:rFonts w:ascii="Californian FB" w:hAnsi="Californian FB"/>
      <w:b/>
      <w:bCs/>
      <w:lang w:val="en-US" w:eastAsia="en-US" w:bidi="ar-SA"/>
    </w:rPr>
  </w:style>
  <w:style w:type="paragraph" w:customStyle="1" w:styleId="Bulletedbodytext">
    <w:name w:val="Bulleted body text"/>
    <w:basedOn w:val="BodyText"/>
    <w:qFormat/>
    <w:rsid w:val="00123496"/>
    <w:pPr>
      <w:numPr>
        <w:numId w:val="15"/>
      </w:numPr>
      <w:autoSpaceDE/>
      <w:autoSpaceDN/>
      <w:adjustRightInd/>
      <w:spacing w:after="120"/>
      <w:ind w:left="714" w:hanging="357"/>
    </w:pPr>
    <w:rPr>
      <w:rFonts w:ascii="Californian FB" w:hAnsi="Californian FB" w:cs="Arial"/>
      <w:sz w:val="22"/>
      <w:szCs w:val="24"/>
    </w:rPr>
  </w:style>
  <w:style w:type="paragraph" w:styleId="Revision">
    <w:name w:val="Revision"/>
    <w:hidden/>
    <w:uiPriority w:val="99"/>
    <w:semiHidden/>
    <w:rsid w:val="008578E0"/>
    <w:rPr>
      <w:rFonts w:ascii="Californian FB" w:hAnsi="Californian FB"/>
      <w:sz w:val="22"/>
      <w:szCs w:val="24"/>
      <w:lang w:eastAsia="en-US"/>
    </w:rPr>
  </w:style>
  <w:style w:type="paragraph" w:customStyle="1" w:styleId="Table-bodytext">
    <w:name w:val="Table - body text"/>
    <w:basedOn w:val="Normal"/>
    <w:link w:val="Table-bodytextChar"/>
    <w:rsid w:val="004F5663"/>
    <w:pPr>
      <w:spacing w:after="0" w:line="240" w:lineRule="auto"/>
      <w:jc w:val="center"/>
    </w:pPr>
    <w:rPr>
      <w:rFonts w:ascii="Times New Roman" w:hAnsi="Times New Roman" w:cs="Arial"/>
      <w:sz w:val="20"/>
    </w:rPr>
  </w:style>
  <w:style w:type="character" w:customStyle="1" w:styleId="Table-bodytextChar">
    <w:name w:val="Table - body text Char"/>
    <w:link w:val="Table-bodytext"/>
    <w:rsid w:val="004F5663"/>
    <w:rPr>
      <w:rFonts w:cs="Arial"/>
      <w:szCs w:val="24"/>
      <w:lang w:val="en-AU" w:eastAsia="en-US" w:bidi="ar-SA"/>
    </w:rPr>
  </w:style>
  <w:style w:type="paragraph" w:styleId="Quote">
    <w:name w:val="Quote"/>
    <w:basedOn w:val="Normal"/>
    <w:next w:val="Normal"/>
    <w:link w:val="QuoteChar"/>
    <w:uiPriority w:val="29"/>
    <w:qFormat/>
    <w:rsid w:val="00CB2E8F"/>
    <w:pPr>
      <w:spacing w:line="240" w:lineRule="auto"/>
      <w:ind w:left="567" w:right="566"/>
      <w:jc w:val="both"/>
    </w:pPr>
    <w:rPr>
      <w:i/>
      <w:iCs/>
      <w:color w:val="000000"/>
      <w:sz w:val="20"/>
      <w:lang w:val="x-none"/>
    </w:rPr>
  </w:style>
  <w:style w:type="character" w:customStyle="1" w:styleId="QuoteChar">
    <w:name w:val="Quote Char"/>
    <w:link w:val="Quote"/>
    <w:uiPriority w:val="29"/>
    <w:rsid w:val="00CB2E8F"/>
    <w:rPr>
      <w:rFonts w:ascii="Californian FB" w:hAnsi="Californian FB"/>
      <w:i/>
      <w:iCs/>
      <w:color w:val="000000"/>
      <w:szCs w:val="24"/>
      <w:lang w:eastAsia="en-US"/>
    </w:rPr>
  </w:style>
  <w:style w:type="paragraph" w:customStyle="1" w:styleId="StyleExecSumm">
    <w:name w:val="Style ExecSumm"/>
    <w:basedOn w:val="Normal"/>
    <w:qFormat/>
    <w:rsid w:val="00A86EF9"/>
    <w:pPr>
      <w:spacing w:line="288" w:lineRule="auto"/>
      <w:jc w:val="both"/>
    </w:pPr>
  </w:style>
  <w:style w:type="character" w:customStyle="1" w:styleId="highlight">
    <w:name w:val="highlight"/>
    <w:rsid w:val="002D755B"/>
  </w:style>
  <w:style w:type="character" w:customStyle="1" w:styleId="BodyTextChar1">
    <w:name w:val="Body Text Char1"/>
    <w:aliases w:val="Body Text Char Char"/>
    <w:link w:val="BodyText"/>
    <w:semiHidden/>
    <w:rsid w:val="00EB3738"/>
    <w:rPr>
      <w:rFonts w:ascii="TimesNewRomanPSMT" w:hAnsi="TimesNewRomanPSMT"/>
      <w:lang w:val="en-US" w:eastAsia="en-US"/>
    </w:rPr>
  </w:style>
  <w:style w:type="character" w:customStyle="1" w:styleId="Heading3Char">
    <w:name w:val="Heading3 Char"/>
    <w:link w:val="Heading30"/>
    <w:rsid w:val="0054583C"/>
    <w:rPr>
      <w:rFonts w:ascii="Gill Sans MT" w:hAnsi="Gill Sans MT"/>
      <w:b/>
      <w:bCs/>
      <w:sz w:val="28"/>
      <w:szCs w:val="32"/>
      <w:lang w:eastAsia="en-US"/>
    </w:rPr>
  </w:style>
  <w:style w:type="character" w:customStyle="1" w:styleId="Heading4Char">
    <w:name w:val="Heading4 Char"/>
    <w:link w:val="Heading40"/>
    <w:rsid w:val="002741E1"/>
    <w:rPr>
      <w:rFonts w:ascii="Gill Sans MT" w:hAnsi="Gill Sans MT"/>
      <w:b/>
      <w:bCs/>
      <w:i/>
      <w:sz w:val="22"/>
      <w:szCs w:val="32"/>
      <w:lang w:eastAsia="en-US"/>
    </w:rPr>
  </w:style>
  <w:style w:type="character" w:customStyle="1" w:styleId="BodyTextIndentChar">
    <w:name w:val="Body Text Indent Char"/>
    <w:link w:val="BodyTextIndent"/>
    <w:semiHidden/>
    <w:rsid w:val="00EB3738"/>
    <w:rPr>
      <w:rFonts w:ascii="Californian FB" w:hAnsi="Californian FB"/>
      <w:sz w:val="22"/>
      <w:szCs w:val="24"/>
      <w:lang w:eastAsia="en-US"/>
    </w:rPr>
  </w:style>
  <w:style w:type="character" w:customStyle="1" w:styleId="CommentTextChar">
    <w:name w:val="Comment Text Char"/>
    <w:link w:val="CommentText"/>
    <w:rsid w:val="00760386"/>
    <w:rPr>
      <w:rFonts w:ascii="Californian FB" w:hAnsi="Californian FB"/>
      <w:lang w:eastAsia="en-US"/>
    </w:rPr>
  </w:style>
  <w:style w:type="paragraph" w:customStyle="1" w:styleId="Listoftables">
    <w:name w:val="List of tables"/>
    <w:basedOn w:val="TableofFigures"/>
    <w:link w:val="ListoftablesChar"/>
    <w:qFormat/>
    <w:rsid w:val="007A3C07"/>
    <w:rPr>
      <w:rFonts w:ascii="Arial Narrow" w:hAnsi="Arial Narrow"/>
      <w:sz w:val="22"/>
    </w:rPr>
  </w:style>
  <w:style w:type="character" w:customStyle="1" w:styleId="TableofFiguresChar">
    <w:name w:val="Table of Figures Char"/>
    <w:link w:val="TableofFigures"/>
    <w:uiPriority w:val="99"/>
    <w:rsid w:val="007A3C07"/>
    <w:rPr>
      <w:rFonts w:ascii="Californian FB" w:hAnsi="Californian FB" w:cs="Arial"/>
      <w:noProof/>
      <w:szCs w:val="24"/>
      <w:lang w:eastAsia="en-US"/>
    </w:rPr>
  </w:style>
  <w:style w:type="character" w:customStyle="1" w:styleId="ListoftablesChar">
    <w:name w:val="List of tables Char"/>
    <w:link w:val="Listoftables"/>
    <w:rsid w:val="007A3C07"/>
    <w:rPr>
      <w:rFonts w:ascii="Arial Narrow" w:hAnsi="Arial Narrow" w:cs="Arial"/>
      <w:noProof/>
      <w:sz w:val="22"/>
      <w:szCs w:val="24"/>
      <w:lang w:eastAsia="en-US"/>
    </w:rPr>
  </w:style>
  <w:style w:type="character" w:customStyle="1" w:styleId="ListParagraphChar">
    <w:name w:val="List Paragraph Char"/>
    <w:link w:val="ListParagraph"/>
    <w:uiPriority w:val="99"/>
    <w:rsid w:val="003E2EC5"/>
    <w:rPr>
      <w:rFonts w:ascii="Californian FB" w:hAnsi="Californian FB"/>
      <w:sz w:val="22"/>
      <w:szCs w:val="24"/>
      <w:lang w:eastAsia="en-US"/>
    </w:rPr>
  </w:style>
  <w:style w:type="character" w:styleId="Strong">
    <w:name w:val="Strong"/>
    <w:uiPriority w:val="22"/>
    <w:qFormat/>
    <w:rsid w:val="00315D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qFormat="1"/>
    <w:lsdException w:name="annotation text" w:uiPriority="0"/>
    <w:lsdException w:name="header" w:uiPriority="0"/>
    <w:lsdException w:name="caption" w:semiHidden="0" w:uiPriority="35"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FAE"/>
    <w:pPr>
      <w:spacing w:after="240" w:line="360" w:lineRule="auto"/>
    </w:pPr>
    <w:rPr>
      <w:rFonts w:ascii="Californian FB" w:hAnsi="Californian FB"/>
      <w:sz w:val="22"/>
      <w:szCs w:val="24"/>
      <w:lang w:eastAsia="en-US"/>
    </w:rPr>
  </w:style>
  <w:style w:type="paragraph" w:styleId="Heading1">
    <w:name w:val="heading 1"/>
    <w:basedOn w:val="Normal"/>
    <w:next w:val="Normal"/>
    <w:link w:val="Heading1Char"/>
    <w:qFormat/>
    <w:rsid w:val="00881BD2"/>
    <w:pPr>
      <w:keepNext/>
      <w:pageBreakBefore/>
      <w:tabs>
        <w:tab w:val="left" w:pos="851"/>
      </w:tabs>
      <w:spacing w:before="240" w:after="360" w:line="240" w:lineRule="auto"/>
      <w:ind w:left="851" w:hanging="851"/>
      <w:outlineLvl w:val="0"/>
    </w:pPr>
    <w:rPr>
      <w:rFonts w:ascii="Gill Sans MT" w:hAnsi="Gill Sans MT"/>
      <w:b/>
      <w:bCs/>
      <w:sz w:val="40"/>
      <w:szCs w:val="40"/>
      <w:lang w:val="x-none"/>
    </w:rPr>
  </w:style>
  <w:style w:type="paragraph" w:styleId="Heading2">
    <w:name w:val="heading 2"/>
    <w:aliases w:val="H2,Follow Up Question"/>
    <w:basedOn w:val="Heading1"/>
    <w:next w:val="Normal"/>
    <w:rsid w:val="005D7275"/>
    <w:pPr>
      <w:outlineLvl w:val="1"/>
    </w:pPr>
  </w:style>
  <w:style w:type="paragraph" w:styleId="Heading3">
    <w:name w:val="heading 3"/>
    <w:aliases w:val="H3"/>
    <w:basedOn w:val="Normal"/>
    <w:next w:val="Normal"/>
    <w:rsid w:val="00F4699A"/>
    <w:pPr>
      <w:keepNext/>
      <w:numPr>
        <w:ilvl w:val="2"/>
        <w:numId w:val="1"/>
      </w:numPr>
      <w:autoSpaceDE w:val="0"/>
      <w:autoSpaceDN w:val="0"/>
      <w:adjustRightInd w:val="0"/>
      <w:spacing w:after="120" w:line="240" w:lineRule="auto"/>
      <w:ind w:left="993" w:hanging="1173"/>
      <w:outlineLvl w:val="2"/>
    </w:pPr>
    <w:rPr>
      <w:rFonts w:ascii="Gill Sans MT" w:hAnsi="Gill Sans MT"/>
      <w:b/>
      <w:bCs/>
      <w:sz w:val="32"/>
      <w:szCs w:val="18"/>
    </w:rPr>
  </w:style>
  <w:style w:type="paragraph" w:styleId="Heading4">
    <w:name w:val="heading 4"/>
    <w:aliases w:val="H4"/>
    <w:basedOn w:val="Normal"/>
    <w:next w:val="Normal"/>
    <w:rsid w:val="00742119"/>
    <w:pPr>
      <w:keepNext/>
      <w:keepLines/>
      <w:autoSpaceDE w:val="0"/>
      <w:autoSpaceDN w:val="0"/>
      <w:adjustRightInd w:val="0"/>
      <w:spacing w:after="120" w:line="240" w:lineRule="auto"/>
      <w:outlineLvl w:val="3"/>
    </w:pPr>
    <w:rPr>
      <w:b/>
      <w:bCs/>
      <w:sz w:val="24"/>
    </w:rPr>
  </w:style>
  <w:style w:type="paragraph" w:styleId="Heading5">
    <w:name w:val="heading 5"/>
    <w:aliases w:val=" DO NOT USE"/>
    <w:basedOn w:val="Normal"/>
    <w:next w:val="Normal"/>
    <w:link w:val="Heading5Char"/>
    <w:rsid w:val="00694D1A"/>
    <w:pPr>
      <w:keepNext/>
      <w:autoSpaceDE w:val="0"/>
      <w:autoSpaceDN w:val="0"/>
      <w:adjustRightInd w:val="0"/>
      <w:outlineLvl w:val="4"/>
    </w:pPr>
    <w:rPr>
      <w:b/>
      <w:bCs/>
      <w:sz w:val="20"/>
      <w:szCs w:val="20"/>
      <w:lang w:val="en-US"/>
    </w:rPr>
  </w:style>
  <w:style w:type="paragraph" w:styleId="Heading6">
    <w:name w:val="heading 6"/>
    <w:aliases w:val="DO NOT USE,DO NOT USE4"/>
    <w:basedOn w:val="Normal"/>
    <w:next w:val="Normal"/>
    <w:rsid w:val="00694D1A"/>
    <w:pPr>
      <w:keepNext/>
      <w:outlineLvl w:val="5"/>
    </w:pPr>
    <w:rPr>
      <w:b/>
      <w:bCs/>
      <w:lang w:val="en-US"/>
    </w:rPr>
  </w:style>
  <w:style w:type="paragraph" w:styleId="Heading7">
    <w:name w:val="heading 7"/>
    <w:basedOn w:val="Normal"/>
    <w:next w:val="Normal"/>
    <w:rsid w:val="00694D1A"/>
    <w:pPr>
      <w:keepNext/>
      <w:outlineLvl w:val="6"/>
    </w:pPr>
    <w:rPr>
      <w:rFonts w:ascii="Garamond" w:hAnsi="Garamond"/>
      <w:b/>
      <w:iCs/>
      <w:smallCaps/>
      <w:sz w:val="28"/>
      <w:szCs w:val="28"/>
    </w:rPr>
  </w:style>
  <w:style w:type="paragraph" w:styleId="Heading8">
    <w:name w:val="heading 8"/>
    <w:basedOn w:val="Normal"/>
    <w:next w:val="Normal"/>
    <w:rsid w:val="007C08A0"/>
    <w:pPr>
      <w:keepNext/>
      <w:tabs>
        <w:tab w:val="left" w:pos="416"/>
      </w:tabs>
      <w:spacing w:line="240" w:lineRule="auto"/>
      <w:outlineLvl w:val="7"/>
    </w:pPr>
    <w:rPr>
      <w:rFonts w:ascii="Garamond" w:hAnsi="Garamond"/>
      <w:b/>
      <w:smallCaps/>
      <w:sz w:val="40"/>
      <w:szCs w:val="40"/>
    </w:rPr>
  </w:style>
  <w:style w:type="paragraph" w:styleId="Heading9">
    <w:name w:val="heading 9"/>
    <w:aliases w:val="cover page title"/>
    <w:basedOn w:val="Normal"/>
    <w:next w:val="Normal"/>
    <w:qFormat/>
    <w:rsid w:val="00694D1A"/>
    <w:pPr>
      <w:tabs>
        <w:tab w:val="left" w:pos="416"/>
        <w:tab w:val="left" w:pos="582"/>
      </w:tabs>
      <w:spacing w:before="240" w:after="60"/>
      <w:outlineLvl w:val="8"/>
    </w:pPr>
    <w:rPr>
      <w:rFonts w:ascii="Arial" w:hAnsi="Arial" w:cs="Arial"/>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81BD2"/>
    <w:rPr>
      <w:rFonts w:ascii="Gill Sans MT" w:hAnsi="Gill Sans MT"/>
      <w:b/>
      <w:bCs/>
      <w:sz w:val="40"/>
      <w:szCs w:val="40"/>
      <w:lang w:eastAsia="en-US"/>
    </w:rPr>
  </w:style>
  <w:style w:type="paragraph" w:styleId="Caption">
    <w:name w:val="caption"/>
    <w:basedOn w:val="Normal"/>
    <w:next w:val="Normal"/>
    <w:link w:val="CaptionChar"/>
    <w:uiPriority w:val="99"/>
    <w:qFormat/>
    <w:rsid w:val="001F62C3"/>
    <w:pPr>
      <w:keepNext/>
      <w:spacing w:before="120" w:after="120" w:line="240" w:lineRule="auto"/>
      <w:ind w:left="1077" w:hanging="1077"/>
    </w:pPr>
    <w:rPr>
      <w:rFonts w:ascii="Gill Sans MT" w:hAnsi="Gill Sans MT"/>
      <w:b/>
      <w:bCs/>
      <w:sz w:val="20"/>
      <w:szCs w:val="20"/>
      <w:lang w:val="x-none"/>
    </w:rPr>
  </w:style>
  <w:style w:type="character" w:customStyle="1" w:styleId="CaptionChar">
    <w:name w:val="Caption Char"/>
    <w:link w:val="Caption"/>
    <w:uiPriority w:val="99"/>
    <w:rsid w:val="001F62C3"/>
    <w:rPr>
      <w:rFonts w:ascii="Gill Sans MT" w:hAnsi="Gill Sans MT"/>
      <w:b/>
      <w:bCs/>
      <w:lang w:eastAsia="en-US"/>
    </w:rPr>
  </w:style>
  <w:style w:type="paragraph" w:styleId="BodyText">
    <w:name w:val="Body Text"/>
    <w:aliases w:val="Body Text Char"/>
    <w:basedOn w:val="Normal"/>
    <w:link w:val="BodyTextChar1"/>
    <w:semiHidden/>
    <w:rsid w:val="00694D1A"/>
    <w:pPr>
      <w:autoSpaceDE w:val="0"/>
      <w:autoSpaceDN w:val="0"/>
      <w:adjustRightInd w:val="0"/>
    </w:pPr>
    <w:rPr>
      <w:rFonts w:ascii="TimesNewRomanPSMT" w:hAnsi="TimesNewRomanPSMT"/>
      <w:sz w:val="20"/>
      <w:szCs w:val="20"/>
      <w:lang w:val="en-US"/>
    </w:rPr>
  </w:style>
  <w:style w:type="paragraph" w:styleId="DocumentMap">
    <w:name w:val="Document Map"/>
    <w:basedOn w:val="Normal"/>
    <w:semiHidden/>
    <w:rsid w:val="00694D1A"/>
    <w:pPr>
      <w:shd w:val="clear" w:color="auto" w:fill="000080"/>
    </w:pPr>
    <w:rPr>
      <w:rFonts w:ascii="Tahoma" w:hAnsi="Tahoma" w:cs="Tahoma"/>
    </w:rPr>
  </w:style>
  <w:style w:type="paragraph" w:customStyle="1" w:styleId="Heading50">
    <w:name w:val="Heading5"/>
    <w:basedOn w:val="Heading40"/>
    <w:qFormat/>
    <w:rsid w:val="0023269B"/>
    <w:pPr>
      <w:spacing w:line="288" w:lineRule="auto"/>
      <w:outlineLvl w:val="4"/>
    </w:pPr>
    <w:rPr>
      <w:i w:val="0"/>
    </w:rPr>
  </w:style>
  <w:style w:type="paragraph" w:customStyle="1" w:styleId="Heading40">
    <w:name w:val="Heading4"/>
    <w:basedOn w:val="Heading30"/>
    <w:next w:val="Normal"/>
    <w:link w:val="Heading4Char"/>
    <w:qFormat/>
    <w:rsid w:val="002741E1"/>
    <w:pPr>
      <w:spacing w:after="120"/>
      <w:ind w:left="0" w:firstLine="0"/>
      <w:outlineLvl w:val="3"/>
    </w:pPr>
    <w:rPr>
      <w:i/>
      <w:sz w:val="22"/>
    </w:rPr>
  </w:style>
  <w:style w:type="paragraph" w:customStyle="1" w:styleId="Heading30">
    <w:name w:val="Heading3"/>
    <w:basedOn w:val="Heading20"/>
    <w:next w:val="Normal"/>
    <w:link w:val="Heading3Char"/>
    <w:qFormat/>
    <w:rsid w:val="0054583C"/>
    <w:pPr>
      <w:spacing w:after="240"/>
      <w:outlineLvl w:val="2"/>
    </w:pPr>
    <w:rPr>
      <w:sz w:val="28"/>
    </w:rPr>
  </w:style>
  <w:style w:type="paragraph" w:customStyle="1" w:styleId="Heading20">
    <w:name w:val="Heading2"/>
    <w:basedOn w:val="Heading1"/>
    <w:next w:val="Normal"/>
    <w:link w:val="Heading2Char"/>
    <w:qFormat/>
    <w:rsid w:val="00136D50"/>
    <w:pPr>
      <w:pageBreakBefore w:val="0"/>
      <w:outlineLvl w:val="1"/>
    </w:pPr>
    <w:rPr>
      <w:sz w:val="32"/>
      <w:szCs w:val="32"/>
    </w:rPr>
  </w:style>
  <w:style w:type="character" w:customStyle="1" w:styleId="Heading2Char">
    <w:name w:val="Heading2 Char"/>
    <w:link w:val="Heading20"/>
    <w:rsid w:val="00136D50"/>
    <w:rPr>
      <w:rFonts w:ascii="Gill Sans MT" w:hAnsi="Gill Sans MT"/>
      <w:b/>
      <w:bCs/>
      <w:sz w:val="32"/>
      <w:szCs w:val="32"/>
      <w:lang w:eastAsia="en-US"/>
    </w:rPr>
  </w:style>
  <w:style w:type="paragraph" w:customStyle="1" w:styleId="Tabletext">
    <w:name w:val="Table text"/>
    <w:basedOn w:val="Normal"/>
    <w:qFormat/>
    <w:rsid w:val="00623290"/>
    <w:pPr>
      <w:keepNext/>
      <w:spacing w:before="60" w:after="40" w:line="240" w:lineRule="auto"/>
    </w:pPr>
    <w:rPr>
      <w:rFonts w:ascii="Arial Narrow" w:hAnsi="Arial Narrow"/>
      <w:sz w:val="20"/>
      <w:szCs w:val="20"/>
    </w:rPr>
  </w:style>
  <w:style w:type="paragraph" w:styleId="BodyText2">
    <w:name w:val="Body Text 2"/>
    <w:basedOn w:val="Normal"/>
    <w:semiHidden/>
    <w:rsid w:val="00694D1A"/>
    <w:rPr>
      <w:b/>
      <w:bCs/>
      <w:lang w:val="en-US"/>
    </w:rPr>
  </w:style>
  <w:style w:type="paragraph" w:styleId="BodyText3">
    <w:name w:val="Body Text 3"/>
    <w:basedOn w:val="Normal"/>
    <w:semiHidden/>
    <w:rsid w:val="00694D1A"/>
    <w:rPr>
      <w:rFonts w:ascii="Verdana" w:hAnsi="Verdana" w:cs="Arial"/>
      <w:b/>
      <w:bCs/>
      <w:sz w:val="18"/>
      <w:szCs w:val="18"/>
      <w:lang w:val="en-GB"/>
    </w:rPr>
  </w:style>
  <w:style w:type="character" w:styleId="EndnoteReference">
    <w:name w:val="endnote reference"/>
    <w:semiHidden/>
    <w:rsid w:val="00694D1A"/>
    <w:rPr>
      <w:rFonts w:ascii="Verdana" w:hAnsi="Verdana"/>
      <w:sz w:val="14"/>
      <w:vertAlign w:val="superscript"/>
    </w:rPr>
  </w:style>
  <w:style w:type="paragraph" w:styleId="EndnoteText">
    <w:name w:val="endnote text"/>
    <w:basedOn w:val="Normal"/>
    <w:semiHidden/>
    <w:rsid w:val="00694D1A"/>
    <w:pPr>
      <w:overflowPunct w:val="0"/>
      <w:autoSpaceDE w:val="0"/>
      <w:autoSpaceDN w:val="0"/>
      <w:adjustRightInd w:val="0"/>
      <w:spacing w:line="240" w:lineRule="auto"/>
      <w:ind w:left="1440"/>
      <w:textAlignment w:val="baseline"/>
    </w:pPr>
    <w:rPr>
      <w:rFonts w:ascii="Verdana" w:hAnsi="Verdana"/>
      <w:sz w:val="18"/>
      <w:szCs w:val="20"/>
      <w:lang w:val="en-GB"/>
    </w:rPr>
  </w:style>
  <w:style w:type="paragraph" w:styleId="NormalWeb">
    <w:name w:val="Normal (Web)"/>
    <w:basedOn w:val="Normal"/>
    <w:uiPriority w:val="99"/>
    <w:semiHidden/>
    <w:rsid w:val="00694D1A"/>
    <w:pPr>
      <w:spacing w:before="100" w:beforeAutospacing="1" w:after="100" w:afterAutospacing="1" w:line="240" w:lineRule="auto"/>
    </w:pPr>
    <w:rPr>
      <w:rFonts w:ascii="Arial Unicode MS" w:eastAsia="Arial Unicode MS" w:hAnsi="Arial Unicode MS" w:cs="Arial Unicode MS"/>
      <w:sz w:val="24"/>
    </w:rPr>
  </w:style>
  <w:style w:type="paragraph" w:styleId="BodyTextIndent">
    <w:name w:val="Body Text Indent"/>
    <w:basedOn w:val="Normal"/>
    <w:link w:val="BodyTextIndentChar"/>
    <w:semiHidden/>
    <w:rsid w:val="00694D1A"/>
    <w:pPr>
      <w:ind w:left="720"/>
    </w:pPr>
    <w:rPr>
      <w:lang w:val="x-none"/>
    </w:rPr>
  </w:style>
  <w:style w:type="paragraph" w:styleId="FootnoteText">
    <w:name w:val="footnote text"/>
    <w:basedOn w:val="Normal"/>
    <w:semiHidden/>
    <w:qFormat/>
    <w:rsid w:val="00881BD2"/>
    <w:pPr>
      <w:spacing w:line="240" w:lineRule="auto"/>
    </w:pPr>
    <w:rPr>
      <w:sz w:val="20"/>
      <w:szCs w:val="20"/>
    </w:rPr>
  </w:style>
  <w:style w:type="character" w:styleId="FootnoteReference">
    <w:name w:val="footnote reference"/>
    <w:semiHidden/>
    <w:rsid w:val="00694D1A"/>
    <w:rPr>
      <w:vertAlign w:val="superscript"/>
    </w:rPr>
  </w:style>
  <w:style w:type="paragraph" w:styleId="TOC4">
    <w:name w:val="toc 4"/>
    <w:aliases w:val="title4"/>
    <w:basedOn w:val="Normal"/>
    <w:next w:val="Normal"/>
    <w:autoRedefine/>
    <w:semiHidden/>
    <w:rsid w:val="00694D1A"/>
    <w:pPr>
      <w:ind w:left="660"/>
    </w:pPr>
    <w:rPr>
      <w:rFonts w:ascii="Calibri" w:hAnsi="Calibri"/>
      <w:sz w:val="18"/>
      <w:szCs w:val="18"/>
    </w:rPr>
  </w:style>
  <w:style w:type="character" w:styleId="Hyperlink">
    <w:name w:val="Hyperlink"/>
    <w:uiPriority w:val="99"/>
    <w:rsid w:val="00694D1A"/>
    <w:rPr>
      <w:color w:val="000066"/>
      <w:u w:val="single"/>
      <w:shd w:val="clear" w:color="auto" w:fill="FFFFFF"/>
    </w:rPr>
  </w:style>
  <w:style w:type="paragraph" w:styleId="Header">
    <w:name w:val="header"/>
    <w:basedOn w:val="Normal"/>
    <w:semiHidden/>
    <w:rsid w:val="00BE19DF"/>
    <w:pPr>
      <w:pBdr>
        <w:bottom w:val="single" w:sz="4" w:space="1" w:color="000000"/>
      </w:pBdr>
      <w:tabs>
        <w:tab w:val="center" w:pos="4153"/>
        <w:tab w:val="right" w:pos="8306"/>
      </w:tabs>
      <w:spacing w:before="240" w:after="40" w:line="240" w:lineRule="auto"/>
      <w:jc w:val="right"/>
    </w:pPr>
    <w:rPr>
      <w:rFonts w:ascii="Franklin Gothic Medium" w:hAnsi="Franklin Gothic Medium"/>
      <w:smallCaps/>
      <w:sz w:val="18"/>
      <w:szCs w:val="18"/>
    </w:rPr>
  </w:style>
  <w:style w:type="paragraph" w:styleId="Footer">
    <w:name w:val="footer"/>
    <w:aliases w:val="Page Footer"/>
    <w:basedOn w:val="Normal"/>
    <w:link w:val="FooterChar"/>
    <w:uiPriority w:val="99"/>
    <w:rsid w:val="00694D1A"/>
    <w:pPr>
      <w:tabs>
        <w:tab w:val="center" w:pos="4153"/>
        <w:tab w:val="right" w:pos="8306"/>
      </w:tabs>
    </w:pPr>
    <w:rPr>
      <w:rFonts w:ascii="Arial Unicode MS" w:hAnsi="Arial Unicode MS"/>
    </w:rPr>
  </w:style>
  <w:style w:type="character" w:customStyle="1" w:styleId="FooterChar">
    <w:name w:val="Footer Char"/>
    <w:aliases w:val="Page Footer Char"/>
    <w:link w:val="Footer"/>
    <w:uiPriority w:val="99"/>
    <w:rsid w:val="00844317"/>
    <w:rPr>
      <w:rFonts w:ascii="Arial Unicode MS" w:hAnsi="Arial Unicode MS"/>
      <w:sz w:val="22"/>
      <w:szCs w:val="24"/>
      <w:lang w:val="en-AU" w:eastAsia="en-US" w:bidi="ar-SA"/>
    </w:rPr>
  </w:style>
  <w:style w:type="paragraph" w:customStyle="1" w:styleId="Tablenotes">
    <w:name w:val="Table notes"/>
    <w:basedOn w:val="Normal"/>
    <w:rsid w:val="003A1124"/>
    <w:pPr>
      <w:spacing w:before="40" w:after="360" w:line="240" w:lineRule="auto"/>
    </w:pPr>
    <w:rPr>
      <w:rFonts w:ascii="Arial Narrow" w:hAnsi="Arial Narrow"/>
      <w:sz w:val="16"/>
      <w:szCs w:val="22"/>
    </w:rPr>
  </w:style>
  <w:style w:type="paragraph" w:styleId="TOC1">
    <w:name w:val="toc 1"/>
    <w:basedOn w:val="Normal"/>
    <w:next w:val="Normal"/>
    <w:autoRedefine/>
    <w:uiPriority w:val="39"/>
    <w:qFormat/>
    <w:rsid w:val="004F3378"/>
    <w:pPr>
      <w:spacing w:before="120" w:after="60"/>
      <w:ind w:left="720" w:hanging="720"/>
    </w:pPr>
    <w:rPr>
      <w:rFonts w:ascii="Arial Narrow" w:hAnsi="Arial Narrow"/>
      <w:b/>
      <w:bCs/>
      <w:sz w:val="20"/>
      <w:szCs w:val="20"/>
    </w:rPr>
  </w:style>
  <w:style w:type="paragraph" w:styleId="TOC2">
    <w:name w:val="toc 2"/>
    <w:basedOn w:val="Normal"/>
    <w:next w:val="Normal"/>
    <w:autoRedefine/>
    <w:uiPriority w:val="39"/>
    <w:qFormat/>
    <w:rsid w:val="004F3378"/>
    <w:pPr>
      <w:spacing w:after="120"/>
      <w:ind w:left="221"/>
    </w:pPr>
    <w:rPr>
      <w:rFonts w:ascii="Arial Narrow" w:hAnsi="Arial Narrow"/>
      <w:sz w:val="20"/>
      <w:szCs w:val="20"/>
    </w:rPr>
  </w:style>
  <w:style w:type="paragraph" w:styleId="TOC3">
    <w:name w:val="toc 3"/>
    <w:basedOn w:val="Normal"/>
    <w:next w:val="Normal"/>
    <w:autoRedefine/>
    <w:uiPriority w:val="39"/>
    <w:qFormat/>
    <w:rsid w:val="004F3378"/>
    <w:pPr>
      <w:spacing w:after="120"/>
      <w:ind w:left="1162" w:hanging="720"/>
    </w:pPr>
    <w:rPr>
      <w:rFonts w:ascii="Arial Narrow" w:hAnsi="Arial Narrow"/>
      <w:iCs/>
      <w:sz w:val="20"/>
      <w:szCs w:val="20"/>
    </w:rPr>
  </w:style>
  <w:style w:type="paragraph" w:styleId="TOC5">
    <w:name w:val="toc 5"/>
    <w:basedOn w:val="Normal"/>
    <w:next w:val="Normal"/>
    <w:autoRedefine/>
    <w:semiHidden/>
    <w:rsid w:val="00694D1A"/>
    <w:pPr>
      <w:ind w:left="880"/>
    </w:pPr>
    <w:rPr>
      <w:rFonts w:ascii="Calibri" w:hAnsi="Calibri"/>
      <w:sz w:val="18"/>
      <w:szCs w:val="18"/>
    </w:rPr>
  </w:style>
  <w:style w:type="paragraph" w:styleId="TOC6">
    <w:name w:val="toc 6"/>
    <w:basedOn w:val="Normal"/>
    <w:next w:val="Normal"/>
    <w:autoRedefine/>
    <w:semiHidden/>
    <w:rsid w:val="00694D1A"/>
    <w:pPr>
      <w:ind w:left="1100"/>
    </w:pPr>
    <w:rPr>
      <w:rFonts w:ascii="Calibri" w:hAnsi="Calibri"/>
      <w:sz w:val="18"/>
      <w:szCs w:val="18"/>
    </w:rPr>
  </w:style>
  <w:style w:type="paragraph" w:styleId="TOC7">
    <w:name w:val="toc 7"/>
    <w:basedOn w:val="Normal"/>
    <w:next w:val="Normal"/>
    <w:autoRedefine/>
    <w:semiHidden/>
    <w:rsid w:val="00694D1A"/>
    <w:pPr>
      <w:ind w:left="1320"/>
    </w:pPr>
    <w:rPr>
      <w:rFonts w:ascii="Calibri" w:hAnsi="Calibri"/>
      <w:sz w:val="18"/>
      <w:szCs w:val="18"/>
    </w:rPr>
  </w:style>
  <w:style w:type="paragraph" w:styleId="TOC8">
    <w:name w:val="toc 8"/>
    <w:basedOn w:val="Normal"/>
    <w:next w:val="Normal"/>
    <w:autoRedefine/>
    <w:semiHidden/>
    <w:rsid w:val="00694D1A"/>
    <w:pPr>
      <w:ind w:left="1540"/>
    </w:pPr>
    <w:rPr>
      <w:rFonts w:ascii="Calibri" w:hAnsi="Calibri"/>
      <w:sz w:val="18"/>
      <w:szCs w:val="18"/>
    </w:rPr>
  </w:style>
  <w:style w:type="paragraph" w:styleId="TOC9">
    <w:name w:val="toc 9"/>
    <w:basedOn w:val="Normal"/>
    <w:next w:val="Normal"/>
    <w:autoRedefine/>
    <w:semiHidden/>
    <w:rsid w:val="00694D1A"/>
    <w:pPr>
      <w:ind w:left="1760"/>
    </w:pPr>
    <w:rPr>
      <w:rFonts w:ascii="Calibri" w:hAnsi="Calibri"/>
      <w:sz w:val="18"/>
      <w:szCs w:val="18"/>
    </w:rPr>
  </w:style>
  <w:style w:type="paragraph" w:styleId="ListBullet2">
    <w:name w:val="List Bullet 2"/>
    <w:basedOn w:val="Normal"/>
    <w:autoRedefine/>
    <w:semiHidden/>
    <w:rsid w:val="00694D1A"/>
    <w:pPr>
      <w:numPr>
        <w:numId w:val="2"/>
      </w:numPr>
      <w:tabs>
        <w:tab w:val="left" w:pos="416"/>
        <w:tab w:val="left" w:pos="582"/>
      </w:tabs>
    </w:pPr>
    <w:rPr>
      <w:sz w:val="24"/>
    </w:rPr>
  </w:style>
  <w:style w:type="paragraph" w:customStyle="1" w:styleId="ListBullet-Last">
    <w:name w:val="List Bullet - Last"/>
    <w:basedOn w:val="Normal"/>
    <w:rsid w:val="00404A62"/>
    <w:pPr>
      <w:numPr>
        <w:numId w:val="12"/>
      </w:numPr>
      <w:tabs>
        <w:tab w:val="left" w:pos="1152"/>
        <w:tab w:val="left" w:pos="1872"/>
      </w:tabs>
      <w:spacing w:line="288" w:lineRule="auto"/>
    </w:pPr>
    <w:rPr>
      <w:szCs w:val="20"/>
      <w:lang w:val="en-GB"/>
    </w:rPr>
  </w:style>
  <w:style w:type="paragraph" w:styleId="ListBullet">
    <w:name w:val="List Bullet"/>
    <w:basedOn w:val="Normal"/>
    <w:autoRedefine/>
    <w:semiHidden/>
    <w:rsid w:val="00694D1A"/>
    <w:pPr>
      <w:numPr>
        <w:numId w:val="3"/>
      </w:numPr>
      <w:spacing w:line="240" w:lineRule="auto"/>
    </w:pPr>
    <w:rPr>
      <w:rFonts w:ascii="Arial" w:hAnsi="Arial"/>
      <w:sz w:val="20"/>
      <w:szCs w:val="20"/>
      <w:lang w:val="en-GB"/>
    </w:rPr>
  </w:style>
  <w:style w:type="paragraph" w:styleId="ListBullet3">
    <w:name w:val="List Bullet 3"/>
    <w:basedOn w:val="Normal"/>
    <w:autoRedefine/>
    <w:semiHidden/>
    <w:rsid w:val="00694D1A"/>
    <w:pPr>
      <w:numPr>
        <w:numId w:val="4"/>
      </w:numPr>
      <w:tabs>
        <w:tab w:val="clear" w:pos="926"/>
        <w:tab w:val="num" w:pos="1080"/>
      </w:tabs>
      <w:spacing w:line="240" w:lineRule="auto"/>
      <w:ind w:left="1080"/>
    </w:pPr>
    <w:rPr>
      <w:rFonts w:ascii="Arial" w:hAnsi="Arial"/>
      <w:sz w:val="20"/>
      <w:szCs w:val="20"/>
      <w:lang w:val="en-GB"/>
    </w:rPr>
  </w:style>
  <w:style w:type="paragraph" w:styleId="ListBullet4">
    <w:name w:val="List Bullet 4"/>
    <w:basedOn w:val="Normal"/>
    <w:autoRedefine/>
    <w:semiHidden/>
    <w:rsid w:val="00694D1A"/>
    <w:pPr>
      <w:numPr>
        <w:numId w:val="5"/>
      </w:numPr>
      <w:tabs>
        <w:tab w:val="clear" w:pos="1209"/>
        <w:tab w:val="num" w:pos="1440"/>
      </w:tabs>
      <w:spacing w:line="240" w:lineRule="auto"/>
      <w:ind w:left="1440"/>
    </w:pPr>
    <w:rPr>
      <w:rFonts w:ascii="Arial" w:hAnsi="Arial"/>
      <w:sz w:val="20"/>
      <w:szCs w:val="20"/>
      <w:lang w:val="en-GB"/>
    </w:rPr>
  </w:style>
  <w:style w:type="paragraph" w:styleId="ListBullet5">
    <w:name w:val="List Bullet 5"/>
    <w:basedOn w:val="Normal"/>
    <w:autoRedefine/>
    <w:semiHidden/>
    <w:rsid w:val="00694D1A"/>
    <w:pPr>
      <w:numPr>
        <w:numId w:val="6"/>
      </w:numPr>
      <w:tabs>
        <w:tab w:val="clear" w:pos="1492"/>
        <w:tab w:val="num" w:pos="1800"/>
      </w:tabs>
      <w:spacing w:line="240" w:lineRule="auto"/>
      <w:ind w:left="1800"/>
    </w:pPr>
    <w:rPr>
      <w:rFonts w:ascii="Arial" w:hAnsi="Arial"/>
      <w:sz w:val="20"/>
      <w:szCs w:val="20"/>
      <w:lang w:val="en-GB"/>
    </w:rPr>
  </w:style>
  <w:style w:type="paragraph" w:styleId="ListNumber">
    <w:name w:val="List Number"/>
    <w:basedOn w:val="Normal"/>
    <w:semiHidden/>
    <w:rsid w:val="00694D1A"/>
    <w:pPr>
      <w:numPr>
        <w:numId w:val="7"/>
      </w:numPr>
      <w:spacing w:line="240" w:lineRule="auto"/>
    </w:pPr>
    <w:rPr>
      <w:rFonts w:ascii="Arial" w:hAnsi="Arial"/>
      <w:sz w:val="20"/>
      <w:szCs w:val="20"/>
      <w:lang w:val="en-GB"/>
    </w:rPr>
  </w:style>
  <w:style w:type="paragraph" w:styleId="ListNumber2">
    <w:name w:val="List Number 2"/>
    <w:basedOn w:val="Normal"/>
    <w:semiHidden/>
    <w:rsid w:val="00694D1A"/>
    <w:pPr>
      <w:numPr>
        <w:numId w:val="8"/>
      </w:numPr>
      <w:tabs>
        <w:tab w:val="clear" w:pos="643"/>
        <w:tab w:val="num" w:pos="720"/>
      </w:tabs>
      <w:spacing w:line="240" w:lineRule="auto"/>
      <w:ind w:left="720"/>
    </w:pPr>
    <w:rPr>
      <w:rFonts w:ascii="Arial" w:hAnsi="Arial"/>
      <w:sz w:val="20"/>
      <w:szCs w:val="20"/>
      <w:lang w:val="en-GB"/>
    </w:rPr>
  </w:style>
  <w:style w:type="paragraph" w:styleId="ListNumber3">
    <w:name w:val="List Number 3"/>
    <w:basedOn w:val="Normal"/>
    <w:semiHidden/>
    <w:rsid w:val="00694D1A"/>
    <w:pPr>
      <w:numPr>
        <w:numId w:val="9"/>
      </w:numPr>
      <w:tabs>
        <w:tab w:val="clear" w:pos="926"/>
        <w:tab w:val="num" w:pos="1080"/>
      </w:tabs>
      <w:spacing w:line="240" w:lineRule="auto"/>
      <w:ind w:left="1080"/>
    </w:pPr>
    <w:rPr>
      <w:rFonts w:ascii="Arial" w:hAnsi="Arial"/>
      <w:sz w:val="20"/>
      <w:szCs w:val="20"/>
      <w:lang w:val="en-GB"/>
    </w:rPr>
  </w:style>
  <w:style w:type="paragraph" w:styleId="ListNumber4">
    <w:name w:val="List Number 4"/>
    <w:basedOn w:val="Normal"/>
    <w:semiHidden/>
    <w:rsid w:val="00694D1A"/>
    <w:pPr>
      <w:numPr>
        <w:numId w:val="10"/>
      </w:numPr>
      <w:tabs>
        <w:tab w:val="clear" w:pos="1209"/>
        <w:tab w:val="num" w:pos="1440"/>
      </w:tabs>
      <w:spacing w:line="240" w:lineRule="auto"/>
      <w:ind w:left="1440"/>
    </w:pPr>
    <w:rPr>
      <w:rFonts w:ascii="Arial" w:hAnsi="Arial"/>
      <w:sz w:val="20"/>
      <w:szCs w:val="20"/>
      <w:lang w:val="en-GB"/>
    </w:rPr>
  </w:style>
  <w:style w:type="paragraph" w:styleId="ListNumber5">
    <w:name w:val="List Number 5"/>
    <w:basedOn w:val="Normal"/>
    <w:semiHidden/>
    <w:rsid w:val="00694D1A"/>
    <w:pPr>
      <w:numPr>
        <w:numId w:val="11"/>
      </w:numPr>
      <w:tabs>
        <w:tab w:val="num" w:pos="1800"/>
      </w:tabs>
      <w:spacing w:line="240" w:lineRule="auto"/>
      <w:ind w:left="1800"/>
    </w:pPr>
    <w:rPr>
      <w:rFonts w:ascii="Arial" w:hAnsi="Arial"/>
      <w:sz w:val="20"/>
      <w:szCs w:val="20"/>
      <w:lang w:val="en-GB"/>
    </w:rPr>
  </w:style>
  <w:style w:type="paragraph" w:styleId="BlockText">
    <w:name w:val="Block Text"/>
    <w:basedOn w:val="Normal"/>
    <w:semiHidden/>
    <w:rsid w:val="00694D1A"/>
    <w:pPr>
      <w:spacing w:line="288" w:lineRule="auto"/>
      <w:ind w:left="1152"/>
    </w:pPr>
    <w:rPr>
      <w:rFonts w:ascii="Arial" w:hAnsi="Arial"/>
      <w:sz w:val="20"/>
      <w:szCs w:val="20"/>
      <w:lang w:val="en-GB"/>
    </w:rPr>
  </w:style>
  <w:style w:type="paragraph" w:customStyle="1" w:styleId="Bullet">
    <w:name w:val="Bullet"/>
    <w:basedOn w:val="Normal"/>
    <w:rsid w:val="00404A62"/>
    <w:pPr>
      <w:numPr>
        <w:numId w:val="14"/>
      </w:numPr>
      <w:suppressAutoHyphens/>
      <w:spacing w:before="60" w:after="60" w:line="320" w:lineRule="exact"/>
    </w:pPr>
    <w:rPr>
      <w:szCs w:val="20"/>
      <w:lang w:val="en-GB"/>
    </w:rPr>
  </w:style>
  <w:style w:type="paragraph" w:customStyle="1" w:styleId="Heading2a">
    <w:name w:val="Heading2a"/>
    <w:basedOn w:val="Heading20"/>
    <w:link w:val="Heading2aChar"/>
    <w:rsid w:val="00E637EB"/>
    <w:pPr>
      <w:ind w:left="0" w:firstLine="0"/>
    </w:pPr>
  </w:style>
  <w:style w:type="character" w:customStyle="1" w:styleId="Heading2aChar">
    <w:name w:val="Heading2a Char"/>
    <w:link w:val="Heading2a"/>
    <w:rsid w:val="00E637EB"/>
    <w:rPr>
      <w:rFonts w:ascii="Gill Sans MT" w:hAnsi="Gill Sans MT"/>
      <w:b/>
      <w:bCs/>
      <w:sz w:val="32"/>
      <w:szCs w:val="32"/>
      <w:lang w:eastAsia="en-US"/>
    </w:rPr>
  </w:style>
  <w:style w:type="paragraph" w:customStyle="1" w:styleId="NumberedList">
    <w:name w:val="Numbered List"/>
    <w:rsid w:val="00404A62"/>
    <w:pPr>
      <w:numPr>
        <w:numId w:val="13"/>
      </w:numPr>
      <w:suppressAutoHyphens/>
      <w:spacing w:before="120" w:after="120" w:line="360" w:lineRule="exact"/>
      <w:ind w:left="646" w:hanging="357"/>
    </w:pPr>
    <w:rPr>
      <w:rFonts w:ascii="Californian FB" w:hAnsi="Californian FB"/>
      <w:sz w:val="24"/>
      <w:lang w:val="en-US" w:eastAsia="en-US"/>
    </w:rPr>
  </w:style>
  <w:style w:type="paragraph" w:styleId="CommentSubject">
    <w:name w:val="annotation subject"/>
    <w:basedOn w:val="CommentText"/>
    <w:next w:val="CommentText"/>
    <w:semiHidden/>
    <w:rsid w:val="00694D1A"/>
    <w:rPr>
      <w:b/>
      <w:bCs/>
    </w:rPr>
  </w:style>
  <w:style w:type="paragraph" w:styleId="CommentText">
    <w:name w:val="annotation text"/>
    <w:basedOn w:val="Normal"/>
    <w:link w:val="CommentTextChar"/>
    <w:rsid w:val="00694D1A"/>
    <w:pPr>
      <w:tabs>
        <w:tab w:val="left" w:pos="416"/>
        <w:tab w:val="left" w:pos="582"/>
      </w:tabs>
    </w:pPr>
    <w:rPr>
      <w:sz w:val="20"/>
      <w:szCs w:val="20"/>
      <w:lang w:val="x-none"/>
    </w:rPr>
  </w:style>
  <w:style w:type="paragraph" w:customStyle="1" w:styleId="summarybox">
    <w:name w:val="summary box"/>
    <w:basedOn w:val="Normal"/>
    <w:link w:val="summaryboxChar"/>
    <w:autoRedefine/>
    <w:rsid w:val="00F777F1"/>
    <w:pPr>
      <w:pBdr>
        <w:top w:val="single" w:sz="12" w:space="10" w:color="auto"/>
        <w:left w:val="single" w:sz="12" w:space="10" w:color="auto"/>
        <w:bottom w:val="single" w:sz="12" w:space="10" w:color="auto"/>
        <w:right w:val="single" w:sz="12" w:space="10" w:color="auto"/>
      </w:pBdr>
      <w:tabs>
        <w:tab w:val="left" w:pos="416"/>
        <w:tab w:val="left" w:pos="582"/>
        <w:tab w:val="left" w:pos="720"/>
        <w:tab w:val="left" w:pos="1440"/>
        <w:tab w:val="left" w:pos="2160"/>
        <w:tab w:val="left" w:pos="2880"/>
        <w:tab w:val="left" w:pos="3600"/>
        <w:tab w:val="left" w:pos="4320"/>
        <w:tab w:val="left" w:pos="5040"/>
        <w:tab w:val="left" w:pos="5760"/>
        <w:tab w:val="left" w:pos="6480"/>
        <w:tab w:val="left" w:pos="7200"/>
        <w:tab w:val="left" w:pos="7920"/>
        <w:tab w:val="left" w:pos="8820"/>
        <w:tab w:val="left" w:pos="9360"/>
      </w:tabs>
      <w:spacing w:line="240" w:lineRule="auto"/>
      <w:jc w:val="center"/>
    </w:pPr>
    <w:rPr>
      <w:rFonts w:ascii="Gill Sans MT" w:hAnsi="Gill Sans MT"/>
      <w:szCs w:val="22"/>
    </w:rPr>
  </w:style>
  <w:style w:type="character" w:customStyle="1" w:styleId="summaryboxChar">
    <w:name w:val="summary box Char"/>
    <w:link w:val="summarybox"/>
    <w:rsid w:val="00F777F1"/>
    <w:rPr>
      <w:rFonts w:ascii="Gill Sans MT" w:hAnsi="Gill Sans MT"/>
      <w:sz w:val="22"/>
      <w:szCs w:val="22"/>
      <w:lang w:val="en-AU" w:eastAsia="en-US" w:bidi="ar-SA"/>
    </w:rPr>
  </w:style>
  <w:style w:type="paragraph" w:customStyle="1" w:styleId="Default">
    <w:name w:val="Default"/>
    <w:rsid w:val="00694D1A"/>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semiHidden/>
    <w:rsid w:val="00694D1A"/>
    <w:rPr>
      <w:rFonts w:ascii="Tahoma" w:hAnsi="Tahoma" w:cs="Tahoma"/>
      <w:sz w:val="16"/>
      <w:szCs w:val="16"/>
    </w:rPr>
  </w:style>
  <w:style w:type="character" w:styleId="PageNumber">
    <w:name w:val="page number"/>
    <w:basedOn w:val="DefaultParagraphFont"/>
    <w:semiHidden/>
    <w:rsid w:val="00694D1A"/>
  </w:style>
  <w:style w:type="paragraph" w:styleId="TableofFigures">
    <w:name w:val="table of figures"/>
    <w:basedOn w:val="Normal"/>
    <w:next w:val="Normal"/>
    <w:link w:val="TableofFiguresChar"/>
    <w:uiPriority w:val="99"/>
    <w:rsid w:val="00362526"/>
    <w:pPr>
      <w:tabs>
        <w:tab w:val="left" w:pos="1701"/>
        <w:tab w:val="right" w:leader="dot" w:pos="8779"/>
      </w:tabs>
      <w:spacing w:before="40" w:after="120" w:line="240" w:lineRule="auto"/>
      <w:ind w:left="1134" w:right="567" w:hanging="1134"/>
    </w:pPr>
    <w:rPr>
      <w:noProof/>
      <w:sz w:val="20"/>
      <w:lang w:val="x-none"/>
    </w:rPr>
  </w:style>
  <w:style w:type="paragraph" w:styleId="BodyTextIndent2">
    <w:name w:val="Body Text Indent 2"/>
    <w:basedOn w:val="Normal"/>
    <w:semiHidden/>
    <w:rsid w:val="00694D1A"/>
    <w:pPr>
      <w:spacing w:line="240" w:lineRule="auto"/>
      <w:ind w:left="-108"/>
    </w:pPr>
    <w:rPr>
      <w:sz w:val="18"/>
      <w:szCs w:val="20"/>
    </w:rPr>
  </w:style>
  <w:style w:type="character" w:styleId="FollowedHyperlink">
    <w:name w:val="FollowedHyperlink"/>
    <w:semiHidden/>
    <w:rsid w:val="00694D1A"/>
    <w:rPr>
      <w:color w:val="800080"/>
      <w:u w:val="single"/>
    </w:rPr>
  </w:style>
  <w:style w:type="character" w:customStyle="1" w:styleId="BodyTextIndent2Char">
    <w:name w:val="Body Text Indent 2 Char"/>
    <w:semiHidden/>
    <w:rsid w:val="00694D1A"/>
    <w:rPr>
      <w:sz w:val="18"/>
      <w:lang w:val="en-AU"/>
    </w:rPr>
  </w:style>
  <w:style w:type="paragraph" w:styleId="ListParagraph">
    <w:name w:val="List Paragraph"/>
    <w:basedOn w:val="Normal"/>
    <w:link w:val="ListParagraphChar"/>
    <w:uiPriority w:val="99"/>
    <w:qFormat/>
    <w:rsid w:val="005232D2"/>
    <w:rPr>
      <w:lang w:val="x-none"/>
    </w:rPr>
  </w:style>
  <w:style w:type="character" w:styleId="PlaceholderText">
    <w:name w:val="Placeholder Text"/>
    <w:semiHidden/>
    <w:rsid w:val="00694D1A"/>
    <w:rPr>
      <w:color w:val="808080"/>
    </w:rPr>
  </w:style>
  <w:style w:type="table" w:styleId="TableGrid">
    <w:name w:val="Table Grid"/>
    <w:basedOn w:val="TableNormal"/>
    <w:uiPriority w:val="59"/>
    <w:rsid w:val="00404A62"/>
    <w:rPr>
      <w:rFonts w:ascii="Arial Narrow" w:hAnsi="Arial Narrow"/>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nhideWhenUsed/>
    <w:rsid w:val="00694D1A"/>
    <w:rPr>
      <w:sz w:val="16"/>
      <w:szCs w:val="16"/>
    </w:rPr>
  </w:style>
  <w:style w:type="character" w:customStyle="1" w:styleId="HeaderChar">
    <w:name w:val="Header Char"/>
    <w:semiHidden/>
    <w:rsid w:val="00694D1A"/>
    <w:rPr>
      <w:sz w:val="22"/>
      <w:szCs w:val="24"/>
      <w:lang w:val="en-AU"/>
    </w:rPr>
  </w:style>
  <w:style w:type="paragraph" w:customStyle="1" w:styleId="Mainsubtitle">
    <w:name w:val="Main subtitle"/>
    <w:basedOn w:val="Normal"/>
    <w:rsid w:val="008E5D1C"/>
    <w:pPr>
      <w:spacing w:before="480" w:after="480" w:line="240" w:lineRule="auto"/>
      <w:jc w:val="center"/>
    </w:pPr>
    <w:rPr>
      <w:rFonts w:ascii="Gill Sans MT" w:hAnsi="Gill Sans MT"/>
      <w:b/>
      <w:bCs/>
      <w:sz w:val="36"/>
      <w:szCs w:val="22"/>
    </w:rPr>
  </w:style>
  <w:style w:type="paragraph" w:customStyle="1" w:styleId="Maintitle">
    <w:name w:val="Main title"/>
    <w:basedOn w:val="Normal"/>
    <w:rsid w:val="008E5D1C"/>
    <w:pPr>
      <w:spacing w:before="1920" w:after="480" w:line="240" w:lineRule="auto"/>
      <w:jc w:val="center"/>
    </w:pPr>
    <w:rPr>
      <w:rFonts w:ascii="Gill Sans MT" w:eastAsia="Batang" w:hAnsi="Gill Sans MT"/>
      <w:b/>
      <w:bCs/>
      <w:sz w:val="56"/>
      <w:szCs w:val="56"/>
    </w:rPr>
  </w:style>
  <w:style w:type="paragraph" w:customStyle="1" w:styleId="Mainsub2">
    <w:name w:val="Main sub 2"/>
    <w:basedOn w:val="Normal"/>
    <w:rsid w:val="008E5D1C"/>
    <w:pPr>
      <w:spacing w:line="240" w:lineRule="auto"/>
      <w:ind w:right="149"/>
      <w:jc w:val="center"/>
    </w:pPr>
    <w:rPr>
      <w:rFonts w:ascii="Gill Sans MT" w:hAnsi="Gill Sans MT"/>
      <w:sz w:val="28"/>
      <w:szCs w:val="22"/>
    </w:rPr>
  </w:style>
  <w:style w:type="paragraph" w:customStyle="1" w:styleId="Mainsub3">
    <w:name w:val="Main sub 3"/>
    <w:basedOn w:val="Normal"/>
    <w:rsid w:val="008E5D1C"/>
    <w:pPr>
      <w:spacing w:after="120" w:line="240" w:lineRule="auto"/>
      <w:ind w:right="147"/>
    </w:pPr>
    <w:rPr>
      <w:rFonts w:ascii="Gill Sans MT" w:hAnsi="Gill Sans MT"/>
      <w:b/>
      <w:sz w:val="20"/>
      <w:szCs w:val="20"/>
    </w:rPr>
  </w:style>
  <w:style w:type="paragraph" w:customStyle="1" w:styleId="Headers">
    <w:name w:val="Headers"/>
    <w:basedOn w:val="Normal"/>
    <w:rsid w:val="008E5D1C"/>
    <w:pPr>
      <w:pBdr>
        <w:bottom w:val="single" w:sz="4" w:space="1" w:color="auto"/>
      </w:pBdr>
      <w:spacing w:before="240" w:after="60"/>
      <w:jc w:val="right"/>
    </w:pPr>
    <w:rPr>
      <w:rFonts w:ascii="Gill Sans MT" w:hAnsi="Gill Sans MT"/>
      <w:smallCaps/>
      <w:sz w:val="18"/>
      <w:szCs w:val="18"/>
    </w:rPr>
  </w:style>
  <w:style w:type="paragraph" w:customStyle="1" w:styleId="Heading1a">
    <w:name w:val="Heading 1a"/>
    <w:basedOn w:val="Normal"/>
    <w:rsid w:val="008E5D1C"/>
    <w:pPr>
      <w:spacing w:after="360" w:line="240" w:lineRule="auto"/>
    </w:pPr>
    <w:rPr>
      <w:rFonts w:ascii="Gill Sans MT" w:hAnsi="Gill Sans MT"/>
      <w:b/>
      <w:sz w:val="32"/>
      <w:szCs w:val="22"/>
    </w:rPr>
  </w:style>
  <w:style w:type="paragraph" w:customStyle="1" w:styleId="Footers">
    <w:name w:val="Footers"/>
    <w:basedOn w:val="Footer"/>
    <w:link w:val="FootersChar"/>
    <w:rsid w:val="008E5D1C"/>
    <w:pPr>
      <w:pBdr>
        <w:top w:val="single" w:sz="4" w:space="1" w:color="auto"/>
      </w:pBdr>
      <w:tabs>
        <w:tab w:val="clear" w:pos="8306"/>
        <w:tab w:val="right" w:pos="9000"/>
      </w:tabs>
      <w:spacing w:before="60" w:line="240" w:lineRule="auto"/>
    </w:pPr>
    <w:rPr>
      <w:rFonts w:ascii="Gill Sans MT" w:hAnsi="Gill Sans MT"/>
      <w:smallCaps/>
      <w:sz w:val="18"/>
      <w:szCs w:val="18"/>
    </w:rPr>
  </w:style>
  <w:style w:type="character" w:customStyle="1" w:styleId="FootersChar">
    <w:name w:val="Footers Char"/>
    <w:link w:val="Footers"/>
    <w:rsid w:val="008E5D1C"/>
    <w:rPr>
      <w:rFonts w:ascii="Gill Sans MT" w:hAnsi="Gill Sans MT"/>
      <w:smallCaps/>
      <w:sz w:val="18"/>
      <w:szCs w:val="18"/>
      <w:lang w:val="en-AU" w:eastAsia="en-US" w:bidi="ar-SA"/>
    </w:rPr>
  </w:style>
  <w:style w:type="paragraph" w:customStyle="1" w:styleId="Tableheading">
    <w:name w:val="Table heading"/>
    <w:basedOn w:val="Normal"/>
    <w:link w:val="TableheadingChar"/>
    <w:rsid w:val="00A0146B"/>
    <w:pPr>
      <w:keepNext/>
      <w:spacing w:before="60" w:after="60" w:line="240" w:lineRule="auto"/>
    </w:pPr>
    <w:rPr>
      <w:rFonts w:ascii="Arial Narrow" w:hAnsi="Arial Narrow"/>
      <w:b/>
      <w:sz w:val="20"/>
      <w:szCs w:val="20"/>
    </w:rPr>
  </w:style>
  <w:style w:type="character" w:customStyle="1" w:styleId="TableheadingChar">
    <w:name w:val="Table heading Char"/>
    <w:link w:val="Tableheading"/>
    <w:rsid w:val="00A0146B"/>
    <w:rPr>
      <w:rFonts w:ascii="Arial Narrow" w:hAnsi="Arial Narrow"/>
      <w:b/>
      <w:lang w:val="en-AU" w:eastAsia="en-US" w:bidi="ar-SA"/>
    </w:rPr>
  </w:style>
  <w:style w:type="paragraph" w:customStyle="1" w:styleId="Heading3a">
    <w:name w:val="Heading3a"/>
    <w:basedOn w:val="Heading30"/>
    <w:rsid w:val="00F4699A"/>
    <w:rPr>
      <w:b w:val="0"/>
      <w:szCs w:val="24"/>
    </w:rPr>
  </w:style>
  <w:style w:type="paragraph" w:customStyle="1" w:styleId="Tablecaption">
    <w:name w:val="Table caption"/>
    <w:basedOn w:val="Caption"/>
    <w:rsid w:val="008E5D1C"/>
  </w:style>
  <w:style w:type="paragraph" w:customStyle="1" w:styleId="Figurecaption">
    <w:name w:val="Figure caption"/>
    <w:basedOn w:val="Caption"/>
    <w:link w:val="FigurecaptionChar"/>
    <w:rsid w:val="008E5D1C"/>
    <w:pPr>
      <w:keepLines/>
      <w:spacing w:after="480"/>
    </w:pPr>
    <w:rPr>
      <w:lang w:val="en-AU"/>
    </w:rPr>
  </w:style>
  <w:style w:type="character" w:customStyle="1" w:styleId="FigurecaptionChar">
    <w:name w:val="Figure caption Char"/>
    <w:link w:val="Figurecaption"/>
    <w:rsid w:val="008E5D1C"/>
    <w:rPr>
      <w:rFonts w:ascii="Gill Sans MT" w:hAnsi="Gill Sans MT"/>
      <w:b/>
      <w:bCs/>
      <w:lang w:val="en-AU" w:eastAsia="en-US" w:bidi="ar-SA"/>
    </w:rPr>
  </w:style>
  <w:style w:type="character" w:customStyle="1" w:styleId="Heading5Char">
    <w:name w:val="Heading 5 Char"/>
    <w:aliases w:val=" DO NOT USE Char"/>
    <w:link w:val="Heading5"/>
    <w:rsid w:val="006046ED"/>
    <w:rPr>
      <w:rFonts w:ascii="Californian FB" w:hAnsi="Californian FB"/>
      <w:b/>
      <w:bCs/>
      <w:lang w:val="en-US" w:eastAsia="en-US" w:bidi="ar-SA"/>
    </w:rPr>
  </w:style>
  <w:style w:type="paragraph" w:customStyle="1" w:styleId="Bulletedbodytext">
    <w:name w:val="Bulleted body text"/>
    <w:basedOn w:val="BodyText"/>
    <w:qFormat/>
    <w:rsid w:val="00123496"/>
    <w:pPr>
      <w:numPr>
        <w:numId w:val="15"/>
      </w:numPr>
      <w:autoSpaceDE/>
      <w:autoSpaceDN/>
      <w:adjustRightInd/>
      <w:spacing w:after="120"/>
      <w:ind w:left="714" w:hanging="357"/>
    </w:pPr>
    <w:rPr>
      <w:rFonts w:ascii="Californian FB" w:hAnsi="Californian FB" w:cs="Arial"/>
      <w:sz w:val="22"/>
      <w:szCs w:val="24"/>
    </w:rPr>
  </w:style>
  <w:style w:type="paragraph" w:styleId="Revision">
    <w:name w:val="Revision"/>
    <w:hidden/>
    <w:uiPriority w:val="99"/>
    <w:semiHidden/>
    <w:rsid w:val="008578E0"/>
    <w:rPr>
      <w:rFonts w:ascii="Californian FB" w:hAnsi="Californian FB"/>
      <w:sz w:val="22"/>
      <w:szCs w:val="24"/>
      <w:lang w:eastAsia="en-US"/>
    </w:rPr>
  </w:style>
  <w:style w:type="paragraph" w:customStyle="1" w:styleId="Table-bodytext">
    <w:name w:val="Table - body text"/>
    <w:basedOn w:val="Normal"/>
    <w:link w:val="Table-bodytextChar"/>
    <w:rsid w:val="004F5663"/>
    <w:pPr>
      <w:spacing w:after="0" w:line="240" w:lineRule="auto"/>
      <w:jc w:val="center"/>
    </w:pPr>
    <w:rPr>
      <w:rFonts w:ascii="Times New Roman" w:hAnsi="Times New Roman" w:cs="Arial"/>
      <w:sz w:val="20"/>
    </w:rPr>
  </w:style>
  <w:style w:type="character" w:customStyle="1" w:styleId="Table-bodytextChar">
    <w:name w:val="Table - body text Char"/>
    <w:link w:val="Table-bodytext"/>
    <w:rsid w:val="004F5663"/>
    <w:rPr>
      <w:rFonts w:cs="Arial"/>
      <w:szCs w:val="24"/>
      <w:lang w:val="en-AU" w:eastAsia="en-US" w:bidi="ar-SA"/>
    </w:rPr>
  </w:style>
  <w:style w:type="paragraph" w:styleId="Quote">
    <w:name w:val="Quote"/>
    <w:basedOn w:val="Normal"/>
    <w:next w:val="Normal"/>
    <w:link w:val="QuoteChar"/>
    <w:uiPriority w:val="29"/>
    <w:qFormat/>
    <w:rsid w:val="00CB2E8F"/>
    <w:pPr>
      <w:spacing w:line="240" w:lineRule="auto"/>
      <w:ind w:left="567" w:right="566"/>
      <w:jc w:val="both"/>
    </w:pPr>
    <w:rPr>
      <w:i/>
      <w:iCs/>
      <w:color w:val="000000"/>
      <w:sz w:val="20"/>
      <w:lang w:val="x-none"/>
    </w:rPr>
  </w:style>
  <w:style w:type="character" w:customStyle="1" w:styleId="QuoteChar">
    <w:name w:val="Quote Char"/>
    <w:link w:val="Quote"/>
    <w:uiPriority w:val="29"/>
    <w:rsid w:val="00CB2E8F"/>
    <w:rPr>
      <w:rFonts w:ascii="Californian FB" w:hAnsi="Californian FB"/>
      <w:i/>
      <w:iCs/>
      <w:color w:val="000000"/>
      <w:szCs w:val="24"/>
      <w:lang w:eastAsia="en-US"/>
    </w:rPr>
  </w:style>
  <w:style w:type="paragraph" w:customStyle="1" w:styleId="StyleExecSumm">
    <w:name w:val="Style ExecSumm"/>
    <w:basedOn w:val="Normal"/>
    <w:qFormat/>
    <w:rsid w:val="00A86EF9"/>
    <w:pPr>
      <w:spacing w:line="288" w:lineRule="auto"/>
      <w:jc w:val="both"/>
    </w:pPr>
  </w:style>
  <w:style w:type="character" w:customStyle="1" w:styleId="highlight">
    <w:name w:val="highlight"/>
    <w:rsid w:val="002D755B"/>
  </w:style>
  <w:style w:type="character" w:customStyle="1" w:styleId="BodyTextChar1">
    <w:name w:val="Body Text Char1"/>
    <w:aliases w:val="Body Text Char Char"/>
    <w:link w:val="BodyText"/>
    <w:semiHidden/>
    <w:rsid w:val="00EB3738"/>
    <w:rPr>
      <w:rFonts w:ascii="TimesNewRomanPSMT" w:hAnsi="TimesNewRomanPSMT"/>
      <w:lang w:val="en-US" w:eastAsia="en-US"/>
    </w:rPr>
  </w:style>
  <w:style w:type="character" w:customStyle="1" w:styleId="Heading3Char">
    <w:name w:val="Heading3 Char"/>
    <w:link w:val="Heading30"/>
    <w:rsid w:val="0054583C"/>
    <w:rPr>
      <w:rFonts w:ascii="Gill Sans MT" w:hAnsi="Gill Sans MT"/>
      <w:b/>
      <w:bCs/>
      <w:sz w:val="28"/>
      <w:szCs w:val="32"/>
      <w:lang w:eastAsia="en-US"/>
    </w:rPr>
  </w:style>
  <w:style w:type="character" w:customStyle="1" w:styleId="Heading4Char">
    <w:name w:val="Heading4 Char"/>
    <w:link w:val="Heading40"/>
    <w:rsid w:val="002741E1"/>
    <w:rPr>
      <w:rFonts w:ascii="Gill Sans MT" w:hAnsi="Gill Sans MT"/>
      <w:b/>
      <w:bCs/>
      <w:i/>
      <w:sz w:val="22"/>
      <w:szCs w:val="32"/>
      <w:lang w:eastAsia="en-US"/>
    </w:rPr>
  </w:style>
  <w:style w:type="character" w:customStyle="1" w:styleId="BodyTextIndentChar">
    <w:name w:val="Body Text Indent Char"/>
    <w:link w:val="BodyTextIndent"/>
    <w:semiHidden/>
    <w:rsid w:val="00EB3738"/>
    <w:rPr>
      <w:rFonts w:ascii="Californian FB" w:hAnsi="Californian FB"/>
      <w:sz w:val="22"/>
      <w:szCs w:val="24"/>
      <w:lang w:eastAsia="en-US"/>
    </w:rPr>
  </w:style>
  <w:style w:type="character" w:customStyle="1" w:styleId="CommentTextChar">
    <w:name w:val="Comment Text Char"/>
    <w:link w:val="CommentText"/>
    <w:rsid w:val="00760386"/>
    <w:rPr>
      <w:rFonts w:ascii="Californian FB" w:hAnsi="Californian FB"/>
      <w:lang w:eastAsia="en-US"/>
    </w:rPr>
  </w:style>
  <w:style w:type="paragraph" w:customStyle="1" w:styleId="Listoftables">
    <w:name w:val="List of tables"/>
    <w:basedOn w:val="TableofFigures"/>
    <w:link w:val="ListoftablesChar"/>
    <w:qFormat/>
    <w:rsid w:val="007A3C07"/>
    <w:rPr>
      <w:rFonts w:ascii="Arial Narrow" w:hAnsi="Arial Narrow"/>
      <w:sz w:val="22"/>
    </w:rPr>
  </w:style>
  <w:style w:type="character" w:customStyle="1" w:styleId="TableofFiguresChar">
    <w:name w:val="Table of Figures Char"/>
    <w:link w:val="TableofFigures"/>
    <w:uiPriority w:val="99"/>
    <w:rsid w:val="007A3C07"/>
    <w:rPr>
      <w:rFonts w:ascii="Californian FB" w:hAnsi="Californian FB" w:cs="Arial"/>
      <w:noProof/>
      <w:szCs w:val="24"/>
      <w:lang w:eastAsia="en-US"/>
    </w:rPr>
  </w:style>
  <w:style w:type="character" w:customStyle="1" w:styleId="ListoftablesChar">
    <w:name w:val="List of tables Char"/>
    <w:link w:val="Listoftables"/>
    <w:rsid w:val="007A3C07"/>
    <w:rPr>
      <w:rFonts w:ascii="Arial Narrow" w:hAnsi="Arial Narrow" w:cs="Arial"/>
      <w:noProof/>
      <w:sz w:val="22"/>
      <w:szCs w:val="24"/>
      <w:lang w:eastAsia="en-US"/>
    </w:rPr>
  </w:style>
  <w:style w:type="character" w:customStyle="1" w:styleId="ListParagraphChar">
    <w:name w:val="List Paragraph Char"/>
    <w:link w:val="ListParagraph"/>
    <w:uiPriority w:val="99"/>
    <w:rsid w:val="003E2EC5"/>
    <w:rPr>
      <w:rFonts w:ascii="Californian FB" w:hAnsi="Californian FB"/>
      <w:sz w:val="22"/>
      <w:szCs w:val="24"/>
      <w:lang w:eastAsia="en-US"/>
    </w:rPr>
  </w:style>
  <w:style w:type="character" w:styleId="Strong">
    <w:name w:val="Strong"/>
    <w:uiPriority w:val="22"/>
    <w:qFormat/>
    <w:rsid w:val="00315D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36808">
      <w:bodyDiv w:val="1"/>
      <w:marLeft w:val="0"/>
      <w:marRight w:val="0"/>
      <w:marTop w:val="0"/>
      <w:marBottom w:val="0"/>
      <w:divBdr>
        <w:top w:val="none" w:sz="0" w:space="0" w:color="auto"/>
        <w:left w:val="none" w:sz="0" w:space="0" w:color="auto"/>
        <w:bottom w:val="none" w:sz="0" w:space="0" w:color="auto"/>
        <w:right w:val="none" w:sz="0" w:space="0" w:color="auto"/>
      </w:divBdr>
    </w:div>
    <w:div w:id="30157318">
      <w:bodyDiv w:val="1"/>
      <w:marLeft w:val="0"/>
      <w:marRight w:val="0"/>
      <w:marTop w:val="0"/>
      <w:marBottom w:val="0"/>
      <w:divBdr>
        <w:top w:val="none" w:sz="0" w:space="0" w:color="auto"/>
        <w:left w:val="none" w:sz="0" w:space="0" w:color="auto"/>
        <w:bottom w:val="none" w:sz="0" w:space="0" w:color="auto"/>
        <w:right w:val="none" w:sz="0" w:space="0" w:color="auto"/>
      </w:divBdr>
    </w:div>
    <w:div w:id="61413795">
      <w:bodyDiv w:val="1"/>
      <w:marLeft w:val="0"/>
      <w:marRight w:val="0"/>
      <w:marTop w:val="0"/>
      <w:marBottom w:val="0"/>
      <w:divBdr>
        <w:top w:val="none" w:sz="0" w:space="0" w:color="auto"/>
        <w:left w:val="none" w:sz="0" w:space="0" w:color="auto"/>
        <w:bottom w:val="none" w:sz="0" w:space="0" w:color="auto"/>
        <w:right w:val="none" w:sz="0" w:space="0" w:color="auto"/>
      </w:divBdr>
    </w:div>
    <w:div w:id="98259648">
      <w:bodyDiv w:val="1"/>
      <w:marLeft w:val="0"/>
      <w:marRight w:val="0"/>
      <w:marTop w:val="0"/>
      <w:marBottom w:val="0"/>
      <w:divBdr>
        <w:top w:val="none" w:sz="0" w:space="0" w:color="auto"/>
        <w:left w:val="none" w:sz="0" w:space="0" w:color="auto"/>
        <w:bottom w:val="none" w:sz="0" w:space="0" w:color="auto"/>
        <w:right w:val="none" w:sz="0" w:space="0" w:color="auto"/>
      </w:divBdr>
    </w:div>
    <w:div w:id="104274078">
      <w:bodyDiv w:val="1"/>
      <w:marLeft w:val="0"/>
      <w:marRight w:val="0"/>
      <w:marTop w:val="0"/>
      <w:marBottom w:val="0"/>
      <w:divBdr>
        <w:top w:val="none" w:sz="0" w:space="0" w:color="auto"/>
        <w:left w:val="none" w:sz="0" w:space="0" w:color="auto"/>
        <w:bottom w:val="none" w:sz="0" w:space="0" w:color="auto"/>
        <w:right w:val="none" w:sz="0" w:space="0" w:color="auto"/>
      </w:divBdr>
    </w:div>
    <w:div w:id="116796299">
      <w:bodyDiv w:val="1"/>
      <w:marLeft w:val="0"/>
      <w:marRight w:val="0"/>
      <w:marTop w:val="0"/>
      <w:marBottom w:val="0"/>
      <w:divBdr>
        <w:top w:val="none" w:sz="0" w:space="0" w:color="auto"/>
        <w:left w:val="none" w:sz="0" w:space="0" w:color="auto"/>
        <w:bottom w:val="none" w:sz="0" w:space="0" w:color="auto"/>
        <w:right w:val="none" w:sz="0" w:space="0" w:color="auto"/>
      </w:divBdr>
    </w:div>
    <w:div w:id="253829149">
      <w:bodyDiv w:val="1"/>
      <w:marLeft w:val="0"/>
      <w:marRight w:val="0"/>
      <w:marTop w:val="0"/>
      <w:marBottom w:val="0"/>
      <w:divBdr>
        <w:top w:val="none" w:sz="0" w:space="0" w:color="auto"/>
        <w:left w:val="none" w:sz="0" w:space="0" w:color="auto"/>
        <w:bottom w:val="none" w:sz="0" w:space="0" w:color="auto"/>
        <w:right w:val="none" w:sz="0" w:space="0" w:color="auto"/>
      </w:divBdr>
    </w:div>
    <w:div w:id="329451938">
      <w:bodyDiv w:val="1"/>
      <w:marLeft w:val="0"/>
      <w:marRight w:val="0"/>
      <w:marTop w:val="0"/>
      <w:marBottom w:val="0"/>
      <w:divBdr>
        <w:top w:val="none" w:sz="0" w:space="0" w:color="auto"/>
        <w:left w:val="none" w:sz="0" w:space="0" w:color="auto"/>
        <w:bottom w:val="none" w:sz="0" w:space="0" w:color="auto"/>
        <w:right w:val="none" w:sz="0" w:space="0" w:color="auto"/>
      </w:divBdr>
    </w:div>
    <w:div w:id="495268930">
      <w:bodyDiv w:val="1"/>
      <w:marLeft w:val="0"/>
      <w:marRight w:val="0"/>
      <w:marTop w:val="0"/>
      <w:marBottom w:val="0"/>
      <w:divBdr>
        <w:top w:val="none" w:sz="0" w:space="0" w:color="auto"/>
        <w:left w:val="none" w:sz="0" w:space="0" w:color="auto"/>
        <w:bottom w:val="none" w:sz="0" w:space="0" w:color="auto"/>
        <w:right w:val="none" w:sz="0" w:space="0" w:color="auto"/>
      </w:divBdr>
    </w:div>
    <w:div w:id="515656550">
      <w:bodyDiv w:val="1"/>
      <w:marLeft w:val="0"/>
      <w:marRight w:val="0"/>
      <w:marTop w:val="0"/>
      <w:marBottom w:val="0"/>
      <w:divBdr>
        <w:top w:val="none" w:sz="0" w:space="0" w:color="auto"/>
        <w:left w:val="none" w:sz="0" w:space="0" w:color="auto"/>
        <w:bottom w:val="none" w:sz="0" w:space="0" w:color="auto"/>
        <w:right w:val="none" w:sz="0" w:space="0" w:color="auto"/>
      </w:divBdr>
    </w:div>
    <w:div w:id="556821530">
      <w:bodyDiv w:val="1"/>
      <w:marLeft w:val="0"/>
      <w:marRight w:val="0"/>
      <w:marTop w:val="0"/>
      <w:marBottom w:val="0"/>
      <w:divBdr>
        <w:top w:val="none" w:sz="0" w:space="0" w:color="auto"/>
        <w:left w:val="none" w:sz="0" w:space="0" w:color="auto"/>
        <w:bottom w:val="none" w:sz="0" w:space="0" w:color="auto"/>
        <w:right w:val="none" w:sz="0" w:space="0" w:color="auto"/>
      </w:divBdr>
    </w:div>
    <w:div w:id="573662916">
      <w:bodyDiv w:val="1"/>
      <w:marLeft w:val="0"/>
      <w:marRight w:val="0"/>
      <w:marTop w:val="0"/>
      <w:marBottom w:val="0"/>
      <w:divBdr>
        <w:top w:val="none" w:sz="0" w:space="0" w:color="auto"/>
        <w:left w:val="none" w:sz="0" w:space="0" w:color="auto"/>
        <w:bottom w:val="none" w:sz="0" w:space="0" w:color="auto"/>
        <w:right w:val="none" w:sz="0" w:space="0" w:color="auto"/>
      </w:divBdr>
    </w:div>
    <w:div w:id="624506312">
      <w:bodyDiv w:val="1"/>
      <w:marLeft w:val="0"/>
      <w:marRight w:val="0"/>
      <w:marTop w:val="0"/>
      <w:marBottom w:val="0"/>
      <w:divBdr>
        <w:top w:val="none" w:sz="0" w:space="0" w:color="auto"/>
        <w:left w:val="none" w:sz="0" w:space="0" w:color="auto"/>
        <w:bottom w:val="none" w:sz="0" w:space="0" w:color="auto"/>
        <w:right w:val="none" w:sz="0" w:space="0" w:color="auto"/>
      </w:divBdr>
    </w:div>
    <w:div w:id="663048636">
      <w:bodyDiv w:val="1"/>
      <w:marLeft w:val="0"/>
      <w:marRight w:val="0"/>
      <w:marTop w:val="0"/>
      <w:marBottom w:val="0"/>
      <w:divBdr>
        <w:top w:val="none" w:sz="0" w:space="0" w:color="auto"/>
        <w:left w:val="none" w:sz="0" w:space="0" w:color="auto"/>
        <w:bottom w:val="none" w:sz="0" w:space="0" w:color="auto"/>
        <w:right w:val="none" w:sz="0" w:space="0" w:color="auto"/>
      </w:divBdr>
    </w:div>
    <w:div w:id="857742322">
      <w:bodyDiv w:val="1"/>
      <w:marLeft w:val="0"/>
      <w:marRight w:val="0"/>
      <w:marTop w:val="0"/>
      <w:marBottom w:val="0"/>
      <w:divBdr>
        <w:top w:val="none" w:sz="0" w:space="0" w:color="auto"/>
        <w:left w:val="none" w:sz="0" w:space="0" w:color="auto"/>
        <w:bottom w:val="none" w:sz="0" w:space="0" w:color="auto"/>
        <w:right w:val="none" w:sz="0" w:space="0" w:color="auto"/>
      </w:divBdr>
    </w:div>
    <w:div w:id="875041371">
      <w:bodyDiv w:val="1"/>
      <w:marLeft w:val="0"/>
      <w:marRight w:val="0"/>
      <w:marTop w:val="0"/>
      <w:marBottom w:val="0"/>
      <w:divBdr>
        <w:top w:val="none" w:sz="0" w:space="0" w:color="auto"/>
        <w:left w:val="none" w:sz="0" w:space="0" w:color="auto"/>
        <w:bottom w:val="none" w:sz="0" w:space="0" w:color="auto"/>
        <w:right w:val="none" w:sz="0" w:space="0" w:color="auto"/>
      </w:divBdr>
    </w:div>
    <w:div w:id="938874983">
      <w:bodyDiv w:val="1"/>
      <w:marLeft w:val="0"/>
      <w:marRight w:val="0"/>
      <w:marTop w:val="0"/>
      <w:marBottom w:val="0"/>
      <w:divBdr>
        <w:top w:val="none" w:sz="0" w:space="0" w:color="auto"/>
        <w:left w:val="none" w:sz="0" w:space="0" w:color="auto"/>
        <w:bottom w:val="none" w:sz="0" w:space="0" w:color="auto"/>
        <w:right w:val="none" w:sz="0" w:space="0" w:color="auto"/>
      </w:divBdr>
    </w:div>
    <w:div w:id="972717448">
      <w:bodyDiv w:val="1"/>
      <w:marLeft w:val="0"/>
      <w:marRight w:val="0"/>
      <w:marTop w:val="0"/>
      <w:marBottom w:val="0"/>
      <w:divBdr>
        <w:top w:val="none" w:sz="0" w:space="0" w:color="auto"/>
        <w:left w:val="none" w:sz="0" w:space="0" w:color="auto"/>
        <w:bottom w:val="none" w:sz="0" w:space="0" w:color="auto"/>
        <w:right w:val="none" w:sz="0" w:space="0" w:color="auto"/>
      </w:divBdr>
    </w:div>
    <w:div w:id="1026640097">
      <w:bodyDiv w:val="1"/>
      <w:marLeft w:val="0"/>
      <w:marRight w:val="0"/>
      <w:marTop w:val="0"/>
      <w:marBottom w:val="0"/>
      <w:divBdr>
        <w:top w:val="none" w:sz="0" w:space="0" w:color="auto"/>
        <w:left w:val="none" w:sz="0" w:space="0" w:color="auto"/>
        <w:bottom w:val="none" w:sz="0" w:space="0" w:color="auto"/>
        <w:right w:val="none" w:sz="0" w:space="0" w:color="auto"/>
      </w:divBdr>
    </w:div>
    <w:div w:id="1074622451">
      <w:bodyDiv w:val="1"/>
      <w:marLeft w:val="0"/>
      <w:marRight w:val="0"/>
      <w:marTop w:val="0"/>
      <w:marBottom w:val="0"/>
      <w:divBdr>
        <w:top w:val="none" w:sz="0" w:space="0" w:color="auto"/>
        <w:left w:val="none" w:sz="0" w:space="0" w:color="auto"/>
        <w:bottom w:val="none" w:sz="0" w:space="0" w:color="auto"/>
        <w:right w:val="none" w:sz="0" w:space="0" w:color="auto"/>
      </w:divBdr>
    </w:div>
    <w:div w:id="1104882899">
      <w:bodyDiv w:val="1"/>
      <w:marLeft w:val="0"/>
      <w:marRight w:val="0"/>
      <w:marTop w:val="0"/>
      <w:marBottom w:val="0"/>
      <w:divBdr>
        <w:top w:val="none" w:sz="0" w:space="0" w:color="auto"/>
        <w:left w:val="none" w:sz="0" w:space="0" w:color="auto"/>
        <w:bottom w:val="none" w:sz="0" w:space="0" w:color="auto"/>
        <w:right w:val="none" w:sz="0" w:space="0" w:color="auto"/>
      </w:divBdr>
    </w:div>
    <w:div w:id="1148593298">
      <w:bodyDiv w:val="1"/>
      <w:marLeft w:val="0"/>
      <w:marRight w:val="0"/>
      <w:marTop w:val="0"/>
      <w:marBottom w:val="0"/>
      <w:divBdr>
        <w:top w:val="none" w:sz="0" w:space="0" w:color="auto"/>
        <w:left w:val="none" w:sz="0" w:space="0" w:color="auto"/>
        <w:bottom w:val="none" w:sz="0" w:space="0" w:color="auto"/>
        <w:right w:val="none" w:sz="0" w:space="0" w:color="auto"/>
      </w:divBdr>
    </w:div>
    <w:div w:id="1160197951">
      <w:bodyDiv w:val="1"/>
      <w:marLeft w:val="0"/>
      <w:marRight w:val="0"/>
      <w:marTop w:val="0"/>
      <w:marBottom w:val="0"/>
      <w:divBdr>
        <w:top w:val="none" w:sz="0" w:space="0" w:color="auto"/>
        <w:left w:val="none" w:sz="0" w:space="0" w:color="auto"/>
        <w:bottom w:val="none" w:sz="0" w:space="0" w:color="auto"/>
        <w:right w:val="none" w:sz="0" w:space="0" w:color="auto"/>
      </w:divBdr>
    </w:div>
    <w:div w:id="1240099836">
      <w:bodyDiv w:val="1"/>
      <w:marLeft w:val="0"/>
      <w:marRight w:val="0"/>
      <w:marTop w:val="0"/>
      <w:marBottom w:val="0"/>
      <w:divBdr>
        <w:top w:val="none" w:sz="0" w:space="0" w:color="auto"/>
        <w:left w:val="none" w:sz="0" w:space="0" w:color="auto"/>
        <w:bottom w:val="none" w:sz="0" w:space="0" w:color="auto"/>
        <w:right w:val="none" w:sz="0" w:space="0" w:color="auto"/>
      </w:divBdr>
    </w:div>
    <w:div w:id="1251699458">
      <w:bodyDiv w:val="1"/>
      <w:marLeft w:val="0"/>
      <w:marRight w:val="0"/>
      <w:marTop w:val="0"/>
      <w:marBottom w:val="0"/>
      <w:divBdr>
        <w:top w:val="none" w:sz="0" w:space="0" w:color="auto"/>
        <w:left w:val="none" w:sz="0" w:space="0" w:color="auto"/>
        <w:bottom w:val="none" w:sz="0" w:space="0" w:color="auto"/>
        <w:right w:val="none" w:sz="0" w:space="0" w:color="auto"/>
      </w:divBdr>
    </w:div>
    <w:div w:id="1312097040">
      <w:bodyDiv w:val="1"/>
      <w:marLeft w:val="0"/>
      <w:marRight w:val="0"/>
      <w:marTop w:val="0"/>
      <w:marBottom w:val="0"/>
      <w:divBdr>
        <w:top w:val="none" w:sz="0" w:space="0" w:color="auto"/>
        <w:left w:val="none" w:sz="0" w:space="0" w:color="auto"/>
        <w:bottom w:val="none" w:sz="0" w:space="0" w:color="auto"/>
        <w:right w:val="none" w:sz="0" w:space="0" w:color="auto"/>
      </w:divBdr>
    </w:div>
    <w:div w:id="1417168555">
      <w:bodyDiv w:val="1"/>
      <w:marLeft w:val="0"/>
      <w:marRight w:val="0"/>
      <w:marTop w:val="0"/>
      <w:marBottom w:val="0"/>
      <w:divBdr>
        <w:top w:val="none" w:sz="0" w:space="0" w:color="auto"/>
        <w:left w:val="none" w:sz="0" w:space="0" w:color="auto"/>
        <w:bottom w:val="none" w:sz="0" w:space="0" w:color="auto"/>
        <w:right w:val="none" w:sz="0" w:space="0" w:color="auto"/>
      </w:divBdr>
    </w:div>
    <w:div w:id="1482304619">
      <w:bodyDiv w:val="1"/>
      <w:marLeft w:val="0"/>
      <w:marRight w:val="0"/>
      <w:marTop w:val="0"/>
      <w:marBottom w:val="0"/>
      <w:divBdr>
        <w:top w:val="none" w:sz="0" w:space="0" w:color="auto"/>
        <w:left w:val="none" w:sz="0" w:space="0" w:color="auto"/>
        <w:bottom w:val="none" w:sz="0" w:space="0" w:color="auto"/>
        <w:right w:val="none" w:sz="0" w:space="0" w:color="auto"/>
      </w:divBdr>
    </w:div>
    <w:div w:id="1521822600">
      <w:bodyDiv w:val="1"/>
      <w:marLeft w:val="0"/>
      <w:marRight w:val="0"/>
      <w:marTop w:val="0"/>
      <w:marBottom w:val="0"/>
      <w:divBdr>
        <w:top w:val="none" w:sz="0" w:space="0" w:color="auto"/>
        <w:left w:val="none" w:sz="0" w:space="0" w:color="auto"/>
        <w:bottom w:val="none" w:sz="0" w:space="0" w:color="auto"/>
        <w:right w:val="none" w:sz="0" w:space="0" w:color="auto"/>
      </w:divBdr>
    </w:div>
    <w:div w:id="1618901961">
      <w:bodyDiv w:val="1"/>
      <w:marLeft w:val="0"/>
      <w:marRight w:val="0"/>
      <w:marTop w:val="0"/>
      <w:marBottom w:val="0"/>
      <w:divBdr>
        <w:top w:val="none" w:sz="0" w:space="0" w:color="auto"/>
        <w:left w:val="none" w:sz="0" w:space="0" w:color="auto"/>
        <w:bottom w:val="none" w:sz="0" w:space="0" w:color="auto"/>
        <w:right w:val="none" w:sz="0" w:space="0" w:color="auto"/>
      </w:divBdr>
    </w:div>
    <w:div w:id="1629508259">
      <w:bodyDiv w:val="1"/>
      <w:marLeft w:val="0"/>
      <w:marRight w:val="0"/>
      <w:marTop w:val="0"/>
      <w:marBottom w:val="0"/>
      <w:divBdr>
        <w:top w:val="none" w:sz="0" w:space="0" w:color="auto"/>
        <w:left w:val="none" w:sz="0" w:space="0" w:color="auto"/>
        <w:bottom w:val="none" w:sz="0" w:space="0" w:color="auto"/>
        <w:right w:val="none" w:sz="0" w:space="0" w:color="auto"/>
      </w:divBdr>
    </w:div>
    <w:div w:id="1632054506">
      <w:bodyDiv w:val="1"/>
      <w:marLeft w:val="0"/>
      <w:marRight w:val="0"/>
      <w:marTop w:val="0"/>
      <w:marBottom w:val="0"/>
      <w:divBdr>
        <w:top w:val="none" w:sz="0" w:space="0" w:color="auto"/>
        <w:left w:val="none" w:sz="0" w:space="0" w:color="auto"/>
        <w:bottom w:val="none" w:sz="0" w:space="0" w:color="auto"/>
        <w:right w:val="none" w:sz="0" w:space="0" w:color="auto"/>
      </w:divBdr>
    </w:div>
    <w:div w:id="1661303968">
      <w:bodyDiv w:val="1"/>
      <w:marLeft w:val="0"/>
      <w:marRight w:val="0"/>
      <w:marTop w:val="0"/>
      <w:marBottom w:val="0"/>
      <w:divBdr>
        <w:top w:val="none" w:sz="0" w:space="0" w:color="auto"/>
        <w:left w:val="none" w:sz="0" w:space="0" w:color="auto"/>
        <w:bottom w:val="none" w:sz="0" w:space="0" w:color="auto"/>
        <w:right w:val="none" w:sz="0" w:space="0" w:color="auto"/>
      </w:divBdr>
    </w:div>
    <w:div w:id="1699426316">
      <w:bodyDiv w:val="1"/>
      <w:marLeft w:val="0"/>
      <w:marRight w:val="0"/>
      <w:marTop w:val="0"/>
      <w:marBottom w:val="0"/>
      <w:divBdr>
        <w:top w:val="none" w:sz="0" w:space="0" w:color="auto"/>
        <w:left w:val="none" w:sz="0" w:space="0" w:color="auto"/>
        <w:bottom w:val="none" w:sz="0" w:space="0" w:color="auto"/>
        <w:right w:val="none" w:sz="0" w:space="0" w:color="auto"/>
      </w:divBdr>
    </w:div>
    <w:div w:id="1705792944">
      <w:bodyDiv w:val="1"/>
      <w:marLeft w:val="0"/>
      <w:marRight w:val="0"/>
      <w:marTop w:val="0"/>
      <w:marBottom w:val="0"/>
      <w:divBdr>
        <w:top w:val="none" w:sz="0" w:space="0" w:color="auto"/>
        <w:left w:val="none" w:sz="0" w:space="0" w:color="auto"/>
        <w:bottom w:val="none" w:sz="0" w:space="0" w:color="auto"/>
        <w:right w:val="none" w:sz="0" w:space="0" w:color="auto"/>
      </w:divBdr>
    </w:div>
    <w:div w:id="1725829131">
      <w:bodyDiv w:val="1"/>
      <w:marLeft w:val="0"/>
      <w:marRight w:val="0"/>
      <w:marTop w:val="0"/>
      <w:marBottom w:val="0"/>
      <w:divBdr>
        <w:top w:val="none" w:sz="0" w:space="0" w:color="auto"/>
        <w:left w:val="none" w:sz="0" w:space="0" w:color="auto"/>
        <w:bottom w:val="none" w:sz="0" w:space="0" w:color="auto"/>
        <w:right w:val="none" w:sz="0" w:space="0" w:color="auto"/>
      </w:divBdr>
    </w:div>
    <w:div w:id="1785883550">
      <w:bodyDiv w:val="1"/>
      <w:marLeft w:val="0"/>
      <w:marRight w:val="0"/>
      <w:marTop w:val="0"/>
      <w:marBottom w:val="0"/>
      <w:divBdr>
        <w:top w:val="none" w:sz="0" w:space="0" w:color="auto"/>
        <w:left w:val="none" w:sz="0" w:space="0" w:color="auto"/>
        <w:bottom w:val="none" w:sz="0" w:space="0" w:color="auto"/>
        <w:right w:val="none" w:sz="0" w:space="0" w:color="auto"/>
      </w:divBdr>
    </w:div>
    <w:div w:id="1810241836">
      <w:bodyDiv w:val="1"/>
      <w:marLeft w:val="0"/>
      <w:marRight w:val="0"/>
      <w:marTop w:val="0"/>
      <w:marBottom w:val="0"/>
      <w:divBdr>
        <w:top w:val="none" w:sz="0" w:space="0" w:color="auto"/>
        <w:left w:val="none" w:sz="0" w:space="0" w:color="auto"/>
        <w:bottom w:val="none" w:sz="0" w:space="0" w:color="auto"/>
        <w:right w:val="none" w:sz="0" w:space="0" w:color="auto"/>
      </w:divBdr>
    </w:div>
    <w:div w:id="1822958780">
      <w:bodyDiv w:val="1"/>
      <w:marLeft w:val="0"/>
      <w:marRight w:val="0"/>
      <w:marTop w:val="0"/>
      <w:marBottom w:val="0"/>
      <w:divBdr>
        <w:top w:val="none" w:sz="0" w:space="0" w:color="auto"/>
        <w:left w:val="none" w:sz="0" w:space="0" w:color="auto"/>
        <w:bottom w:val="none" w:sz="0" w:space="0" w:color="auto"/>
        <w:right w:val="none" w:sz="0" w:space="0" w:color="auto"/>
      </w:divBdr>
    </w:div>
    <w:div w:id="1883636151">
      <w:bodyDiv w:val="1"/>
      <w:marLeft w:val="0"/>
      <w:marRight w:val="0"/>
      <w:marTop w:val="0"/>
      <w:marBottom w:val="0"/>
      <w:divBdr>
        <w:top w:val="none" w:sz="0" w:space="0" w:color="auto"/>
        <w:left w:val="none" w:sz="0" w:space="0" w:color="auto"/>
        <w:bottom w:val="none" w:sz="0" w:space="0" w:color="auto"/>
        <w:right w:val="none" w:sz="0" w:space="0" w:color="auto"/>
      </w:divBdr>
    </w:div>
    <w:div w:id="2052612558">
      <w:bodyDiv w:val="1"/>
      <w:marLeft w:val="0"/>
      <w:marRight w:val="0"/>
      <w:marTop w:val="0"/>
      <w:marBottom w:val="0"/>
      <w:divBdr>
        <w:top w:val="none" w:sz="0" w:space="0" w:color="auto"/>
        <w:left w:val="none" w:sz="0" w:space="0" w:color="auto"/>
        <w:bottom w:val="none" w:sz="0" w:space="0" w:color="auto"/>
        <w:right w:val="none" w:sz="0" w:space="0" w:color="auto"/>
      </w:divBdr>
    </w:div>
    <w:div w:id="2054766901">
      <w:bodyDiv w:val="1"/>
      <w:marLeft w:val="0"/>
      <w:marRight w:val="0"/>
      <w:marTop w:val="0"/>
      <w:marBottom w:val="0"/>
      <w:divBdr>
        <w:top w:val="none" w:sz="0" w:space="0" w:color="auto"/>
        <w:left w:val="none" w:sz="0" w:space="0" w:color="auto"/>
        <w:bottom w:val="none" w:sz="0" w:space="0" w:color="auto"/>
        <w:right w:val="none" w:sz="0" w:space="0" w:color="auto"/>
      </w:divBdr>
    </w:div>
    <w:div w:id="2082019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8.xml"/><Relationship Id="rId26" Type="http://schemas.openxmlformats.org/officeDocument/2006/relationships/image" Target="media/image6.png"/><Relationship Id="rId39" Type="http://schemas.openxmlformats.org/officeDocument/2006/relationships/header" Target="header14.xml"/><Relationship Id="rId21" Type="http://schemas.openxmlformats.org/officeDocument/2006/relationships/header" Target="header10.xml"/><Relationship Id="rId34" Type="http://schemas.openxmlformats.org/officeDocument/2006/relationships/image" Target="media/image14.png"/><Relationship Id="rId42" Type="http://schemas.openxmlformats.org/officeDocument/2006/relationships/image" Target="media/image17.emf"/><Relationship Id="rId47" Type="http://schemas.openxmlformats.org/officeDocument/2006/relationships/image" Target="media/image20.png"/><Relationship Id="rId50" Type="http://schemas.openxmlformats.org/officeDocument/2006/relationships/hyperlink" Target="http://www.cochrane-handbook.org" TargetMode="External"/><Relationship Id="rId55" Type="http://schemas.openxmlformats.org/officeDocument/2006/relationships/header" Target="header1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13.xml"/><Relationship Id="rId46"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9.xml"/><Relationship Id="rId29" Type="http://schemas.openxmlformats.org/officeDocument/2006/relationships/image" Target="media/image9.png"/><Relationship Id="rId41" Type="http://schemas.openxmlformats.org/officeDocument/2006/relationships/footer" Target="footer3.xm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footer" Target="footer2.xml"/><Relationship Id="rId45" Type="http://schemas.openxmlformats.org/officeDocument/2006/relationships/header" Target="header15.xml"/><Relationship Id="rId53"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2.emf"/><Relationship Id="rId31" Type="http://schemas.openxmlformats.org/officeDocument/2006/relationships/image" Target="media/image11.png"/><Relationship Id="rId44" Type="http://schemas.openxmlformats.org/officeDocument/2006/relationships/image" Target="media/image19.emf"/><Relationship Id="rId52" Type="http://schemas.openxmlformats.org/officeDocument/2006/relationships/header" Target="header1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1.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header" Target="header12.xml"/><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cancerscreening.ie/publications/QA_final_web_version.pdf"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D6C57-003E-4D5D-9E7D-8F42CFF798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244</Pages>
  <Words>75089</Words>
  <Characters>428012</Characters>
  <Application>Microsoft Office Word</Application>
  <DocSecurity>0</DocSecurity>
  <Lines>3566</Lines>
  <Paragraphs>1004</Paragraphs>
  <ScaleCrop>false</ScaleCrop>
  <HeadingPairs>
    <vt:vector size="2" baseType="variant">
      <vt:variant>
        <vt:lpstr>Title</vt:lpstr>
      </vt:variant>
      <vt:variant>
        <vt:i4>1</vt:i4>
      </vt:variant>
    </vt:vector>
  </HeadingPairs>
  <TitlesOfParts>
    <vt:vector size="1" baseType="lpstr">
      <vt:lpstr>MSAC SBA Application 1166</vt:lpstr>
    </vt:vector>
  </TitlesOfParts>
  <Company>Dept Health And Ageing</Company>
  <LinksUpToDate>false</LinksUpToDate>
  <CharactersWithSpaces>502097</CharactersWithSpaces>
  <SharedDoc>false</SharedDoc>
  <HLinks>
    <vt:vector size="1332" baseType="variant">
      <vt:variant>
        <vt:i4>852028</vt:i4>
      </vt:variant>
      <vt:variant>
        <vt:i4>2331</vt:i4>
      </vt:variant>
      <vt:variant>
        <vt:i4>0</vt:i4>
      </vt:variant>
      <vt:variant>
        <vt:i4>5</vt:i4>
      </vt:variant>
      <vt:variant>
        <vt:lpwstr>http://www.cancerscreening.ie/publications/QA_final_web_version.pdf</vt:lpwstr>
      </vt:variant>
      <vt:variant>
        <vt:lpwstr/>
      </vt:variant>
      <vt:variant>
        <vt:i4>1245188</vt:i4>
      </vt:variant>
      <vt:variant>
        <vt:i4>2328</vt:i4>
      </vt:variant>
      <vt:variant>
        <vt:i4>0</vt:i4>
      </vt:variant>
      <vt:variant>
        <vt:i4>5</vt:i4>
      </vt:variant>
      <vt:variant>
        <vt:lpwstr>http://www.cochrane-handbook.org/</vt:lpwstr>
      </vt:variant>
      <vt:variant>
        <vt:lpwstr/>
      </vt:variant>
      <vt:variant>
        <vt:i4>1114160</vt:i4>
      </vt:variant>
      <vt:variant>
        <vt:i4>1325</vt:i4>
      </vt:variant>
      <vt:variant>
        <vt:i4>0</vt:i4>
      </vt:variant>
      <vt:variant>
        <vt:i4>5</vt:i4>
      </vt:variant>
      <vt:variant>
        <vt:lpwstr/>
      </vt:variant>
      <vt:variant>
        <vt:lpwstr>_Toc337547079</vt:lpwstr>
      </vt:variant>
      <vt:variant>
        <vt:i4>1114160</vt:i4>
      </vt:variant>
      <vt:variant>
        <vt:i4>1319</vt:i4>
      </vt:variant>
      <vt:variant>
        <vt:i4>0</vt:i4>
      </vt:variant>
      <vt:variant>
        <vt:i4>5</vt:i4>
      </vt:variant>
      <vt:variant>
        <vt:lpwstr/>
      </vt:variant>
      <vt:variant>
        <vt:lpwstr>_Toc337547078</vt:lpwstr>
      </vt:variant>
      <vt:variant>
        <vt:i4>1114160</vt:i4>
      </vt:variant>
      <vt:variant>
        <vt:i4>1313</vt:i4>
      </vt:variant>
      <vt:variant>
        <vt:i4>0</vt:i4>
      </vt:variant>
      <vt:variant>
        <vt:i4>5</vt:i4>
      </vt:variant>
      <vt:variant>
        <vt:lpwstr/>
      </vt:variant>
      <vt:variant>
        <vt:lpwstr>_Toc337547077</vt:lpwstr>
      </vt:variant>
      <vt:variant>
        <vt:i4>1114160</vt:i4>
      </vt:variant>
      <vt:variant>
        <vt:i4>1307</vt:i4>
      </vt:variant>
      <vt:variant>
        <vt:i4>0</vt:i4>
      </vt:variant>
      <vt:variant>
        <vt:i4>5</vt:i4>
      </vt:variant>
      <vt:variant>
        <vt:lpwstr/>
      </vt:variant>
      <vt:variant>
        <vt:lpwstr>_Toc337547076</vt:lpwstr>
      </vt:variant>
      <vt:variant>
        <vt:i4>1114160</vt:i4>
      </vt:variant>
      <vt:variant>
        <vt:i4>1304</vt:i4>
      </vt:variant>
      <vt:variant>
        <vt:i4>0</vt:i4>
      </vt:variant>
      <vt:variant>
        <vt:i4>5</vt:i4>
      </vt:variant>
      <vt:variant>
        <vt:lpwstr/>
      </vt:variant>
      <vt:variant>
        <vt:lpwstr>_Toc337547075</vt:lpwstr>
      </vt:variant>
      <vt:variant>
        <vt:i4>1114160</vt:i4>
      </vt:variant>
      <vt:variant>
        <vt:i4>1301</vt:i4>
      </vt:variant>
      <vt:variant>
        <vt:i4>0</vt:i4>
      </vt:variant>
      <vt:variant>
        <vt:i4>5</vt:i4>
      </vt:variant>
      <vt:variant>
        <vt:lpwstr/>
      </vt:variant>
      <vt:variant>
        <vt:lpwstr>_Toc337547074</vt:lpwstr>
      </vt:variant>
      <vt:variant>
        <vt:i4>1114160</vt:i4>
      </vt:variant>
      <vt:variant>
        <vt:i4>1298</vt:i4>
      </vt:variant>
      <vt:variant>
        <vt:i4>0</vt:i4>
      </vt:variant>
      <vt:variant>
        <vt:i4>5</vt:i4>
      </vt:variant>
      <vt:variant>
        <vt:lpwstr/>
      </vt:variant>
      <vt:variant>
        <vt:lpwstr>_Toc337547073</vt:lpwstr>
      </vt:variant>
      <vt:variant>
        <vt:i4>1114160</vt:i4>
      </vt:variant>
      <vt:variant>
        <vt:i4>1295</vt:i4>
      </vt:variant>
      <vt:variant>
        <vt:i4>0</vt:i4>
      </vt:variant>
      <vt:variant>
        <vt:i4>5</vt:i4>
      </vt:variant>
      <vt:variant>
        <vt:lpwstr/>
      </vt:variant>
      <vt:variant>
        <vt:lpwstr>_Toc337547072</vt:lpwstr>
      </vt:variant>
      <vt:variant>
        <vt:i4>1114160</vt:i4>
      </vt:variant>
      <vt:variant>
        <vt:i4>1292</vt:i4>
      </vt:variant>
      <vt:variant>
        <vt:i4>0</vt:i4>
      </vt:variant>
      <vt:variant>
        <vt:i4>5</vt:i4>
      </vt:variant>
      <vt:variant>
        <vt:lpwstr/>
      </vt:variant>
      <vt:variant>
        <vt:lpwstr>_Toc337547071</vt:lpwstr>
      </vt:variant>
      <vt:variant>
        <vt:i4>1114160</vt:i4>
      </vt:variant>
      <vt:variant>
        <vt:i4>1286</vt:i4>
      </vt:variant>
      <vt:variant>
        <vt:i4>0</vt:i4>
      </vt:variant>
      <vt:variant>
        <vt:i4>5</vt:i4>
      </vt:variant>
      <vt:variant>
        <vt:lpwstr/>
      </vt:variant>
      <vt:variant>
        <vt:lpwstr>_Toc337547070</vt:lpwstr>
      </vt:variant>
      <vt:variant>
        <vt:i4>1048624</vt:i4>
      </vt:variant>
      <vt:variant>
        <vt:i4>1280</vt:i4>
      </vt:variant>
      <vt:variant>
        <vt:i4>0</vt:i4>
      </vt:variant>
      <vt:variant>
        <vt:i4>5</vt:i4>
      </vt:variant>
      <vt:variant>
        <vt:lpwstr/>
      </vt:variant>
      <vt:variant>
        <vt:lpwstr>_Toc337547069</vt:lpwstr>
      </vt:variant>
      <vt:variant>
        <vt:i4>1048624</vt:i4>
      </vt:variant>
      <vt:variant>
        <vt:i4>1274</vt:i4>
      </vt:variant>
      <vt:variant>
        <vt:i4>0</vt:i4>
      </vt:variant>
      <vt:variant>
        <vt:i4>5</vt:i4>
      </vt:variant>
      <vt:variant>
        <vt:lpwstr/>
      </vt:variant>
      <vt:variant>
        <vt:lpwstr>_Toc337547068</vt:lpwstr>
      </vt:variant>
      <vt:variant>
        <vt:i4>1048624</vt:i4>
      </vt:variant>
      <vt:variant>
        <vt:i4>1271</vt:i4>
      </vt:variant>
      <vt:variant>
        <vt:i4>0</vt:i4>
      </vt:variant>
      <vt:variant>
        <vt:i4>5</vt:i4>
      </vt:variant>
      <vt:variant>
        <vt:lpwstr/>
      </vt:variant>
      <vt:variant>
        <vt:lpwstr>_Toc337547067</vt:lpwstr>
      </vt:variant>
      <vt:variant>
        <vt:i4>1048624</vt:i4>
      </vt:variant>
      <vt:variant>
        <vt:i4>1265</vt:i4>
      </vt:variant>
      <vt:variant>
        <vt:i4>0</vt:i4>
      </vt:variant>
      <vt:variant>
        <vt:i4>5</vt:i4>
      </vt:variant>
      <vt:variant>
        <vt:lpwstr/>
      </vt:variant>
      <vt:variant>
        <vt:lpwstr>_Toc337547066</vt:lpwstr>
      </vt:variant>
      <vt:variant>
        <vt:i4>1048624</vt:i4>
      </vt:variant>
      <vt:variant>
        <vt:i4>1259</vt:i4>
      </vt:variant>
      <vt:variant>
        <vt:i4>0</vt:i4>
      </vt:variant>
      <vt:variant>
        <vt:i4>5</vt:i4>
      </vt:variant>
      <vt:variant>
        <vt:lpwstr/>
      </vt:variant>
      <vt:variant>
        <vt:lpwstr>_Toc337547065</vt:lpwstr>
      </vt:variant>
      <vt:variant>
        <vt:i4>1048624</vt:i4>
      </vt:variant>
      <vt:variant>
        <vt:i4>1253</vt:i4>
      </vt:variant>
      <vt:variant>
        <vt:i4>0</vt:i4>
      </vt:variant>
      <vt:variant>
        <vt:i4>5</vt:i4>
      </vt:variant>
      <vt:variant>
        <vt:lpwstr/>
      </vt:variant>
      <vt:variant>
        <vt:lpwstr>_Toc337547064</vt:lpwstr>
      </vt:variant>
      <vt:variant>
        <vt:i4>1048624</vt:i4>
      </vt:variant>
      <vt:variant>
        <vt:i4>1247</vt:i4>
      </vt:variant>
      <vt:variant>
        <vt:i4>0</vt:i4>
      </vt:variant>
      <vt:variant>
        <vt:i4>5</vt:i4>
      </vt:variant>
      <vt:variant>
        <vt:lpwstr/>
      </vt:variant>
      <vt:variant>
        <vt:lpwstr>_Toc337547063</vt:lpwstr>
      </vt:variant>
      <vt:variant>
        <vt:i4>1048624</vt:i4>
      </vt:variant>
      <vt:variant>
        <vt:i4>1241</vt:i4>
      </vt:variant>
      <vt:variant>
        <vt:i4>0</vt:i4>
      </vt:variant>
      <vt:variant>
        <vt:i4>5</vt:i4>
      </vt:variant>
      <vt:variant>
        <vt:lpwstr/>
      </vt:variant>
      <vt:variant>
        <vt:lpwstr>_Toc337547062</vt:lpwstr>
      </vt:variant>
      <vt:variant>
        <vt:i4>1048624</vt:i4>
      </vt:variant>
      <vt:variant>
        <vt:i4>1235</vt:i4>
      </vt:variant>
      <vt:variant>
        <vt:i4>0</vt:i4>
      </vt:variant>
      <vt:variant>
        <vt:i4>5</vt:i4>
      </vt:variant>
      <vt:variant>
        <vt:lpwstr/>
      </vt:variant>
      <vt:variant>
        <vt:lpwstr>_Toc337547061</vt:lpwstr>
      </vt:variant>
      <vt:variant>
        <vt:i4>1048624</vt:i4>
      </vt:variant>
      <vt:variant>
        <vt:i4>1229</vt:i4>
      </vt:variant>
      <vt:variant>
        <vt:i4>0</vt:i4>
      </vt:variant>
      <vt:variant>
        <vt:i4>5</vt:i4>
      </vt:variant>
      <vt:variant>
        <vt:lpwstr/>
      </vt:variant>
      <vt:variant>
        <vt:lpwstr>_Toc337547060</vt:lpwstr>
      </vt:variant>
      <vt:variant>
        <vt:i4>1245232</vt:i4>
      </vt:variant>
      <vt:variant>
        <vt:i4>1223</vt:i4>
      </vt:variant>
      <vt:variant>
        <vt:i4>0</vt:i4>
      </vt:variant>
      <vt:variant>
        <vt:i4>5</vt:i4>
      </vt:variant>
      <vt:variant>
        <vt:lpwstr/>
      </vt:variant>
      <vt:variant>
        <vt:lpwstr>_Toc337547059</vt:lpwstr>
      </vt:variant>
      <vt:variant>
        <vt:i4>1245232</vt:i4>
      </vt:variant>
      <vt:variant>
        <vt:i4>1217</vt:i4>
      </vt:variant>
      <vt:variant>
        <vt:i4>0</vt:i4>
      </vt:variant>
      <vt:variant>
        <vt:i4>5</vt:i4>
      </vt:variant>
      <vt:variant>
        <vt:lpwstr/>
      </vt:variant>
      <vt:variant>
        <vt:lpwstr>_Toc337547058</vt:lpwstr>
      </vt:variant>
      <vt:variant>
        <vt:i4>1245232</vt:i4>
      </vt:variant>
      <vt:variant>
        <vt:i4>1211</vt:i4>
      </vt:variant>
      <vt:variant>
        <vt:i4>0</vt:i4>
      </vt:variant>
      <vt:variant>
        <vt:i4>5</vt:i4>
      </vt:variant>
      <vt:variant>
        <vt:lpwstr/>
      </vt:variant>
      <vt:variant>
        <vt:lpwstr>_Toc337547057</vt:lpwstr>
      </vt:variant>
      <vt:variant>
        <vt:i4>1245232</vt:i4>
      </vt:variant>
      <vt:variant>
        <vt:i4>1205</vt:i4>
      </vt:variant>
      <vt:variant>
        <vt:i4>0</vt:i4>
      </vt:variant>
      <vt:variant>
        <vt:i4>5</vt:i4>
      </vt:variant>
      <vt:variant>
        <vt:lpwstr/>
      </vt:variant>
      <vt:variant>
        <vt:lpwstr>_Toc337547056</vt:lpwstr>
      </vt:variant>
      <vt:variant>
        <vt:i4>1245232</vt:i4>
      </vt:variant>
      <vt:variant>
        <vt:i4>1199</vt:i4>
      </vt:variant>
      <vt:variant>
        <vt:i4>0</vt:i4>
      </vt:variant>
      <vt:variant>
        <vt:i4>5</vt:i4>
      </vt:variant>
      <vt:variant>
        <vt:lpwstr/>
      </vt:variant>
      <vt:variant>
        <vt:lpwstr>_Toc337547055</vt:lpwstr>
      </vt:variant>
      <vt:variant>
        <vt:i4>1245232</vt:i4>
      </vt:variant>
      <vt:variant>
        <vt:i4>1193</vt:i4>
      </vt:variant>
      <vt:variant>
        <vt:i4>0</vt:i4>
      </vt:variant>
      <vt:variant>
        <vt:i4>5</vt:i4>
      </vt:variant>
      <vt:variant>
        <vt:lpwstr/>
      </vt:variant>
      <vt:variant>
        <vt:lpwstr>_Toc337547054</vt:lpwstr>
      </vt:variant>
      <vt:variant>
        <vt:i4>1245232</vt:i4>
      </vt:variant>
      <vt:variant>
        <vt:i4>1187</vt:i4>
      </vt:variant>
      <vt:variant>
        <vt:i4>0</vt:i4>
      </vt:variant>
      <vt:variant>
        <vt:i4>5</vt:i4>
      </vt:variant>
      <vt:variant>
        <vt:lpwstr/>
      </vt:variant>
      <vt:variant>
        <vt:lpwstr>_Toc337547053</vt:lpwstr>
      </vt:variant>
      <vt:variant>
        <vt:i4>1245232</vt:i4>
      </vt:variant>
      <vt:variant>
        <vt:i4>1181</vt:i4>
      </vt:variant>
      <vt:variant>
        <vt:i4>0</vt:i4>
      </vt:variant>
      <vt:variant>
        <vt:i4>5</vt:i4>
      </vt:variant>
      <vt:variant>
        <vt:lpwstr/>
      </vt:variant>
      <vt:variant>
        <vt:lpwstr>_Toc337547052</vt:lpwstr>
      </vt:variant>
      <vt:variant>
        <vt:i4>1245232</vt:i4>
      </vt:variant>
      <vt:variant>
        <vt:i4>1175</vt:i4>
      </vt:variant>
      <vt:variant>
        <vt:i4>0</vt:i4>
      </vt:variant>
      <vt:variant>
        <vt:i4>5</vt:i4>
      </vt:variant>
      <vt:variant>
        <vt:lpwstr/>
      </vt:variant>
      <vt:variant>
        <vt:lpwstr>_Toc337547051</vt:lpwstr>
      </vt:variant>
      <vt:variant>
        <vt:i4>1245232</vt:i4>
      </vt:variant>
      <vt:variant>
        <vt:i4>1166</vt:i4>
      </vt:variant>
      <vt:variant>
        <vt:i4>0</vt:i4>
      </vt:variant>
      <vt:variant>
        <vt:i4>5</vt:i4>
      </vt:variant>
      <vt:variant>
        <vt:lpwstr/>
      </vt:variant>
      <vt:variant>
        <vt:lpwstr>_Toc337547050</vt:lpwstr>
      </vt:variant>
      <vt:variant>
        <vt:i4>1179696</vt:i4>
      </vt:variant>
      <vt:variant>
        <vt:i4>1160</vt:i4>
      </vt:variant>
      <vt:variant>
        <vt:i4>0</vt:i4>
      </vt:variant>
      <vt:variant>
        <vt:i4>5</vt:i4>
      </vt:variant>
      <vt:variant>
        <vt:lpwstr/>
      </vt:variant>
      <vt:variant>
        <vt:lpwstr>_Toc337547049</vt:lpwstr>
      </vt:variant>
      <vt:variant>
        <vt:i4>1179696</vt:i4>
      </vt:variant>
      <vt:variant>
        <vt:i4>1154</vt:i4>
      </vt:variant>
      <vt:variant>
        <vt:i4>0</vt:i4>
      </vt:variant>
      <vt:variant>
        <vt:i4>5</vt:i4>
      </vt:variant>
      <vt:variant>
        <vt:lpwstr/>
      </vt:variant>
      <vt:variant>
        <vt:lpwstr>_Toc337547048</vt:lpwstr>
      </vt:variant>
      <vt:variant>
        <vt:i4>1179696</vt:i4>
      </vt:variant>
      <vt:variant>
        <vt:i4>1148</vt:i4>
      </vt:variant>
      <vt:variant>
        <vt:i4>0</vt:i4>
      </vt:variant>
      <vt:variant>
        <vt:i4>5</vt:i4>
      </vt:variant>
      <vt:variant>
        <vt:lpwstr/>
      </vt:variant>
      <vt:variant>
        <vt:lpwstr>_Toc337547047</vt:lpwstr>
      </vt:variant>
      <vt:variant>
        <vt:i4>1179696</vt:i4>
      </vt:variant>
      <vt:variant>
        <vt:i4>1142</vt:i4>
      </vt:variant>
      <vt:variant>
        <vt:i4>0</vt:i4>
      </vt:variant>
      <vt:variant>
        <vt:i4>5</vt:i4>
      </vt:variant>
      <vt:variant>
        <vt:lpwstr/>
      </vt:variant>
      <vt:variant>
        <vt:lpwstr>_Toc337547046</vt:lpwstr>
      </vt:variant>
      <vt:variant>
        <vt:i4>1179696</vt:i4>
      </vt:variant>
      <vt:variant>
        <vt:i4>1136</vt:i4>
      </vt:variant>
      <vt:variant>
        <vt:i4>0</vt:i4>
      </vt:variant>
      <vt:variant>
        <vt:i4>5</vt:i4>
      </vt:variant>
      <vt:variant>
        <vt:lpwstr/>
      </vt:variant>
      <vt:variant>
        <vt:lpwstr>_Toc337547045</vt:lpwstr>
      </vt:variant>
      <vt:variant>
        <vt:i4>1179696</vt:i4>
      </vt:variant>
      <vt:variant>
        <vt:i4>1130</vt:i4>
      </vt:variant>
      <vt:variant>
        <vt:i4>0</vt:i4>
      </vt:variant>
      <vt:variant>
        <vt:i4>5</vt:i4>
      </vt:variant>
      <vt:variant>
        <vt:lpwstr/>
      </vt:variant>
      <vt:variant>
        <vt:lpwstr>_Toc337547044</vt:lpwstr>
      </vt:variant>
      <vt:variant>
        <vt:i4>1179696</vt:i4>
      </vt:variant>
      <vt:variant>
        <vt:i4>1124</vt:i4>
      </vt:variant>
      <vt:variant>
        <vt:i4>0</vt:i4>
      </vt:variant>
      <vt:variant>
        <vt:i4>5</vt:i4>
      </vt:variant>
      <vt:variant>
        <vt:lpwstr/>
      </vt:variant>
      <vt:variant>
        <vt:lpwstr>_Toc337547043</vt:lpwstr>
      </vt:variant>
      <vt:variant>
        <vt:i4>1179696</vt:i4>
      </vt:variant>
      <vt:variant>
        <vt:i4>1118</vt:i4>
      </vt:variant>
      <vt:variant>
        <vt:i4>0</vt:i4>
      </vt:variant>
      <vt:variant>
        <vt:i4>5</vt:i4>
      </vt:variant>
      <vt:variant>
        <vt:lpwstr/>
      </vt:variant>
      <vt:variant>
        <vt:lpwstr>_Toc337547042</vt:lpwstr>
      </vt:variant>
      <vt:variant>
        <vt:i4>1179696</vt:i4>
      </vt:variant>
      <vt:variant>
        <vt:i4>1112</vt:i4>
      </vt:variant>
      <vt:variant>
        <vt:i4>0</vt:i4>
      </vt:variant>
      <vt:variant>
        <vt:i4>5</vt:i4>
      </vt:variant>
      <vt:variant>
        <vt:lpwstr/>
      </vt:variant>
      <vt:variant>
        <vt:lpwstr>_Toc337547041</vt:lpwstr>
      </vt:variant>
      <vt:variant>
        <vt:i4>1179696</vt:i4>
      </vt:variant>
      <vt:variant>
        <vt:i4>1106</vt:i4>
      </vt:variant>
      <vt:variant>
        <vt:i4>0</vt:i4>
      </vt:variant>
      <vt:variant>
        <vt:i4>5</vt:i4>
      </vt:variant>
      <vt:variant>
        <vt:lpwstr/>
      </vt:variant>
      <vt:variant>
        <vt:lpwstr>_Toc337547040</vt:lpwstr>
      </vt:variant>
      <vt:variant>
        <vt:i4>1376304</vt:i4>
      </vt:variant>
      <vt:variant>
        <vt:i4>1100</vt:i4>
      </vt:variant>
      <vt:variant>
        <vt:i4>0</vt:i4>
      </vt:variant>
      <vt:variant>
        <vt:i4>5</vt:i4>
      </vt:variant>
      <vt:variant>
        <vt:lpwstr/>
      </vt:variant>
      <vt:variant>
        <vt:lpwstr>_Toc337547039</vt:lpwstr>
      </vt:variant>
      <vt:variant>
        <vt:i4>1376304</vt:i4>
      </vt:variant>
      <vt:variant>
        <vt:i4>1094</vt:i4>
      </vt:variant>
      <vt:variant>
        <vt:i4>0</vt:i4>
      </vt:variant>
      <vt:variant>
        <vt:i4>5</vt:i4>
      </vt:variant>
      <vt:variant>
        <vt:lpwstr/>
      </vt:variant>
      <vt:variant>
        <vt:lpwstr>_Toc337547038</vt:lpwstr>
      </vt:variant>
      <vt:variant>
        <vt:i4>1376304</vt:i4>
      </vt:variant>
      <vt:variant>
        <vt:i4>1088</vt:i4>
      </vt:variant>
      <vt:variant>
        <vt:i4>0</vt:i4>
      </vt:variant>
      <vt:variant>
        <vt:i4>5</vt:i4>
      </vt:variant>
      <vt:variant>
        <vt:lpwstr/>
      </vt:variant>
      <vt:variant>
        <vt:lpwstr>_Toc337547037</vt:lpwstr>
      </vt:variant>
      <vt:variant>
        <vt:i4>1376304</vt:i4>
      </vt:variant>
      <vt:variant>
        <vt:i4>1082</vt:i4>
      </vt:variant>
      <vt:variant>
        <vt:i4>0</vt:i4>
      </vt:variant>
      <vt:variant>
        <vt:i4>5</vt:i4>
      </vt:variant>
      <vt:variant>
        <vt:lpwstr/>
      </vt:variant>
      <vt:variant>
        <vt:lpwstr>_Toc337547036</vt:lpwstr>
      </vt:variant>
      <vt:variant>
        <vt:i4>1376304</vt:i4>
      </vt:variant>
      <vt:variant>
        <vt:i4>1076</vt:i4>
      </vt:variant>
      <vt:variant>
        <vt:i4>0</vt:i4>
      </vt:variant>
      <vt:variant>
        <vt:i4>5</vt:i4>
      </vt:variant>
      <vt:variant>
        <vt:lpwstr/>
      </vt:variant>
      <vt:variant>
        <vt:lpwstr>_Toc337547035</vt:lpwstr>
      </vt:variant>
      <vt:variant>
        <vt:i4>1376304</vt:i4>
      </vt:variant>
      <vt:variant>
        <vt:i4>1070</vt:i4>
      </vt:variant>
      <vt:variant>
        <vt:i4>0</vt:i4>
      </vt:variant>
      <vt:variant>
        <vt:i4>5</vt:i4>
      </vt:variant>
      <vt:variant>
        <vt:lpwstr/>
      </vt:variant>
      <vt:variant>
        <vt:lpwstr>_Toc337547034</vt:lpwstr>
      </vt:variant>
      <vt:variant>
        <vt:i4>1376304</vt:i4>
      </vt:variant>
      <vt:variant>
        <vt:i4>1064</vt:i4>
      </vt:variant>
      <vt:variant>
        <vt:i4>0</vt:i4>
      </vt:variant>
      <vt:variant>
        <vt:i4>5</vt:i4>
      </vt:variant>
      <vt:variant>
        <vt:lpwstr/>
      </vt:variant>
      <vt:variant>
        <vt:lpwstr>_Toc337547033</vt:lpwstr>
      </vt:variant>
      <vt:variant>
        <vt:i4>1376304</vt:i4>
      </vt:variant>
      <vt:variant>
        <vt:i4>1058</vt:i4>
      </vt:variant>
      <vt:variant>
        <vt:i4>0</vt:i4>
      </vt:variant>
      <vt:variant>
        <vt:i4>5</vt:i4>
      </vt:variant>
      <vt:variant>
        <vt:lpwstr/>
      </vt:variant>
      <vt:variant>
        <vt:lpwstr>_Toc337547032</vt:lpwstr>
      </vt:variant>
      <vt:variant>
        <vt:i4>1376304</vt:i4>
      </vt:variant>
      <vt:variant>
        <vt:i4>1052</vt:i4>
      </vt:variant>
      <vt:variant>
        <vt:i4>0</vt:i4>
      </vt:variant>
      <vt:variant>
        <vt:i4>5</vt:i4>
      </vt:variant>
      <vt:variant>
        <vt:lpwstr/>
      </vt:variant>
      <vt:variant>
        <vt:lpwstr>_Toc337547031</vt:lpwstr>
      </vt:variant>
      <vt:variant>
        <vt:i4>1376304</vt:i4>
      </vt:variant>
      <vt:variant>
        <vt:i4>1046</vt:i4>
      </vt:variant>
      <vt:variant>
        <vt:i4>0</vt:i4>
      </vt:variant>
      <vt:variant>
        <vt:i4>5</vt:i4>
      </vt:variant>
      <vt:variant>
        <vt:lpwstr/>
      </vt:variant>
      <vt:variant>
        <vt:lpwstr>_Toc337547030</vt:lpwstr>
      </vt:variant>
      <vt:variant>
        <vt:i4>1310768</vt:i4>
      </vt:variant>
      <vt:variant>
        <vt:i4>1040</vt:i4>
      </vt:variant>
      <vt:variant>
        <vt:i4>0</vt:i4>
      </vt:variant>
      <vt:variant>
        <vt:i4>5</vt:i4>
      </vt:variant>
      <vt:variant>
        <vt:lpwstr/>
      </vt:variant>
      <vt:variant>
        <vt:lpwstr>_Toc337547029</vt:lpwstr>
      </vt:variant>
      <vt:variant>
        <vt:i4>1310768</vt:i4>
      </vt:variant>
      <vt:variant>
        <vt:i4>1034</vt:i4>
      </vt:variant>
      <vt:variant>
        <vt:i4>0</vt:i4>
      </vt:variant>
      <vt:variant>
        <vt:i4>5</vt:i4>
      </vt:variant>
      <vt:variant>
        <vt:lpwstr/>
      </vt:variant>
      <vt:variant>
        <vt:lpwstr>_Toc337547028</vt:lpwstr>
      </vt:variant>
      <vt:variant>
        <vt:i4>1310768</vt:i4>
      </vt:variant>
      <vt:variant>
        <vt:i4>1028</vt:i4>
      </vt:variant>
      <vt:variant>
        <vt:i4>0</vt:i4>
      </vt:variant>
      <vt:variant>
        <vt:i4>5</vt:i4>
      </vt:variant>
      <vt:variant>
        <vt:lpwstr/>
      </vt:variant>
      <vt:variant>
        <vt:lpwstr>_Toc337547027</vt:lpwstr>
      </vt:variant>
      <vt:variant>
        <vt:i4>1310768</vt:i4>
      </vt:variant>
      <vt:variant>
        <vt:i4>1022</vt:i4>
      </vt:variant>
      <vt:variant>
        <vt:i4>0</vt:i4>
      </vt:variant>
      <vt:variant>
        <vt:i4>5</vt:i4>
      </vt:variant>
      <vt:variant>
        <vt:lpwstr/>
      </vt:variant>
      <vt:variant>
        <vt:lpwstr>_Toc337547026</vt:lpwstr>
      </vt:variant>
      <vt:variant>
        <vt:i4>1310768</vt:i4>
      </vt:variant>
      <vt:variant>
        <vt:i4>1016</vt:i4>
      </vt:variant>
      <vt:variant>
        <vt:i4>0</vt:i4>
      </vt:variant>
      <vt:variant>
        <vt:i4>5</vt:i4>
      </vt:variant>
      <vt:variant>
        <vt:lpwstr/>
      </vt:variant>
      <vt:variant>
        <vt:lpwstr>_Toc337547025</vt:lpwstr>
      </vt:variant>
      <vt:variant>
        <vt:i4>1310768</vt:i4>
      </vt:variant>
      <vt:variant>
        <vt:i4>1010</vt:i4>
      </vt:variant>
      <vt:variant>
        <vt:i4>0</vt:i4>
      </vt:variant>
      <vt:variant>
        <vt:i4>5</vt:i4>
      </vt:variant>
      <vt:variant>
        <vt:lpwstr/>
      </vt:variant>
      <vt:variant>
        <vt:lpwstr>_Toc337547024</vt:lpwstr>
      </vt:variant>
      <vt:variant>
        <vt:i4>1310768</vt:i4>
      </vt:variant>
      <vt:variant>
        <vt:i4>1004</vt:i4>
      </vt:variant>
      <vt:variant>
        <vt:i4>0</vt:i4>
      </vt:variant>
      <vt:variant>
        <vt:i4>5</vt:i4>
      </vt:variant>
      <vt:variant>
        <vt:lpwstr/>
      </vt:variant>
      <vt:variant>
        <vt:lpwstr>_Toc337547023</vt:lpwstr>
      </vt:variant>
      <vt:variant>
        <vt:i4>1310768</vt:i4>
      </vt:variant>
      <vt:variant>
        <vt:i4>1001</vt:i4>
      </vt:variant>
      <vt:variant>
        <vt:i4>0</vt:i4>
      </vt:variant>
      <vt:variant>
        <vt:i4>5</vt:i4>
      </vt:variant>
      <vt:variant>
        <vt:lpwstr/>
      </vt:variant>
      <vt:variant>
        <vt:lpwstr>_Toc337547022</vt:lpwstr>
      </vt:variant>
      <vt:variant>
        <vt:i4>1310768</vt:i4>
      </vt:variant>
      <vt:variant>
        <vt:i4>998</vt:i4>
      </vt:variant>
      <vt:variant>
        <vt:i4>0</vt:i4>
      </vt:variant>
      <vt:variant>
        <vt:i4>5</vt:i4>
      </vt:variant>
      <vt:variant>
        <vt:lpwstr/>
      </vt:variant>
      <vt:variant>
        <vt:lpwstr>_Toc337547021</vt:lpwstr>
      </vt:variant>
      <vt:variant>
        <vt:i4>1310768</vt:i4>
      </vt:variant>
      <vt:variant>
        <vt:i4>995</vt:i4>
      </vt:variant>
      <vt:variant>
        <vt:i4>0</vt:i4>
      </vt:variant>
      <vt:variant>
        <vt:i4>5</vt:i4>
      </vt:variant>
      <vt:variant>
        <vt:lpwstr/>
      </vt:variant>
      <vt:variant>
        <vt:lpwstr>_Toc337547020</vt:lpwstr>
      </vt:variant>
      <vt:variant>
        <vt:i4>1507376</vt:i4>
      </vt:variant>
      <vt:variant>
        <vt:i4>989</vt:i4>
      </vt:variant>
      <vt:variant>
        <vt:i4>0</vt:i4>
      </vt:variant>
      <vt:variant>
        <vt:i4>5</vt:i4>
      </vt:variant>
      <vt:variant>
        <vt:lpwstr/>
      </vt:variant>
      <vt:variant>
        <vt:lpwstr>_Toc337547019</vt:lpwstr>
      </vt:variant>
      <vt:variant>
        <vt:i4>1507376</vt:i4>
      </vt:variant>
      <vt:variant>
        <vt:i4>983</vt:i4>
      </vt:variant>
      <vt:variant>
        <vt:i4>0</vt:i4>
      </vt:variant>
      <vt:variant>
        <vt:i4>5</vt:i4>
      </vt:variant>
      <vt:variant>
        <vt:lpwstr/>
      </vt:variant>
      <vt:variant>
        <vt:lpwstr>_Toc337547018</vt:lpwstr>
      </vt:variant>
      <vt:variant>
        <vt:i4>1507376</vt:i4>
      </vt:variant>
      <vt:variant>
        <vt:i4>977</vt:i4>
      </vt:variant>
      <vt:variant>
        <vt:i4>0</vt:i4>
      </vt:variant>
      <vt:variant>
        <vt:i4>5</vt:i4>
      </vt:variant>
      <vt:variant>
        <vt:lpwstr/>
      </vt:variant>
      <vt:variant>
        <vt:lpwstr>_Toc337547017</vt:lpwstr>
      </vt:variant>
      <vt:variant>
        <vt:i4>1507376</vt:i4>
      </vt:variant>
      <vt:variant>
        <vt:i4>971</vt:i4>
      </vt:variant>
      <vt:variant>
        <vt:i4>0</vt:i4>
      </vt:variant>
      <vt:variant>
        <vt:i4>5</vt:i4>
      </vt:variant>
      <vt:variant>
        <vt:lpwstr/>
      </vt:variant>
      <vt:variant>
        <vt:lpwstr>_Toc337547016</vt:lpwstr>
      </vt:variant>
      <vt:variant>
        <vt:i4>1507376</vt:i4>
      </vt:variant>
      <vt:variant>
        <vt:i4>965</vt:i4>
      </vt:variant>
      <vt:variant>
        <vt:i4>0</vt:i4>
      </vt:variant>
      <vt:variant>
        <vt:i4>5</vt:i4>
      </vt:variant>
      <vt:variant>
        <vt:lpwstr/>
      </vt:variant>
      <vt:variant>
        <vt:lpwstr>_Toc337547015</vt:lpwstr>
      </vt:variant>
      <vt:variant>
        <vt:i4>1507376</vt:i4>
      </vt:variant>
      <vt:variant>
        <vt:i4>959</vt:i4>
      </vt:variant>
      <vt:variant>
        <vt:i4>0</vt:i4>
      </vt:variant>
      <vt:variant>
        <vt:i4>5</vt:i4>
      </vt:variant>
      <vt:variant>
        <vt:lpwstr/>
      </vt:variant>
      <vt:variant>
        <vt:lpwstr>_Toc337547014</vt:lpwstr>
      </vt:variant>
      <vt:variant>
        <vt:i4>1507376</vt:i4>
      </vt:variant>
      <vt:variant>
        <vt:i4>953</vt:i4>
      </vt:variant>
      <vt:variant>
        <vt:i4>0</vt:i4>
      </vt:variant>
      <vt:variant>
        <vt:i4>5</vt:i4>
      </vt:variant>
      <vt:variant>
        <vt:lpwstr/>
      </vt:variant>
      <vt:variant>
        <vt:lpwstr>_Toc337547013</vt:lpwstr>
      </vt:variant>
      <vt:variant>
        <vt:i4>1507376</vt:i4>
      </vt:variant>
      <vt:variant>
        <vt:i4>947</vt:i4>
      </vt:variant>
      <vt:variant>
        <vt:i4>0</vt:i4>
      </vt:variant>
      <vt:variant>
        <vt:i4>5</vt:i4>
      </vt:variant>
      <vt:variant>
        <vt:lpwstr/>
      </vt:variant>
      <vt:variant>
        <vt:lpwstr>_Toc337547012</vt:lpwstr>
      </vt:variant>
      <vt:variant>
        <vt:i4>1507376</vt:i4>
      </vt:variant>
      <vt:variant>
        <vt:i4>941</vt:i4>
      </vt:variant>
      <vt:variant>
        <vt:i4>0</vt:i4>
      </vt:variant>
      <vt:variant>
        <vt:i4>5</vt:i4>
      </vt:variant>
      <vt:variant>
        <vt:lpwstr/>
      </vt:variant>
      <vt:variant>
        <vt:lpwstr>_Toc337547011</vt:lpwstr>
      </vt:variant>
      <vt:variant>
        <vt:i4>1507376</vt:i4>
      </vt:variant>
      <vt:variant>
        <vt:i4>935</vt:i4>
      </vt:variant>
      <vt:variant>
        <vt:i4>0</vt:i4>
      </vt:variant>
      <vt:variant>
        <vt:i4>5</vt:i4>
      </vt:variant>
      <vt:variant>
        <vt:lpwstr/>
      </vt:variant>
      <vt:variant>
        <vt:lpwstr>_Toc337547010</vt:lpwstr>
      </vt:variant>
      <vt:variant>
        <vt:i4>1441840</vt:i4>
      </vt:variant>
      <vt:variant>
        <vt:i4>929</vt:i4>
      </vt:variant>
      <vt:variant>
        <vt:i4>0</vt:i4>
      </vt:variant>
      <vt:variant>
        <vt:i4>5</vt:i4>
      </vt:variant>
      <vt:variant>
        <vt:lpwstr/>
      </vt:variant>
      <vt:variant>
        <vt:lpwstr>_Toc337547009</vt:lpwstr>
      </vt:variant>
      <vt:variant>
        <vt:i4>1441840</vt:i4>
      </vt:variant>
      <vt:variant>
        <vt:i4>923</vt:i4>
      </vt:variant>
      <vt:variant>
        <vt:i4>0</vt:i4>
      </vt:variant>
      <vt:variant>
        <vt:i4>5</vt:i4>
      </vt:variant>
      <vt:variant>
        <vt:lpwstr/>
      </vt:variant>
      <vt:variant>
        <vt:lpwstr>_Toc337547008</vt:lpwstr>
      </vt:variant>
      <vt:variant>
        <vt:i4>1441840</vt:i4>
      </vt:variant>
      <vt:variant>
        <vt:i4>917</vt:i4>
      </vt:variant>
      <vt:variant>
        <vt:i4>0</vt:i4>
      </vt:variant>
      <vt:variant>
        <vt:i4>5</vt:i4>
      </vt:variant>
      <vt:variant>
        <vt:lpwstr/>
      </vt:variant>
      <vt:variant>
        <vt:lpwstr>_Toc337547007</vt:lpwstr>
      </vt:variant>
      <vt:variant>
        <vt:i4>1441840</vt:i4>
      </vt:variant>
      <vt:variant>
        <vt:i4>911</vt:i4>
      </vt:variant>
      <vt:variant>
        <vt:i4>0</vt:i4>
      </vt:variant>
      <vt:variant>
        <vt:i4>5</vt:i4>
      </vt:variant>
      <vt:variant>
        <vt:lpwstr/>
      </vt:variant>
      <vt:variant>
        <vt:lpwstr>_Toc337547006</vt:lpwstr>
      </vt:variant>
      <vt:variant>
        <vt:i4>1441840</vt:i4>
      </vt:variant>
      <vt:variant>
        <vt:i4>905</vt:i4>
      </vt:variant>
      <vt:variant>
        <vt:i4>0</vt:i4>
      </vt:variant>
      <vt:variant>
        <vt:i4>5</vt:i4>
      </vt:variant>
      <vt:variant>
        <vt:lpwstr/>
      </vt:variant>
      <vt:variant>
        <vt:lpwstr>_Toc337547005</vt:lpwstr>
      </vt:variant>
      <vt:variant>
        <vt:i4>1441840</vt:i4>
      </vt:variant>
      <vt:variant>
        <vt:i4>899</vt:i4>
      </vt:variant>
      <vt:variant>
        <vt:i4>0</vt:i4>
      </vt:variant>
      <vt:variant>
        <vt:i4>5</vt:i4>
      </vt:variant>
      <vt:variant>
        <vt:lpwstr/>
      </vt:variant>
      <vt:variant>
        <vt:lpwstr>_Toc337547004</vt:lpwstr>
      </vt:variant>
      <vt:variant>
        <vt:i4>1441840</vt:i4>
      </vt:variant>
      <vt:variant>
        <vt:i4>893</vt:i4>
      </vt:variant>
      <vt:variant>
        <vt:i4>0</vt:i4>
      </vt:variant>
      <vt:variant>
        <vt:i4>5</vt:i4>
      </vt:variant>
      <vt:variant>
        <vt:lpwstr/>
      </vt:variant>
      <vt:variant>
        <vt:lpwstr>_Toc337547003</vt:lpwstr>
      </vt:variant>
      <vt:variant>
        <vt:i4>1441840</vt:i4>
      </vt:variant>
      <vt:variant>
        <vt:i4>887</vt:i4>
      </vt:variant>
      <vt:variant>
        <vt:i4>0</vt:i4>
      </vt:variant>
      <vt:variant>
        <vt:i4>5</vt:i4>
      </vt:variant>
      <vt:variant>
        <vt:lpwstr/>
      </vt:variant>
      <vt:variant>
        <vt:lpwstr>_Toc337547002</vt:lpwstr>
      </vt:variant>
      <vt:variant>
        <vt:i4>1441840</vt:i4>
      </vt:variant>
      <vt:variant>
        <vt:i4>881</vt:i4>
      </vt:variant>
      <vt:variant>
        <vt:i4>0</vt:i4>
      </vt:variant>
      <vt:variant>
        <vt:i4>5</vt:i4>
      </vt:variant>
      <vt:variant>
        <vt:lpwstr/>
      </vt:variant>
      <vt:variant>
        <vt:lpwstr>_Toc337547001</vt:lpwstr>
      </vt:variant>
      <vt:variant>
        <vt:i4>1441840</vt:i4>
      </vt:variant>
      <vt:variant>
        <vt:i4>875</vt:i4>
      </vt:variant>
      <vt:variant>
        <vt:i4>0</vt:i4>
      </vt:variant>
      <vt:variant>
        <vt:i4>5</vt:i4>
      </vt:variant>
      <vt:variant>
        <vt:lpwstr/>
      </vt:variant>
      <vt:variant>
        <vt:lpwstr>_Toc337547000</vt:lpwstr>
      </vt:variant>
      <vt:variant>
        <vt:i4>1966137</vt:i4>
      </vt:variant>
      <vt:variant>
        <vt:i4>869</vt:i4>
      </vt:variant>
      <vt:variant>
        <vt:i4>0</vt:i4>
      </vt:variant>
      <vt:variant>
        <vt:i4>5</vt:i4>
      </vt:variant>
      <vt:variant>
        <vt:lpwstr/>
      </vt:variant>
      <vt:variant>
        <vt:lpwstr>_Toc337546999</vt:lpwstr>
      </vt:variant>
      <vt:variant>
        <vt:i4>1966137</vt:i4>
      </vt:variant>
      <vt:variant>
        <vt:i4>863</vt:i4>
      </vt:variant>
      <vt:variant>
        <vt:i4>0</vt:i4>
      </vt:variant>
      <vt:variant>
        <vt:i4>5</vt:i4>
      </vt:variant>
      <vt:variant>
        <vt:lpwstr/>
      </vt:variant>
      <vt:variant>
        <vt:lpwstr>_Toc337546998</vt:lpwstr>
      </vt:variant>
      <vt:variant>
        <vt:i4>1966137</vt:i4>
      </vt:variant>
      <vt:variant>
        <vt:i4>857</vt:i4>
      </vt:variant>
      <vt:variant>
        <vt:i4>0</vt:i4>
      </vt:variant>
      <vt:variant>
        <vt:i4>5</vt:i4>
      </vt:variant>
      <vt:variant>
        <vt:lpwstr/>
      </vt:variant>
      <vt:variant>
        <vt:lpwstr>_Toc337546997</vt:lpwstr>
      </vt:variant>
      <vt:variant>
        <vt:i4>1966137</vt:i4>
      </vt:variant>
      <vt:variant>
        <vt:i4>851</vt:i4>
      </vt:variant>
      <vt:variant>
        <vt:i4>0</vt:i4>
      </vt:variant>
      <vt:variant>
        <vt:i4>5</vt:i4>
      </vt:variant>
      <vt:variant>
        <vt:lpwstr/>
      </vt:variant>
      <vt:variant>
        <vt:lpwstr>_Toc337546996</vt:lpwstr>
      </vt:variant>
      <vt:variant>
        <vt:i4>1966137</vt:i4>
      </vt:variant>
      <vt:variant>
        <vt:i4>845</vt:i4>
      </vt:variant>
      <vt:variant>
        <vt:i4>0</vt:i4>
      </vt:variant>
      <vt:variant>
        <vt:i4>5</vt:i4>
      </vt:variant>
      <vt:variant>
        <vt:lpwstr/>
      </vt:variant>
      <vt:variant>
        <vt:lpwstr>_Toc337546995</vt:lpwstr>
      </vt:variant>
      <vt:variant>
        <vt:i4>1966137</vt:i4>
      </vt:variant>
      <vt:variant>
        <vt:i4>839</vt:i4>
      </vt:variant>
      <vt:variant>
        <vt:i4>0</vt:i4>
      </vt:variant>
      <vt:variant>
        <vt:i4>5</vt:i4>
      </vt:variant>
      <vt:variant>
        <vt:lpwstr/>
      </vt:variant>
      <vt:variant>
        <vt:lpwstr>_Toc337546994</vt:lpwstr>
      </vt:variant>
      <vt:variant>
        <vt:i4>1966137</vt:i4>
      </vt:variant>
      <vt:variant>
        <vt:i4>833</vt:i4>
      </vt:variant>
      <vt:variant>
        <vt:i4>0</vt:i4>
      </vt:variant>
      <vt:variant>
        <vt:i4>5</vt:i4>
      </vt:variant>
      <vt:variant>
        <vt:lpwstr/>
      </vt:variant>
      <vt:variant>
        <vt:lpwstr>_Toc337546993</vt:lpwstr>
      </vt:variant>
      <vt:variant>
        <vt:i4>1966137</vt:i4>
      </vt:variant>
      <vt:variant>
        <vt:i4>827</vt:i4>
      </vt:variant>
      <vt:variant>
        <vt:i4>0</vt:i4>
      </vt:variant>
      <vt:variant>
        <vt:i4>5</vt:i4>
      </vt:variant>
      <vt:variant>
        <vt:lpwstr/>
      </vt:variant>
      <vt:variant>
        <vt:lpwstr>_Toc337546992</vt:lpwstr>
      </vt:variant>
      <vt:variant>
        <vt:i4>1966137</vt:i4>
      </vt:variant>
      <vt:variant>
        <vt:i4>821</vt:i4>
      </vt:variant>
      <vt:variant>
        <vt:i4>0</vt:i4>
      </vt:variant>
      <vt:variant>
        <vt:i4>5</vt:i4>
      </vt:variant>
      <vt:variant>
        <vt:lpwstr/>
      </vt:variant>
      <vt:variant>
        <vt:lpwstr>_Toc337546991</vt:lpwstr>
      </vt:variant>
      <vt:variant>
        <vt:i4>1966137</vt:i4>
      </vt:variant>
      <vt:variant>
        <vt:i4>815</vt:i4>
      </vt:variant>
      <vt:variant>
        <vt:i4>0</vt:i4>
      </vt:variant>
      <vt:variant>
        <vt:i4>5</vt:i4>
      </vt:variant>
      <vt:variant>
        <vt:lpwstr/>
      </vt:variant>
      <vt:variant>
        <vt:lpwstr>_Toc337546990</vt:lpwstr>
      </vt:variant>
      <vt:variant>
        <vt:i4>2031673</vt:i4>
      </vt:variant>
      <vt:variant>
        <vt:i4>809</vt:i4>
      </vt:variant>
      <vt:variant>
        <vt:i4>0</vt:i4>
      </vt:variant>
      <vt:variant>
        <vt:i4>5</vt:i4>
      </vt:variant>
      <vt:variant>
        <vt:lpwstr/>
      </vt:variant>
      <vt:variant>
        <vt:lpwstr>_Toc337546989</vt:lpwstr>
      </vt:variant>
      <vt:variant>
        <vt:i4>2031673</vt:i4>
      </vt:variant>
      <vt:variant>
        <vt:i4>803</vt:i4>
      </vt:variant>
      <vt:variant>
        <vt:i4>0</vt:i4>
      </vt:variant>
      <vt:variant>
        <vt:i4>5</vt:i4>
      </vt:variant>
      <vt:variant>
        <vt:lpwstr/>
      </vt:variant>
      <vt:variant>
        <vt:lpwstr>_Toc337546988</vt:lpwstr>
      </vt:variant>
      <vt:variant>
        <vt:i4>2031673</vt:i4>
      </vt:variant>
      <vt:variant>
        <vt:i4>797</vt:i4>
      </vt:variant>
      <vt:variant>
        <vt:i4>0</vt:i4>
      </vt:variant>
      <vt:variant>
        <vt:i4>5</vt:i4>
      </vt:variant>
      <vt:variant>
        <vt:lpwstr/>
      </vt:variant>
      <vt:variant>
        <vt:lpwstr>_Toc337546987</vt:lpwstr>
      </vt:variant>
      <vt:variant>
        <vt:i4>2031673</vt:i4>
      </vt:variant>
      <vt:variant>
        <vt:i4>791</vt:i4>
      </vt:variant>
      <vt:variant>
        <vt:i4>0</vt:i4>
      </vt:variant>
      <vt:variant>
        <vt:i4>5</vt:i4>
      </vt:variant>
      <vt:variant>
        <vt:lpwstr/>
      </vt:variant>
      <vt:variant>
        <vt:lpwstr>_Toc337546986</vt:lpwstr>
      </vt:variant>
      <vt:variant>
        <vt:i4>2031673</vt:i4>
      </vt:variant>
      <vt:variant>
        <vt:i4>785</vt:i4>
      </vt:variant>
      <vt:variant>
        <vt:i4>0</vt:i4>
      </vt:variant>
      <vt:variant>
        <vt:i4>5</vt:i4>
      </vt:variant>
      <vt:variant>
        <vt:lpwstr/>
      </vt:variant>
      <vt:variant>
        <vt:lpwstr>_Toc337546985</vt:lpwstr>
      </vt:variant>
      <vt:variant>
        <vt:i4>2031673</vt:i4>
      </vt:variant>
      <vt:variant>
        <vt:i4>779</vt:i4>
      </vt:variant>
      <vt:variant>
        <vt:i4>0</vt:i4>
      </vt:variant>
      <vt:variant>
        <vt:i4>5</vt:i4>
      </vt:variant>
      <vt:variant>
        <vt:lpwstr/>
      </vt:variant>
      <vt:variant>
        <vt:lpwstr>_Toc337546984</vt:lpwstr>
      </vt:variant>
      <vt:variant>
        <vt:i4>2031673</vt:i4>
      </vt:variant>
      <vt:variant>
        <vt:i4>773</vt:i4>
      </vt:variant>
      <vt:variant>
        <vt:i4>0</vt:i4>
      </vt:variant>
      <vt:variant>
        <vt:i4>5</vt:i4>
      </vt:variant>
      <vt:variant>
        <vt:lpwstr/>
      </vt:variant>
      <vt:variant>
        <vt:lpwstr>_Toc337546983</vt:lpwstr>
      </vt:variant>
      <vt:variant>
        <vt:i4>2031673</vt:i4>
      </vt:variant>
      <vt:variant>
        <vt:i4>767</vt:i4>
      </vt:variant>
      <vt:variant>
        <vt:i4>0</vt:i4>
      </vt:variant>
      <vt:variant>
        <vt:i4>5</vt:i4>
      </vt:variant>
      <vt:variant>
        <vt:lpwstr/>
      </vt:variant>
      <vt:variant>
        <vt:lpwstr>_Toc337546982</vt:lpwstr>
      </vt:variant>
      <vt:variant>
        <vt:i4>2031673</vt:i4>
      </vt:variant>
      <vt:variant>
        <vt:i4>761</vt:i4>
      </vt:variant>
      <vt:variant>
        <vt:i4>0</vt:i4>
      </vt:variant>
      <vt:variant>
        <vt:i4>5</vt:i4>
      </vt:variant>
      <vt:variant>
        <vt:lpwstr/>
      </vt:variant>
      <vt:variant>
        <vt:lpwstr>_Toc337546981</vt:lpwstr>
      </vt:variant>
      <vt:variant>
        <vt:i4>2031673</vt:i4>
      </vt:variant>
      <vt:variant>
        <vt:i4>755</vt:i4>
      </vt:variant>
      <vt:variant>
        <vt:i4>0</vt:i4>
      </vt:variant>
      <vt:variant>
        <vt:i4>5</vt:i4>
      </vt:variant>
      <vt:variant>
        <vt:lpwstr/>
      </vt:variant>
      <vt:variant>
        <vt:lpwstr>_Toc337546980</vt:lpwstr>
      </vt:variant>
      <vt:variant>
        <vt:i4>1048633</vt:i4>
      </vt:variant>
      <vt:variant>
        <vt:i4>749</vt:i4>
      </vt:variant>
      <vt:variant>
        <vt:i4>0</vt:i4>
      </vt:variant>
      <vt:variant>
        <vt:i4>5</vt:i4>
      </vt:variant>
      <vt:variant>
        <vt:lpwstr/>
      </vt:variant>
      <vt:variant>
        <vt:lpwstr>_Toc337546979</vt:lpwstr>
      </vt:variant>
      <vt:variant>
        <vt:i4>1048633</vt:i4>
      </vt:variant>
      <vt:variant>
        <vt:i4>743</vt:i4>
      </vt:variant>
      <vt:variant>
        <vt:i4>0</vt:i4>
      </vt:variant>
      <vt:variant>
        <vt:i4>5</vt:i4>
      </vt:variant>
      <vt:variant>
        <vt:lpwstr/>
      </vt:variant>
      <vt:variant>
        <vt:lpwstr>_Toc337546978</vt:lpwstr>
      </vt:variant>
      <vt:variant>
        <vt:i4>1048633</vt:i4>
      </vt:variant>
      <vt:variant>
        <vt:i4>737</vt:i4>
      </vt:variant>
      <vt:variant>
        <vt:i4>0</vt:i4>
      </vt:variant>
      <vt:variant>
        <vt:i4>5</vt:i4>
      </vt:variant>
      <vt:variant>
        <vt:lpwstr/>
      </vt:variant>
      <vt:variant>
        <vt:lpwstr>_Toc337546977</vt:lpwstr>
      </vt:variant>
      <vt:variant>
        <vt:i4>1048633</vt:i4>
      </vt:variant>
      <vt:variant>
        <vt:i4>731</vt:i4>
      </vt:variant>
      <vt:variant>
        <vt:i4>0</vt:i4>
      </vt:variant>
      <vt:variant>
        <vt:i4>5</vt:i4>
      </vt:variant>
      <vt:variant>
        <vt:lpwstr/>
      </vt:variant>
      <vt:variant>
        <vt:lpwstr>_Toc337546976</vt:lpwstr>
      </vt:variant>
      <vt:variant>
        <vt:i4>1048633</vt:i4>
      </vt:variant>
      <vt:variant>
        <vt:i4>725</vt:i4>
      </vt:variant>
      <vt:variant>
        <vt:i4>0</vt:i4>
      </vt:variant>
      <vt:variant>
        <vt:i4>5</vt:i4>
      </vt:variant>
      <vt:variant>
        <vt:lpwstr/>
      </vt:variant>
      <vt:variant>
        <vt:lpwstr>_Toc337546975</vt:lpwstr>
      </vt:variant>
      <vt:variant>
        <vt:i4>1048633</vt:i4>
      </vt:variant>
      <vt:variant>
        <vt:i4>719</vt:i4>
      </vt:variant>
      <vt:variant>
        <vt:i4>0</vt:i4>
      </vt:variant>
      <vt:variant>
        <vt:i4>5</vt:i4>
      </vt:variant>
      <vt:variant>
        <vt:lpwstr/>
      </vt:variant>
      <vt:variant>
        <vt:lpwstr>_Toc337546974</vt:lpwstr>
      </vt:variant>
      <vt:variant>
        <vt:i4>1048633</vt:i4>
      </vt:variant>
      <vt:variant>
        <vt:i4>713</vt:i4>
      </vt:variant>
      <vt:variant>
        <vt:i4>0</vt:i4>
      </vt:variant>
      <vt:variant>
        <vt:i4>5</vt:i4>
      </vt:variant>
      <vt:variant>
        <vt:lpwstr/>
      </vt:variant>
      <vt:variant>
        <vt:lpwstr>_Toc337546973</vt:lpwstr>
      </vt:variant>
      <vt:variant>
        <vt:i4>1048633</vt:i4>
      </vt:variant>
      <vt:variant>
        <vt:i4>707</vt:i4>
      </vt:variant>
      <vt:variant>
        <vt:i4>0</vt:i4>
      </vt:variant>
      <vt:variant>
        <vt:i4>5</vt:i4>
      </vt:variant>
      <vt:variant>
        <vt:lpwstr/>
      </vt:variant>
      <vt:variant>
        <vt:lpwstr>_Toc337546972</vt:lpwstr>
      </vt:variant>
      <vt:variant>
        <vt:i4>1048633</vt:i4>
      </vt:variant>
      <vt:variant>
        <vt:i4>701</vt:i4>
      </vt:variant>
      <vt:variant>
        <vt:i4>0</vt:i4>
      </vt:variant>
      <vt:variant>
        <vt:i4>5</vt:i4>
      </vt:variant>
      <vt:variant>
        <vt:lpwstr/>
      </vt:variant>
      <vt:variant>
        <vt:lpwstr>_Toc337546971</vt:lpwstr>
      </vt:variant>
      <vt:variant>
        <vt:i4>1048633</vt:i4>
      </vt:variant>
      <vt:variant>
        <vt:i4>695</vt:i4>
      </vt:variant>
      <vt:variant>
        <vt:i4>0</vt:i4>
      </vt:variant>
      <vt:variant>
        <vt:i4>5</vt:i4>
      </vt:variant>
      <vt:variant>
        <vt:lpwstr/>
      </vt:variant>
      <vt:variant>
        <vt:lpwstr>_Toc337546970</vt:lpwstr>
      </vt:variant>
      <vt:variant>
        <vt:i4>1114169</vt:i4>
      </vt:variant>
      <vt:variant>
        <vt:i4>689</vt:i4>
      </vt:variant>
      <vt:variant>
        <vt:i4>0</vt:i4>
      </vt:variant>
      <vt:variant>
        <vt:i4>5</vt:i4>
      </vt:variant>
      <vt:variant>
        <vt:lpwstr/>
      </vt:variant>
      <vt:variant>
        <vt:lpwstr>_Toc337546969</vt:lpwstr>
      </vt:variant>
      <vt:variant>
        <vt:i4>1114169</vt:i4>
      </vt:variant>
      <vt:variant>
        <vt:i4>683</vt:i4>
      </vt:variant>
      <vt:variant>
        <vt:i4>0</vt:i4>
      </vt:variant>
      <vt:variant>
        <vt:i4>5</vt:i4>
      </vt:variant>
      <vt:variant>
        <vt:lpwstr/>
      </vt:variant>
      <vt:variant>
        <vt:lpwstr>_Toc337546968</vt:lpwstr>
      </vt:variant>
      <vt:variant>
        <vt:i4>1114169</vt:i4>
      </vt:variant>
      <vt:variant>
        <vt:i4>677</vt:i4>
      </vt:variant>
      <vt:variant>
        <vt:i4>0</vt:i4>
      </vt:variant>
      <vt:variant>
        <vt:i4>5</vt:i4>
      </vt:variant>
      <vt:variant>
        <vt:lpwstr/>
      </vt:variant>
      <vt:variant>
        <vt:lpwstr>_Toc337546967</vt:lpwstr>
      </vt:variant>
      <vt:variant>
        <vt:i4>1114169</vt:i4>
      </vt:variant>
      <vt:variant>
        <vt:i4>671</vt:i4>
      </vt:variant>
      <vt:variant>
        <vt:i4>0</vt:i4>
      </vt:variant>
      <vt:variant>
        <vt:i4>5</vt:i4>
      </vt:variant>
      <vt:variant>
        <vt:lpwstr/>
      </vt:variant>
      <vt:variant>
        <vt:lpwstr>_Toc337546966</vt:lpwstr>
      </vt:variant>
      <vt:variant>
        <vt:i4>1114169</vt:i4>
      </vt:variant>
      <vt:variant>
        <vt:i4>665</vt:i4>
      </vt:variant>
      <vt:variant>
        <vt:i4>0</vt:i4>
      </vt:variant>
      <vt:variant>
        <vt:i4>5</vt:i4>
      </vt:variant>
      <vt:variant>
        <vt:lpwstr/>
      </vt:variant>
      <vt:variant>
        <vt:lpwstr>_Toc337546965</vt:lpwstr>
      </vt:variant>
      <vt:variant>
        <vt:i4>1114169</vt:i4>
      </vt:variant>
      <vt:variant>
        <vt:i4>659</vt:i4>
      </vt:variant>
      <vt:variant>
        <vt:i4>0</vt:i4>
      </vt:variant>
      <vt:variant>
        <vt:i4>5</vt:i4>
      </vt:variant>
      <vt:variant>
        <vt:lpwstr/>
      </vt:variant>
      <vt:variant>
        <vt:lpwstr>_Toc337546964</vt:lpwstr>
      </vt:variant>
      <vt:variant>
        <vt:i4>1114169</vt:i4>
      </vt:variant>
      <vt:variant>
        <vt:i4>653</vt:i4>
      </vt:variant>
      <vt:variant>
        <vt:i4>0</vt:i4>
      </vt:variant>
      <vt:variant>
        <vt:i4>5</vt:i4>
      </vt:variant>
      <vt:variant>
        <vt:lpwstr/>
      </vt:variant>
      <vt:variant>
        <vt:lpwstr>_Toc337546963</vt:lpwstr>
      </vt:variant>
      <vt:variant>
        <vt:i4>1114169</vt:i4>
      </vt:variant>
      <vt:variant>
        <vt:i4>647</vt:i4>
      </vt:variant>
      <vt:variant>
        <vt:i4>0</vt:i4>
      </vt:variant>
      <vt:variant>
        <vt:i4>5</vt:i4>
      </vt:variant>
      <vt:variant>
        <vt:lpwstr/>
      </vt:variant>
      <vt:variant>
        <vt:lpwstr>_Toc337546962</vt:lpwstr>
      </vt:variant>
      <vt:variant>
        <vt:i4>1114169</vt:i4>
      </vt:variant>
      <vt:variant>
        <vt:i4>641</vt:i4>
      </vt:variant>
      <vt:variant>
        <vt:i4>0</vt:i4>
      </vt:variant>
      <vt:variant>
        <vt:i4>5</vt:i4>
      </vt:variant>
      <vt:variant>
        <vt:lpwstr/>
      </vt:variant>
      <vt:variant>
        <vt:lpwstr>_Toc337546961</vt:lpwstr>
      </vt:variant>
      <vt:variant>
        <vt:i4>1114169</vt:i4>
      </vt:variant>
      <vt:variant>
        <vt:i4>635</vt:i4>
      </vt:variant>
      <vt:variant>
        <vt:i4>0</vt:i4>
      </vt:variant>
      <vt:variant>
        <vt:i4>5</vt:i4>
      </vt:variant>
      <vt:variant>
        <vt:lpwstr/>
      </vt:variant>
      <vt:variant>
        <vt:lpwstr>_Toc337546960</vt:lpwstr>
      </vt:variant>
      <vt:variant>
        <vt:i4>1179705</vt:i4>
      </vt:variant>
      <vt:variant>
        <vt:i4>629</vt:i4>
      </vt:variant>
      <vt:variant>
        <vt:i4>0</vt:i4>
      </vt:variant>
      <vt:variant>
        <vt:i4>5</vt:i4>
      </vt:variant>
      <vt:variant>
        <vt:lpwstr/>
      </vt:variant>
      <vt:variant>
        <vt:lpwstr>_Toc337546959</vt:lpwstr>
      </vt:variant>
      <vt:variant>
        <vt:i4>1179705</vt:i4>
      </vt:variant>
      <vt:variant>
        <vt:i4>623</vt:i4>
      </vt:variant>
      <vt:variant>
        <vt:i4>0</vt:i4>
      </vt:variant>
      <vt:variant>
        <vt:i4>5</vt:i4>
      </vt:variant>
      <vt:variant>
        <vt:lpwstr/>
      </vt:variant>
      <vt:variant>
        <vt:lpwstr>_Toc337546958</vt:lpwstr>
      </vt:variant>
      <vt:variant>
        <vt:i4>1179705</vt:i4>
      </vt:variant>
      <vt:variant>
        <vt:i4>617</vt:i4>
      </vt:variant>
      <vt:variant>
        <vt:i4>0</vt:i4>
      </vt:variant>
      <vt:variant>
        <vt:i4>5</vt:i4>
      </vt:variant>
      <vt:variant>
        <vt:lpwstr/>
      </vt:variant>
      <vt:variant>
        <vt:lpwstr>_Toc337546957</vt:lpwstr>
      </vt:variant>
      <vt:variant>
        <vt:i4>1179705</vt:i4>
      </vt:variant>
      <vt:variant>
        <vt:i4>611</vt:i4>
      </vt:variant>
      <vt:variant>
        <vt:i4>0</vt:i4>
      </vt:variant>
      <vt:variant>
        <vt:i4>5</vt:i4>
      </vt:variant>
      <vt:variant>
        <vt:lpwstr/>
      </vt:variant>
      <vt:variant>
        <vt:lpwstr>_Toc337546956</vt:lpwstr>
      </vt:variant>
      <vt:variant>
        <vt:i4>1179705</vt:i4>
      </vt:variant>
      <vt:variant>
        <vt:i4>605</vt:i4>
      </vt:variant>
      <vt:variant>
        <vt:i4>0</vt:i4>
      </vt:variant>
      <vt:variant>
        <vt:i4>5</vt:i4>
      </vt:variant>
      <vt:variant>
        <vt:lpwstr/>
      </vt:variant>
      <vt:variant>
        <vt:lpwstr>_Toc337546955</vt:lpwstr>
      </vt:variant>
      <vt:variant>
        <vt:i4>1179705</vt:i4>
      </vt:variant>
      <vt:variant>
        <vt:i4>599</vt:i4>
      </vt:variant>
      <vt:variant>
        <vt:i4>0</vt:i4>
      </vt:variant>
      <vt:variant>
        <vt:i4>5</vt:i4>
      </vt:variant>
      <vt:variant>
        <vt:lpwstr/>
      </vt:variant>
      <vt:variant>
        <vt:lpwstr>_Toc337546954</vt:lpwstr>
      </vt:variant>
      <vt:variant>
        <vt:i4>1179705</vt:i4>
      </vt:variant>
      <vt:variant>
        <vt:i4>593</vt:i4>
      </vt:variant>
      <vt:variant>
        <vt:i4>0</vt:i4>
      </vt:variant>
      <vt:variant>
        <vt:i4>5</vt:i4>
      </vt:variant>
      <vt:variant>
        <vt:lpwstr/>
      </vt:variant>
      <vt:variant>
        <vt:lpwstr>_Toc337546953</vt:lpwstr>
      </vt:variant>
      <vt:variant>
        <vt:i4>1179705</vt:i4>
      </vt:variant>
      <vt:variant>
        <vt:i4>587</vt:i4>
      </vt:variant>
      <vt:variant>
        <vt:i4>0</vt:i4>
      </vt:variant>
      <vt:variant>
        <vt:i4>5</vt:i4>
      </vt:variant>
      <vt:variant>
        <vt:lpwstr/>
      </vt:variant>
      <vt:variant>
        <vt:lpwstr>_Toc337546952</vt:lpwstr>
      </vt:variant>
      <vt:variant>
        <vt:i4>1179705</vt:i4>
      </vt:variant>
      <vt:variant>
        <vt:i4>581</vt:i4>
      </vt:variant>
      <vt:variant>
        <vt:i4>0</vt:i4>
      </vt:variant>
      <vt:variant>
        <vt:i4>5</vt:i4>
      </vt:variant>
      <vt:variant>
        <vt:lpwstr/>
      </vt:variant>
      <vt:variant>
        <vt:lpwstr>_Toc337546951</vt:lpwstr>
      </vt:variant>
      <vt:variant>
        <vt:i4>1179705</vt:i4>
      </vt:variant>
      <vt:variant>
        <vt:i4>575</vt:i4>
      </vt:variant>
      <vt:variant>
        <vt:i4>0</vt:i4>
      </vt:variant>
      <vt:variant>
        <vt:i4>5</vt:i4>
      </vt:variant>
      <vt:variant>
        <vt:lpwstr/>
      </vt:variant>
      <vt:variant>
        <vt:lpwstr>_Toc337546950</vt:lpwstr>
      </vt:variant>
      <vt:variant>
        <vt:i4>1245241</vt:i4>
      </vt:variant>
      <vt:variant>
        <vt:i4>569</vt:i4>
      </vt:variant>
      <vt:variant>
        <vt:i4>0</vt:i4>
      </vt:variant>
      <vt:variant>
        <vt:i4>5</vt:i4>
      </vt:variant>
      <vt:variant>
        <vt:lpwstr/>
      </vt:variant>
      <vt:variant>
        <vt:lpwstr>_Toc337546949</vt:lpwstr>
      </vt:variant>
      <vt:variant>
        <vt:i4>1245241</vt:i4>
      </vt:variant>
      <vt:variant>
        <vt:i4>563</vt:i4>
      </vt:variant>
      <vt:variant>
        <vt:i4>0</vt:i4>
      </vt:variant>
      <vt:variant>
        <vt:i4>5</vt:i4>
      </vt:variant>
      <vt:variant>
        <vt:lpwstr/>
      </vt:variant>
      <vt:variant>
        <vt:lpwstr>_Toc337546948</vt:lpwstr>
      </vt:variant>
      <vt:variant>
        <vt:i4>1245241</vt:i4>
      </vt:variant>
      <vt:variant>
        <vt:i4>557</vt:i4>
      </vt:variant>
      <vt:variant>
        <vt:i4>0</vt:i4>
      </vt:variant>
      <vt:variant>
        <vt:i4>5</vt:i4>
      </vt:variant>
      <vt:variant>
        <vt:lpwstr/>
      </vt:variant>
      <vt:variant>
        <vt:lpwstr>_Toc337546947</vt:lpwstr>
      </vt:variant>
      <vt:variant>
        <vt:i4>1245241</vt:i4>
      </vt:variant>
      <vt:variant>
        <vt:i4>551</vt:i4>
      </vt:variant>
      <vt:variant>
        <vt:i4>0</vt:i4>
      </vt:variant>
      <vt:variant>
        <vt:i4>5</vt:i4>
      </vt:variant>
      <vt:variant>
        <vt:lpwstr/>
      </vt:variant>
      <vt:variant>
        <vt:lpwstr>_Toc337546946</vt:lpwstr>
      </vt:variant>
      <vt:variant>
        <vt:i4>1245241</vt:i4>
      </vt:variant>
      <vt:variant>
        <vt:i4>545</vt:i4>
      </vt:variant>
      <vt:variant>
        <vt:i4>0</vt:i4>
      </vt:variant>
      <vt:variant>
        <vt:i4>5</vt:i4>
      </vt:variant>
      <vt:variant>
        <vt:lpwstr/>
      </vt:variant>
      <vt:variant>
        <vt:lpwstr>_Toc337546945</vt:lpwstr>
      </vt:variant>
      <vt:variant>
        <vt:i4>1245241</vt:i4>
      </vt:variant>
      <vt:variant>
        <vt:i4>539</vt:i4>
      </vt:variant>
      <vt:variant>
        <vt:i4>0</vt:i4>
      </vt:variant>
      <vt:variant>
        <vt:i4>5</vt:i4>
      </vt:variant>
      <vt:variant>
        <vt:lpwstr/>
      </vt:variant>
      <vt:variant>
        <vt:lpwstr>_Toc337546944</vt:lpwstr>
      </vt:variant>
      <vt:variant>
        <vt:i4>1245241</vt:i4>
      </vt:variant>
      <vt:variant>
        <vt:i4>533</vt:i4>
      </vt:variant>
      <vt:variant>
        <vt:i4>0</vt:i4>
      </vt:variant>
      <vt:variant>
        <vt:i4>5</vt:i4>
      </vt:variant>
      <vt:variant>
        <vt:lpwstr/>
      </vt:variant>
      <vt:variant>
        <vt:lpwstr>_Toc337546943</vt:lpwstr>
      </vt:variant>
      <vt:variant>
        <vt:i4>1245241</vt:i4>
      </vt:variant>
      <vt:variant>
        <vt:i4>527</vt:i4>
      </vt:variant>
      <vt:variant>
        <vt:i4>0</vt:i4>
      </vt:variant>
      <vt:variant>
        <vt:i4>5</vt:i4>
      </vt:variant>
      <vt:variant>
        <vt:lpwstr/>
      </vt:variant>
      <vt:variant>
        <vt:lpwstr>_Toc337546942</vt:lpwstr>
      </vt:variant>
      <vt:variant>
        <vt:i4>1245241</vt:i4>
      </vt:variant>
      <vt:variant>
        <vt:i4>521</vt:i4>
      </vt:variant>
      <vt:variant>
        <vt:i4>0</vt:i4>
      </vt:variant>
      <vt:variant>
        <vt:i4>5</vt:i4>
      </vt:variant>
      <vt:variant>
        <vt:lpwstr/>
      </vt:variant>
      <vt:variant>
        <vt:lpwstr>_Toc337546941</vt:lpwstr>
      </vt:variant>
      <vt:variant>
        <vt:i4>1245241</vt:i4>
      </vt:variant>
      <vt:variant>
        <vt:i4>515</vt:i4>
      </vt:variant>
      <vt:variant>
        <vt:i4>0</vt:i4>
      </vt:variant>
      <vt:variant>
        <vt:i4>5</vt:i4>
      </vt:variant>
      <vt:variant>
        <vt:lpwstr/>
      </vt:variant>
      <vt:variant>
        <vt:lpwstr>_Toc337546940</vt:lpwstr>
      </vt:variant>
      <vt:variant>
        <vt:i4>1310777</vt:i4>
      </vt:variant>
      <vt:variant>
        <vt:i4>509</vt:i4>
      </vt:variant>
      <vt:variant>
        <vt:i4>0</vt:i4>
      </vt:variant>
      <vt:variant>
        <vt:i4>5</vt:i4>
      </vt:variant>
      <vt:variant>
        <vt:lpwstr/>
      </vt:variant>
      <vt:variant>
        <vt:lpwstr>_Toc337546939</vt:lpwstr>
      </vt:variant>
      <vt:variant>
        <vt:i4>1310777</vt:i4>
      </vt:variant>
      <vt:variant>
        <vt:i4>503</vt:i4>
      </vt:variant>
      <vt:variant>
        <vt:i4>0</vt:i4>
      </vt:variant>
      <vt:variant>
        <vt:i4>5</vt:i4>
      </vt:variant>
      <vt:variant>
        <vt:lpwstr/>
      </vt:variant>
      <vt:variant>
        <vt:lpwstr>_Toc337546938</vt:lpwstr>
      </vt:variant>
      <vt:variant>
        <vt:i4>1310777</vt:i4>
      </vt:variant>
      <vt:variant>
        <vt:i4>494</vt:i4>
      </vt:variant>
      <vt:variant>
        <vt:i4>0</vt:i4>
      </vt:variant>
      <vt:variant>
        <vt:i4>5</vt:i4>
      </vt:variant>
      <vt:variant>
        <vt:lpwstr/>
      </vt:variant>
      <vt:variant>
        <vt:lpwstr>_Toc337546937</vt:lpwstr>
      </vt:variant>
      <vt:variant>
        <vt:i4>1310777</vt:i4>
      </vt:variant>
      <vt:variant>
        <vt:i4>488</vt:i4>
      </vt:variant>
      <vt:variant>
        <vt:i4>0</vt:i4>
      </vt:variant>
      <vt:variant>
        <vt:i4>5</vt:i4>
      </vt:variant>
      <vt:variant>
        <vt:lpwstr/>
      </vt:variant>
      <vt:variant>
        <vt:lpwstr>_Toc337546936</vt:lpwstr>
      </vt:variant>
      <vt:variant>
        <vt:i4>1310777</vt:i4>
      </vt:variant>
      <vt:variant>
        <vt:i4>482</vt:i4>
      </vt:variant>
      <vt:variant>
        <vt:i4>0</vt:i4>
      </vt:variant>
      <vt:variant>
        <vt:i4>5</vt:i4>
      </vt:variant>
      <vt:variant>
        <vt:lpwstr/>
      </vt:variant>
      <vt:variant>
        <vt:lpwstr>_Toc337546935</vt:lpwstr>
      </vt:variant>
      <vt:variant>
        <vt:i4>1310777</vt:i4>
      </vt:variant>
      <vt:variant>
        <vt:i4>476</vt:i4>
      </vt:variant>
      <vt:variant>
        <vt:i4>0</vt:i4>
      </vt:variant>
      <vt:variant>
        <vt:i4>5</vt:i4>
      </vt:variant>
      <vt:variant>
        <vt:lpwstr/>
      </vt:variant>
      <vt:variant>
        <vt:lpwstr>_Toc337546934</vt:lpwstr>
      </vt:variant>
      <vt:variant>
        <vt:i4>1310777</vt:i4>
      </vt:variant>
      <vt:variant>
        <vt:i4>470</vt:i4>
      </vt:variant>
      <vt:variant>
        <vt:i4>0</vt:i4>
      </vt:variant>
      <vt:variant>
        <vt:i4>5</vt:i4>
      </vt:variant>
      <vt:variant>
        <vt:lpwstr/>
      </vt:variant>
      <vt:variant>
        <vt:lpwstr>_Toc337546933</vt:lpwstr>
      </vt:variant>
      <vt:variant>
        <vt:i4>1310777</vt:i4>
      </vt:variant>
      <vt:variant>
        <vt:i4>464</vt:i4>
      </vt:variant>
      <vt:variant>
        <vt:i4>0</vt:i4>
      </vt:variant>
      <vt:variant>
        <vt:i4>5</vt:i4>
      </vt:variant>
      <vt:variant>
        <vt:lpwstr/>
      </vt:variant>
      <vt:variant>
        <vt:lpwstr>_Toc337546932</vt:lpwstr>
      </vt:variant>
      <vt:variant>
        <vt:i4>1310777</vt:i4>
      </vt:variant>
      <vt:variant>
        <vt:i4>458</vt:i4>
      </vt:variant>
      <vt:variant>
        <vt:i4>0</vt:i4>
      </vt:variant>
      <vt:variant>
        <vt:i4>5</vt:i4>
      </vt:variant>
      <vt:variant>
        <vt:lpwstr/>
      </vt:variant>
      <vt:variant>
        <vt:lpwstr>_Toc337546931</vt:lpwstr>
      </vt:variant>
      <vt:variant>
        <vt:i4>1310777</vt:i4>
      </vt:variant>
      <vt:variant>
        <vt:i4>452</vt:i4>
      </vt:variant>
      <vt:variant>
        <vt:i4>0</vt:i4>
      </vt:variant>
      <vt:variant>
        <vt:i4>5</vt:i4>
      </vt:variant>
      <vt:variant>
        <vt:lpwstr/>
      </vt:variant>
      <vt:variant>
        <vt:lpwstr>_Toc337546930</vt:lpwstr>
      </vt:variant>
      <vt:variant>
        <vt:i4>1376313</vt:i4>
      </vt:variant>
      <vt:variant>
        <vt:i4>446</vt:i4>
      </vt:variant>
      <vt:variant>
        <vt:i4>0</vt:i4>
      </vt:variant>
      <vt:variant>
        <vt:i4>5</vt:i4>
      </vt:variant>
      <vt:variant>
        <vt:lpwstr/>
      </vt:variant>
      <vt:variant>
        <vt:lpwstr>_Toc337546929</vt:lpwstr>
      </vt:variant>
      <vt:variant>
        <vt:i4>1376313</vt:i4>
      </vt:variant>
      <vt:variant>
        <vt:i4>440</vt:i4>
      </vt:variant>
      <vt:variant>
        <vt:i4>0</vt:i4>
      </vt:variant>
      <vt:variant>
        <vt:i4>5</vt:i4>
      </vt:variant>
      <vt:variant>
        <vt:lpwstr/>
      </vt:variant>
      <vt:variant>
        <vt:lpwstr>_Toc337546928</vt:lpwstr>
      </vt:variant>
      <vt:variant>
        <vt:i4>1376313</vt:i4>
      </vt:variant>
      <vt:variant>
        <vt:i4>434</vt:i4>
      </vt:variant>
      <vt:variant>
        <vt:i4>0</vt:i4>
      </vt:variant>
      <vt:variant>
        <vt:i4>5</vt:i4>
      </vt:variant>
      <vt:variant>
        <vt:lpwstr/>
      </vt:variant>
      <vt:variant>
        <vt:lpwstr>_Toc337546927</vt:lpwstr>
      </vt:variant>
      <vt:variant>
        <vt:i4>1376313</vt:i4>
      </vt:variant>
      <vt:variant>
        <vt:i4>428</vt:i4>
      </vt:variant>
      <vt:variant>
        <vt:i4>0</vt:i4>
      </vt:variant>
      <vt:variant>
        <vt:i4>5</vt:i4>
      </vt:variant>
      <vt:variant>
        <vt:lpwstr/>
      </vt:variant>
      <vt:variant>
        <vt:lpwstr>_Toc337546926</vt:lpwstr>
      </vt:variant>
      <vt:variant>
        <vt:i4>1376313</vt:i4>
      </vt:variant>
      <vt:variant>
        <vt:i4>422</vt:i4>
      </vt:variant>
      <vt:variant>
        <vt:i4>0</vt:i4>
      </vt:variant>
      <vt:variant>
        <vt:i4>5</vt:i4>
      </vt:variant>
      <vt:variant>
        <vt:lpwstr/>
      </vt:variant>
      <vt:variant>
        <vt:lpwstr>_Toc337546925</vt:lpwstr>
      </vt:variant>
      <vt:variant>
        <vt:i4>1376313</vt:i4>
      </vt:variant>
      <vt:variant>
        <vt:i4>416</vt:i4>
      </vt:variant>
      <vt:variant>
        <vt:i4>0</vt:i4>
      </vt:variant>
      <vt:variant>
        <vt:i4>5</vt:i4>
      </vt:variant>
      <vt:variant>
        <vt:lpwstr/>
      </vt:variant>
      <vt:variant>
        <vt:lpwstr>_Toc337546924</vt:lpwstr>
      </vt:variant>
      <vt:variant>
        <vt:i4>1376313</vt:i4>
      </vt:variant>
      <vt:variant>
        <vt:i4>410</vt:i4>
      </vt:variant>
      <vt:variant>
        <vt:i4>0</vt:i4>
      </vt:variant>
      <vt:variant>
        <vt:i4>5</vt:i4>
      </vt:variant>
      <vt:variant>
        <vt:lpwstr/>
      </vt:variant>
      <vt:variant>
        <vt:lpwstr>_Toc337546923</vt:lpwstr>
      </vt:variant>
      <vt:variant>
        <vt:i4>1376313</vt:i4>
      </vt:variant>
      <vt:variant>
        <vt:i4>404</vt:i4>
      </vt:variant>
      <vt:variant>
        <vt:i4>0</vt:i4>
      </vt:variant>
      <vt:variant>
        <vt:i4>5</vt:i4>
      </vt:variant>
      <vt:variant>
        <vt:lpwstr/>
      </vt:variant>
      <vt:variant>
        <vt:lpwstr>_Toc337546922</vt:lpwstr>
      </vt:variant>
      <vt:variant>
        <vt:i4>1376313</vt:i4>
      </vt:variant>
      <vt:variant>
        <vt:i4>398</vt:i4>
      </vt:variant>
      <vt:variant>
        <vt:i4>0</vt:i4>
      </vt:variant>
      <vt:variant>
        <vt:i4>5</vt:i4>
      </vt:variant>
      <vt:variant>
        <vt:lpwstr/>
      </vt:variant>
      <vt:variant>
        <vt:lpwstr>_Toc337546921</vt:lpwstr>
      </vt:variant>
      <vt:variant>
        <vt:i4>1376313</vt:i4>
      </vt:variant>
      <vt:variant>
        <vt:i4>392</vt:i4>
      </vt:variant>
      <vt:variant>
        <vt:i4>0</vt:i4>
      </vt:variant>
      <vt:variant>
        <vt:i4>5</vt:i4>
      </vt:variant>
      <vt:variant>
        <vt:lpwstr/>
      </vt:variant>
      <vt:variant>
        <vt:lpwstr>_Toc337546920</vt:lpwstr>
      </vt:variant>
      <vt:variant>
        <vt:i4>1441849</vt:i4>
      </vt:variant>
      <vt:variant>
        <vt:i4>386</vt:i4>
      </vt:variant>
      <vt:variant>
        <vt:i4>0</vt:i4>
      </vt:variant>
      <vt:variant>
        <vt:i4>5</vt:i4>
      </vt:variant>
      <vt:variant>
        <vt:lpwstr/>
      </vt:variant>
      <vt:variant>
        <vt:lpwstr>_Toc337546919</vt:lpwstr>
      </vt:variant>
      <vt:variant>
        <vt:i4>1441849</vt:i4>
      </vt:variant>
      <vt:variant>
        <vt:i4>380</vt:i4>
      </vt:variant>
      <vt:variant>
        <vt:i4>0</vt:i4>
      </vt:variant>
      <vt:variant>
        <vt:i4>5</vt:i4>
      </vt:variant>
      <vt:variant>
        <vt:lpwstr/>
      </vt:variant>
      <vt:variant>
        <vt:lpwstr>_Toc337546918</vt:lpwstr>
      </vt:variant>
      <vt:variant>
        <vt:i4>1441849</vt:i4>
      </vt:variant>
      <vt:variant>
        <vt:i4>374</vt:i4>
      </vt:variant>
      <vt:variant>
        <vt:i4>0</vt:i4>
      </vt:variant>
      <vt:variant>
        <vt:i4>5</vt:i4>
      </vt:variant>
      <vt:variant>
        <vt:lpwstr/>
      </vt:variant>
      <vt:variant>
        <vt:lpwstr>_Toc337546914</vt:lpwstr>
      </vt:variant>
      <vt:variant>
        <vt:i4>1441849</vt:i4>
      </vt:variant>
      <vt:variant>
        <vt:i4>368</vt:i4>
      </vt:variant>
      <vt:variant>
        <vt:i4>0</vt:i4>
      </vt:variant>
      <vt:variant>
        <vt:i4>5</vt:i4>
      </vt:variant>
      <vt:variant>
        <vt:lpwstr/>
      </vt:variant>
      <vt:variant>
        <vt:lpwstr>_Toc337546913</vt:lpwstr>
      </vt:variant>
      <vt:variant>
        <vt:i4>1441849</vt:i4>
      </vt:variant>
      <vt:variant>
        <vt:i4>362</vt:i4>
      </vt:variant>
      <vt:variant>
        <vt:i4>0</vt:i4>
      </vt:variant>
      <vt:variant>
        <vt:i4>5</vt:i4>
      </vt:variant>
      <vt:variant>
        <vt:lpwstr/>
      </vt:variant>
      <vt:variant>
        <vt:lpwstr>_Toc337546912</vt:lpwstr>
      </vt:variant>
      <vt:variant>
        <vt:i4>1441849</vt:i4>
      </vt:variant>
      <vt:variant>
        <vt:i4>356</vt:i4>
      </vt:variant>
      <vt:variant>
        <vt:i4>0</vt:i4>
      </vt:variant>
      <vt:variant>
        <vt:i4>5</vt:i4>
      </vt:variant>
      <vt:variant>
        <vt:lpwstr/>
      </vt:variant>
      <vt:variant>
        <vt:lpwstr>_Toc337546911</vt:lpwstr>
      </vt:variant>
      <vt:variant>
        <vt:i4>1441849</vt:i4>
      </vt:variant>
      <vt:variant>
        <vt:i4>350</vt:i4>
      </vt:variant>
      <vt:variant>
        <vt:i4>0</vt:i4>
      </vt:variant>
      <vt:variant>
        <vt:i4>5</vt:i4>
      </vt:variant>
      <vt:variant>
        <vt:lpwstr/>
      </vt:variant>
      <vt:variant>
        <vt:lpwstr>_Toc337546910</vt:lpwstr>
      </vt:variant>
      <vt:variant>
        <vt:i4>1507385</vt:i4>
      </vt:variant>
      <vt:variant>
        <vt:i4>344</vt:i4>
      </vt:variant>
      <vt:variant>
        <vt:i4>0</vt:i4>
      </vt:variant>
      <vt:variant>
        <vt:i4>5</vt:i4>
      </vt:variant>
      <vt:variant>
        <vt:lpwstr/>
      </vt:variant>
      <vt:variant>
        <vt:lpwstr>_Toc337546909</vt:lpwstr>
      </vt:variant>
      <vt:variant>
        <vt:i4>1507385</vt:i4>
      </vt:variant>
      <vt:variant>
        <vt:i4>338</vt:i4>
      </vt:variant>
      <vt:variant>
        <vt:i4>0</vt:i4>
      </vt:variant>
      <vt:variant>
        <vt:i4>5</vt:i4>
      </vt:variant>
      <vt:variant>
        <vt:lpwstr/>
      </vt:variant>
      <vt:variant>
        <vt:lpwstr>_Toc337546908</vt:lpwstr>
      </vt:variant>
      <vt:variant>
        <vt:i4>1507385</vt:i4>
      </vt:variant>
      <vt:variant>
        <vt:i4>332</vt:i4>
      </vt:variant>
      <vt:variant>
        <vt:i4>0</vt:i4>
      </vt:variant>
      <vt:variant>
        <vt:i4>5</vt:i4>
      </vt:variant>
      <vt:variant>
        <vt:lpwstr/>
      </vt:variant>
      <vt:variant>
        <vt:lpwstr>_Toc337546907</vt:lpwstr>
      </vt:variant>
      <vt:variant>
        <vt:i4>1507385</vt:i4>
      </vt:variant>
      <vt:variant>
        <vt:i4>326</vt:i4>
      </vt:variant>
      <vt:variant>
        <vt:i4>0</vt:i4>
      </vt:variant>
      <vt:variant>
        <vt:i4>5</vt:i4>
      </vt:variant>
      <vt:variant>
        <vt:lpwstr/>
      </vt:variant>
      <vt:variant>
        <vt:lpwstr>_Toc337546906</vt:lpwstr>
      </vt:variant>
      <vt:variant>
        <vt:i4>1507385</vt:i4>
      </vt:variant>
      <vt:variant>
        <vt:i4>320</vt:i4>
      </vt:variant>
      <vt:variant>
        <vt:i4>0</vt:i4>
      </vt:variant>
      <vt:variant>
        <vt:i4>5</vt:i4>
      </vt:variant>
      <vt:variant>
        <vt:lpwstr/>
      </vt:variant>
      <vt:variant>
        <vt:lpwstr>_Toc337546905</vt:lpwstr>
      </vt:variant>
      <vt:variant>
        <vt:i4>1507385</vt:i4>
      </vt:variant>
      <vt:variant>
        <vt:i4>314</vt:i4>
      </vt:variant>
      <vt:variant>
        <vt:i4>0</vt:i4>
      </vt:variant>
      <vt:variant>
        <vt:i4>5</vt:i4>
      </vt:variant>
      <vt:variant>
        <vt:lpwstr/>
      </vt:variant>
      <vt:variant>
        <vt:lpwstr>_Toc337546904</vt:lpwstr>
      </vt:variant>
      <vt:variant>
        <vt:i4>1507385</vt:i4>
      </vt:variant>
      <vt:variant>
        <vt:i4>308</vt:i4>
      </vt:variant>
      <vt:variant>
        <vt:i4>0</vt:i4>
      </vt:variant>
      <vt:variant>
        <vt:i4>5</vt:i4>
      </vt:variant>
      <vt:variant>
        <vt:lpwstr/>
      </vt:variant>
      <vt:variant>
        <vt:lpwstr>_Toc337546903</vt:lpwstr>
      </vt:variant>
      <vt:variant>
        <vt:i4>1507385</vt:i4>
      </vt:variant>
      <vt:variant>
        <vt:i4>302</vt:i4>
      </vt:variant>
      <vt:variant>
        <vt:i4>0</vt:i4>
      </vt:variant>
      <vt:variant>
        <vt:i4>5</vt:i4>
      </vt:variant>
      <vt:variant>
        <vt:lpwstr/>
      </vt:variant>
      <vt:variant>
        <vt:lpwstr>_Toc337546902</vt:lpwstr>
      </vt:variant>
      <vt:variant>
        <vt:i4>1507385</vt:i4>
      </vt:variant>
      <vt:variant>
        <vt:i4>296</vt:i4>
      </vt:variant>
      <vt:variant>
        <vt:i4>0</vt:i4>
      </vt:variant>
      <vt:variant>
        <vt:i4>5</vt:i4>
      </vt:variant>
      <vt:variant>
        <vt:lpwstr/>
      </vt:variant>
      <vt:variant>
        <vt:lpwstr>_Toc337546901</vt:lpwstr>
      </vt:variant>
      <vt:variant>
        <vt:i4>1507385</vt:i4>
      </vt:variant>
      <vt:variant>
        <vt:i4>290</vt:i4>
      </vt:variant>
      <vt:variant>
        <vt:i4>0</vt:i4>
      </vt:variant>
      <vt:variant>
        <vt:i4>5</vt:i4>
      </vt:variant>
      <vt:variant>
        <vt:lpwstr/>
      </vt:variant>
      <vt:variant>
        <vt:lpwstr>_Toc337546900</vt:lpwstr>
      </vt:variant>
      <vt:variant>
        <vt:i4>1966136</vt:i4>
      </vt:variant>
      <vt:variant>
        <vt:i4>284</vt:i4>
      </vt:variant>
      <vt:variant>
        <vt:i4>0</vt:i4>
      </vt:variant>
      <vt:variant>
        <vt:i4>5</vt:i4>
      </vt:variant>
      <vt:variant>
        <vt:lpwstr/>
      </vt:variant>
      <vt:variant>
        <vt:lpwstr>_Toc337546899</vt:lpwstr>
      </vt:variant>
      <vt:variant>
        <vt:i4>1966136</vt:i4>
      </vt:variant>
      <vt:variant>
        <vt:i4>278</vt:i4>
      </vt:variant>
      <vt:variant>
        <vt:i4>0</vt:i4>
      </vt:variant>
      <vt:variant>
        <vt:i4>5</vt:i4>
      </vt:variant>
      <vt:variant>
        <vt:lpwstr/>
      </vt:variant>
      <vt:variant>
        <vt:lpwstr>_Toc337546898</vt:lpwstr>
      </vt:variant>
      <vt:variant>
        <vt:i4>1966136</vt:i4>
      </vt:variant>
      <vt:variant>
        <vt:i4>272</vt:i4>
      </vt:variant>
      <vt:variant>
        <vt:i4>0</vt:i4>
      </vt:variant>
      <vt:variant>
        <vt:i4>5</vt:i4>
      </vt:variant>
      <vt:variant>
        <vt:lpwstr/>
      </vt:variant>
      <vt:variant>
        <vt:lpwstr>_Toc337546897</vt:lpwstr>
      </vt:variant>
      <vt:variant>
        <vt:i4>1966136</vt:i4>
      </vt:variant>
      <vt:variant>
        <vt:i4>266</vt:i4>
      </vt:variant>
      <vt:variant>
        <vt:i4>0</vt:i4>
      </vt:variant>
      <vt:variant>
        <vt:i4>5</vt:i4>
      </vt:variant>
      <vt:variant>
        <vt:lpwstr/>
      </vt:variant>
      <vt:variant>
        <vt:lpwstr>_Toc337546896</vt:lpwstr>
      </vt:variant>
      <vt:variant>
        <vt:i4>1966136</vt:i4>
      </vt:variant>
      <vt:variant>
        <vt:i4>260</vt:i4>
      </vt:variant>
      <vt:variant>
        <vt:i4>0</vt:i4>
      </vt:variant>
      <vt:variant>
        <vt:i4>5</vt:i4>
      </vt:variant>
      <vt:variant>
        <vt:lpwstr/>
      </vt:variant>
      <vt:variant>
        <vt:lpwstr>_Toc337546895</vt:lpwstr>
      </vt:variant>
      <vt:variant>
        <vt:i4>1966136</vt:i4>
      </vt:variant>
      <vt:variant>
        <vt:i4>254</vt:i4>
      </vt:variant>
      <vt:variant>
        <vt:i4>0</vt:i4>
      </vt:variant>
      <vt:variant>
        <vt:i4>5</vt:i4>
      </vt:variant>
      <vt:variant>
        <vt:lpwstr/>
      </vt:variant>
      <vt:variant>
        <vt:lpwstr>_Toc337546894</vt:lpwstr>
      </vt:variant>
      <vt:variant>
        <vt:i4>1966136</vt:i4>
      </vt:variant>
      <vt:variant>
        <vt:i4>248</vt:i4>
      </vt:variant>
      <vt:variant>
        <vt:i4>0</vt:i4>
      </vt:variant>
      <vt:variant>
        <vt:i4>5</vt:i4>
      </vt:variant>
      <vt:variant>
        <vt:lpwstr/>
      </vt:variant>
      <vt:variant>
        <vt:lpwstr>_Toc337546893</vt:lpwstr>
      </vt:variant>
      <vt:variant>
        <vt:i4>1966136</vt:i4>
      </vt:variant>
      <vt:variant>
        <vt:i4>242</vt:i4>
      </vt:variant>
      <vt:variant>
        <vt:i4>0</vt:i4>
      </vt:variant>
      <vt:variant>
        <vt:i4>5</vt:i4>
      </vt:variant>
      <vt:variant>
        <vt:lpwstr/>
      </vt:variant>
      <vt:variant>
        <vt:lpwstr>_Toc337546892</vt:lpwstr>
      </vt:variant>
      <vt:variant>
        <vt:i4>1966136</vt:i4>
      </vt:variant>
      <vt:variant>
        <vt:i4>236</vt:i4>
      </vt:variant>
      <vt:variant>
        <vt:i4>0</vt:i4>
      </vt:variant>
      <vt:variant>
        <vt:i4>5</vt:i4>
      </vt:variant>
      <vt:variant>
        <vt:lpwstr/>
      </vt:variant>
      <vt:variant>
        <vt:lpwstr>_Toc337546891</vt:lpwstr>
      </vt:variant>
      <vt:variant>
        <vt:i4>1966136</vt:i4>
      </vt:variant>
      <vt:variant>
        <vt:i4>230</vt:i4>
      </vt:variant>
      <vt:variant>
        <vt:i4>0</vt:i4>
      </vt:variant>
      <vt:variant>
        <vt:i4>5</vt:i4>
      </vt:variant>
      <vt:variant>
        <vt:lpwstr/>
      </vt:variant>
      <vt:variant>
        <vt:lpwstr>_Toc337546890</vt:lpwstr>
      </vt:variant>
      <vt:variant>
        <vt:i4>2031672</vt:i4>
      </vt:variant>
      <vt:variant>
        <vt:i4>224</vt:i4>
      </vt:variant>
      <vt:variant>
        <vt:i4>0</vt:i4>
      </vt:variant>
      <vt:variant>
        <vt:i4>5</vt:i4>
      </vt:variant>
      <vt:variant>
        <vt:lpwstr/>
      </vt:variant>
      <vt:variant>
        <vt:lpwstr>_Toc337546889</vt:lpwstr>
      </vt:variant>
      <vt:variant>
        <vt:i4>2031672</vt:i4>
      </vt:variant>
      <vt:variant>
        <vt:i4>218</vt:i4>
      </vt:variant>
      <vt:variant>
        <vt:i4>0</vt:i4>
      </vt:variant>
      <vt:variant>
        <vt:i4>5</vt:i4>
      </vt:variant>
      <vt:variant>
        <vt:lpwstr/>
      </vt:variant>
      <vt:variant>
        <vt:lpwstr>_Toc337546888</vt:lpwstr>
      </vt:variant>
      <vt:variant>
        <vt:i4>2031672</vt:i4>
      </vt:variant>
      <vt:variant>
        <vt:i4>212</vt:i4>
      </vt:variant>
      <vt:variant>
        <vt:i4>0</vt:i4>
      </vt:variant>
      <vt:variant>
        <vt:i4>5</vt:i4>
      </vt:variant>
      <vt:variant>
        <vt:lpwstr/>
      </vt:variant>
      <vt:variant>
        <vt:lpwstr>_Toc337546887</vt:lpwstr>
      </vt:variant>
      <vt:variant>
        <vt:i4>2031672</vt:i4>
      </vt:variant>
      <vt:variant>
        <vt:i4>206</vt:i4>
      </vt:variant>
      <vt:variant>
        <vt:i4>0</vt:i4>
      </vt:variant>
      <vt:variant>
        <vt:i4>5</vt:i4>
      </vt:variant>
      <vt:variant>
        <vt:lpwstr/>
      </vt:variant>
      <vt:variant>
        <vt:lpwstr>_Toc337546886</vt:lpwstr>
      </vt:variant>
      <vt:variant>
        <vt:i4>2031672</vt:i4>
      </vt:variant>
      <vt:variant>
        <vt:i4>200</vt:i4>
      </vt:variant>
      <vt:variant>
        <vt:i4>0</vt:i4>
      </vt:variant>
      <vt:variant>
        <vt:i4>5</vt:i4>
      </vt:variant>
      <vt:variant>
        <vt:lpwstr/>
      </vt:variant>
      <vt:variant>
        <vt:lpwstr>_Toc337546885</vt:lpwstr>
      </vt:variant>
      <vt:variant>
        <vt:i4>2031672</vt:i4>
      </vt:variant>
      <vt:variant>
        <vt:i4>194</vt:i4>
      </vt:variant>
      <vt:variant>
        <vt:i4>0</vt:i4>
      </vt:variant>
      <vt:variant>
        <vt:i4>5</vt:i4>
      </vt:variant>
      <vt:variant>
        <vt:lpwstr/>
      </vt:variant>
      <vt:variant>
        <vt:lpwstr>_Toc337546884</vt:lpwstr>
      </vt:variant>
      <vt:variant>
        <vt:i4>2031672</vt:i4>
      </vt:variant>
      <vt:variant>
        <vt:i4>188</vt:i4>
      </vt:variant>
      <vt:variant>
        <vt:i4>0</vt:i4>
      </vt:variant>
      <vt:variant>
        <vt:i4>5</vt:i4>
      </vt:variant>
      <vt:variant>
        <vt:lpwstr/>
      </vt:variant>
      <vt:variant>
        <vt:lpwstr>_Toc337546883</vt:lpwstr>
      </vt:variant>
      <vt:variant>
        <vt:i4>2031672</vt:i4>
      </vt:variant>
      <vt:variant>
        <vt:i4>182</vt:i4>
      </vt:variant>
      <vt:variant>
        <vt:i4>0</vt:i4>
      </vt:variant>
      <vt:variant>
        <vt:i4>5</vt:i4>
      </vt:variant>
      <vt:variant>
        <vt:lpwstr/>
      </vt:variant>
      <vt:variant>
        <vt:lpwstr>_Toc337546882</vt:lpwstr>
      </vt:variant>
      <vt:variant>
        <vt:i4>2031672</vt:i4>
      </vt:variant>
      <vt:variant>
        <vt:i4>176</vt:i4>
      </vt:variant>
      <vt:variant>
        <vt:i4>0</vt:i4>
      </vt:variant>
      <vt:variant>
        <vt:i4>5</vt:i4>
      </vt:variant>
      <vt:variant>
        <vt:lpwstr/>
      </vt:variant>
      <vt:variant>
        <vt:lpwstr>_Toc337546881</vt:lpwstr>
      </vt:variant>
      <vt:variant>
        <vt:i4>2031672</vt:i4>
      </vt:variant>
      <vt:variant>
        <vt:i4>170</vt:i4>
      </vt:variant>
      <vt:variant>
        <vt:i4>0</vt:i4>
      </vt:variant>
      <vt:variant>
        <vt:i4>5</vt:i4>
      </vt:variant>
      <vt:variant>
        <vt:lpwstr/>
      </vt:variant>
      <vt:variant>
        <vt:lpwstr>_Toc337546880</vt:lpwstr>
      </vt:variant>
      <vt:variant>
        <vt:i4>1048632</vt:i4>
      </vt:variant>
      <vt:variant>
        <vt:i4>164</vt:i4>
      </vt:variant>
      <vt:variant>
        <vt:i4>0</vt:i4>
      </vt:variant>
      <vt:variant>
        <vt:i4>5</vt:i4>
      </vt:variant>
      <vt:variant>
        <vt:lpwstr/>
      </vt:variant>
      <vt:variant>
        <vt:lpwstr>_Toc337546879</vt:lpwstr>
      </vt:variant>
      <vt:variant>
        <vt:i4>1048632</vt:i4>
      </vt:variant>
      <vt:variant>
        <vt:i4>158</vt:i4>
      </vt:variant>
      <vt:variant>
        <vt:i4>0</vt:i4>
      </vt:variant>
      <vt:variant>
        <vt:i4>5</vt:i4>
      </vt:variant>
      <vt:variant>
        <vt:lpwstr/>
      </vt:variant>
      <vt:variant>
        <vt:lpwstr>_Toc337546878</vt:lpwstr>
      </vt:variant>
      <vt:variant>
        <vt:i4>1048632</vt:i4>
      </vt:variant>
      <vt:variant>
        <vt:i4>152</vt:i4>
      </vt:variant>
      <vt:variant>
        <vt:i4>0</vt:i4>
      </vt:variant>
      <vt:variant>
        <vt:i4>5</vt:i4>
      </vt:variant>
      <vt:variant>
        <vt:lpwstr/>
      </vt:variant>
      <vt:variant>
        <vt:lpwstr>_Toc337546877</vt:lpwstr>
      </vt:variant>
      <vt:variant>
        <vt:i4>1048632</vt:i4>
      </vt:variant>
      <vt:variant>
        <vt:i4>146</vt:i4>
      </vt:variant>
      <vt:variant>
        <vt:i4>0</vt:i4>
      </vt:variant>
      <vt:variant>
        <vt:i4>5</vt:i4>
      </vt:variant>
      <vt:variant>
        <vt:lpwstr/>
      </vt:variant>
      <vt:variant>
        <vt:lpwstr>_Toc337546876</vt:lpwstr>
      </vt:variant>
      <vt:variant>
        <vt:i4>1048632</vt:i4>
      </vt:variant>
      <vt:variant>
        <vt:i4>140</vt:i4>
      </vt:variant>
      <vt:variant>
        <vt:i4>0</vt:i4>
      </vt:variant>
      <vt:variant>
        <vt:i4>5</vt:i4>
      </vt:variant>
      <vt:variant>
        <vt:lpwstr/>
      </vt:variant>
      <vt:variant>
        <vt:lpwstr>_Toc337546875</vt:lpwstr>
      </vt:variant>
      <vt:variant>
        <vt:i4>1048632</vt:i4>
      </vt:variant>
      <vt:variant>
        <vt:i4>134</vt:i4>
      </vt:variant>
      <vt:variant>
        <vt:i4>0</vt:i4>
      </vt:variant>
      <vt:variant>
        <vt:i4>5</vt:i4>
      </vt:variant>
      <vt:variant>
        <vt:lpwstr/>
      </vt:variant>
      <vt:variant>
        <vt:lpwstr>_Toc337546874</vt:lpwstr>
      </vt:variant>
      <vt:variant>
        <vt:i4>1048632</vt:i4>
      </vt:variant>
      <vt:variant>
        <vt:i4>128</vt:i4>
      </vt:variant>
      <vt:variant>
        <vt:i4>0</vt:i4>
      </vt:variant>
      <vt:variant>
        <vt:i4>5</vt:i4>
      </vt:variant>
      <vt:variant>
        <vt:lpwstr/>
      </vt:variant>
      <vt:variant>
        <vt:lpwstr>_Toc337546873</vt:lpwstr>
      </vt:variant>
      <vt:variant>
        <vt:i4>1048632</vt:i4>
      </vt:variant>
      <vt:variant>
        <vt:i4>122</vt:i4>
      </vt:variant>
      <vt:variant>
        <vt:i4>0</vt:i4>
      </vt:variant>
      <vt:variant>
        <vt:i4>5</vt:i4>
      </vt:variant>
      <vt:variant>
        <vt:lpwstr/>
      </vt:variant>
      <vt:variant>
        <vt:lpwstr>_Toc337546872</vt:lpwstr>
      </vt:variant>
      <vt:variant>
        <vt:i4>1048632</vt:i4>
      </vt:variant>
      <vt:variant>
        <vt:i4>116</vt:i4>
      </vt:variant>
      <vt:variant>
        <vt:i4>0</vt:i4>
      </vt:variant>
      <vt:variant>
        <vt:i4>5</vt:i4>
      </vt:variant>
      <vt:variant>
        <vt:lpwstr/>
      </vt:variant>
      <vt:variant>
        <vt:lpwstr>_Toc337546871</vt:lpwstr>
      </vt:variant>
      <vt:variant>
        <vt:i4>1048632</vt:i4>
      </vt:variant>
      <vt:variant>
        <vt:i4>110</vt:i4>
      </vt:variant>
      <vt:variant>
        <vt:i4>0</vt:i4>
      </vt:variant>
      <vt:variant>
        <vt:i4>5</vt:i4>
      </vt:variant>
      <vt:variant>
        <vt:lpwstr/>
      </vt:variant>
      <vt:variant>
        <vt:lpwstr>_Toc337546870</vt:lpwstr>
      </vt:variant>
      <vt:variant>
        <vt:i4>1114168</vt:i4>
      </vt:variant>
      <vt:variant>
        <vt:i4>104</vt:i4>
      </vt:variant>
      <vt:variant>
        <vt:i4>0</vt:i4>
      </vt:variant>
      <vt:variant>
        <vt:i4>5</vt:i4>
      </vt:variant>
      <vt:variant>
        <vt:lpwstr/>
      </vt:variant>
      <vt:variant>
        <vt:lpwstr>_Toc337546869</vt:lpwstr>
      </vt:variant>
      <vt:variant>
        <vt:i4>1114168</vt:i4>
      </vt:variant>
      <vt:variant>
        <vt:i4>98</vt:i4>
      </vt:variant>
      <vt:variant>
        <vt:i4>0</vt:i4>
      </vt:variant>
      <vt:variant>
        <vt:i4>5</vt:i4>
      </vt:variant>
      <vt:variant>
        <vt:lpwstr/>
      </vt:variant>
      <vt:variant>
        <vt:lpwstr>_Toc337546868</vt:lpwstr>
      </vt:variant>
      <vt:variant>
        <vt:i4>1114168</vt:i4>
      </vt:variant>
      <vt:variant>
        <vt:i4>92</vt:i4>
      </vt:variant>
      <vt:variant>
        <vt:i4>0</vt:i4>
      </vt:variant>
      <vt:variant>
        <vt:i4>5</vt:i4>
      </vt:variant>
      <vt:variant>
        <vt:lpwstr/>
      </vt:variant>
      <vt:variant>
        <vt:lpwstr>_Toc337546867</vt:lpwstr>
      </vt:variant>
      <vt:variant>
        <vt:i4>1114168</vt:i4>
      </vt:variant>
      <vt:variant>
        <vt:i4>86</vt:i4>
      </vt:variant>
      <vt:variant>
        <vt:i4>0</vt:i4>
      </vt:variant>
      <vt:variant>
        <vt:i4>5</vt:i4>
      </vt:variant>
      <vt:variant>
        <vt:lpwstr/>
      </vt:variant>
      <vt:variant>
        <vt:lpwstr>_Toc337546866</vt:lpwstr>
      </vt:variant>
      <vt:variant>
        <vt:i4>1114168</vt:i4>
      </vt:variant>
      <vt:variant>
        <vt:i4>80</vt:i4>
      </vt:variant>
      <vt:variant>
        <vt:i4>0</vt:i4>
      </vt:variant>
      <vt:variant>
        <vt:i4>5</vt:i4>
      </vt:variant>
      <vt:variant>
        <vt:lpwstr/>
      </vt:variant>
      <vt:variant>
        <vt:lpwstr>_Toc337546865</vt:lpwstr>
      </vt:variant>
      <vt:variant>
        <vt:i4>1114168</vt:i4>
      </vt:variant>
      <vt:variant>
        <vt:i4>74</vt:i4>
      </vt:variant>
      <vt:variant>
        <vt:i4>0</vt:i4>
      </vt:variant>
      <vt:variant>
        <vt:i4>5</vt:i4>
      </vt:variant>
      <vt:variant>
        <vt:lpwstr/>
      </vt:variant>
      <vt:variant>
        <vt:lpwstr>_Toc337546864</vt:lpwstr>
      </vt:variant>
      <vt:variant>
        <vt:i4>1114168</vt:i4>
      </vt:variant>
      <vt:variant>
        <vt:i4>68</vt:i4>
      </vt:variant>
      <vt:variant>
        <vt:i4>0</vt:i4>
      </vt:variant>
      <vt:variant>
        <vt:i4>5</vt:i4>
      </vt:variant>
      <vt:variant>
        <vt:lpwstr/>
      </vt:variant>
      <vt:variant>
        <vt:lpwstr>_Toc337546863</vt:lpwstr>
      </vt:variant>
      <vt:variant>
        <vt:i4>1114168</vt:i4>
      </vt:variant>
      <vt:variant>
        <vt:i4>62</vt:i4>
      </vt:variant>
      <vt:variant>
        <vt:i4>0</vt:i4>
      </vt:variant>
      <vt:variant>
        <vt:i4>5</vt:i4>
      </vt:variant>
      <vt:variant>
        <vt:lpwstr/>
      </vt:variant>
      <vt:variant>
        <vt:lpwstr>_Toc337546862</vt:lpwstr>
      </vt:variant>
      <vt:variant>
        <vt:i4>1114168</vt:i4>
      </vt:variant>
      <vt:variant>
        <vt:i4>56</vt:i4>
      </vt:variant>
      <vt:variant>
        <vt:i4>0</vt:i4>
      </vt:variant>
      <vt:variant>
        <vt:i4>5</vt:i4>
      </vt:variant>
      <vt:variant>
        <vt:lpwstr/>
      </vt:variant>
      <vt:variant>
        <vt:lpwstr>_Toc337546861</vt:lpwstr>
      </vt:variant>
      <vt:variant>
        <vt:i4>1114168</vt:i4>
      </vt:variant>
      <vt:variant>
        <vt:i4>50</vt:i4>
      </vt:variant>
      <vt:variant>
        <vt:i4>0</vt:i4>
      </vt:variant>
      <vt:variant>
        <vt:i4>5</vt:i4>
      </vt:variant>
      <vt:variant>
        <vt:lpwstr/>
      </vt:variant>
      <vt:variant>
        <vt:lpwstr>_Toc337546860</vt:lpwstr>
      </vt:variant>
      <vt:variant>
        <vt:i4>1179704</vt:i4>
      </vt:variant>
      <vt:variant>
        <vt:i4>44</vt:i4>
      </vt:variant>
      <vt:variant>
        <vt:i4>0</vt:i4>
      </vt:variant>
      <vt:variant>
        <vt:i4>5</vt:i4>
      </vt:variant>
      <vt:variant>
        <vt:lpwstr/>
      </vt:variant>
      <vt:variant>
        <vt:lpwstr>_Toc337546859</vt:lpwstr>
      </vt:variant>
      <vt:variant>
        <vt:i4>1179704</vt:i4>
      </vt:variant>
      <vt:variant>
        <vt:i4>38</vt:i4>
      </vt:variant>
      <vt:variant>
        <vt:i4>0</vt:i4>
      </vt:variant>
      <vt:variant>
        <vt:i4>5</vt:i4>
      </vt:variant>
      <vt:variant>
        <vt:lpwstr/>
      </vt:variant>
      <vt:variant>
        <vt:lpwstr>_Toc337546858</vt:lpwstr>
      </vt:variant>
      <vt:variant>
        <vt:i4>1179704</vt:i4>
      </vt:variant>
      <vt:variant>
        <vt:i4>32</vt:i4>
      </vt:variant>
      <vt:variant>
        <vt:i4>0</vt:i4>
      </vt:variant>
      <vt:variant>
        <vt:i4>5</vt:i4>
      </vt:variant>
      <vt:variant>
        <vt:lpwstr/>
      </vt:variant>
      <vt:variant>
        <vt:lpwstr>_Toc337546857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MSAC SBA Application 1166</dc:title>
  <dc:creator>Covidien</dc:creator>
  <cp:lastModifiedBy>Hambley Carolyn</cp:lastModifiedBy>
  <cp:revision>7</cp:revision>
  <cp:lastPrinted>2013-11-11T03:41:00Z</cp:lastPrinted>
  <dcterms:created xsi:type="dcterms:W3CDTF">2013-11-14T01:22:00Z</dcterms:created>
  <dcterms:modified xsi:type="dcterms:W3CDTF">2013-11-14T01:27:00Z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