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AC3D3A" w14:textId="77777777" w:rsidR="00094895" w:rsidRPr="002926CF" w:rsidRDefault="00094895" w:rsidP="00FD0BF7">
      <w:pPr>
        <w:keepNext/>
        <w:widowControl w:val="0"/>
        <w:spacing w:after="0" w:line="240" w:lineRule="auto"/>
        <w:jc w:val="center"/>
        <w:rPr>
          <w:rFonts w:ascii="Times New Roman" w:eastAsia="Times New Roman" w:hAnsi="Times New Roman" w:cs="Times New Roman"/>
          <w:b/>
          <w:bCs/>
          <w:snapToGrid w:val="0"/>
          <w:sz w:val="24"/>
          <w:szCs w:val="24"/>
          <w:lang w:val="en-US"/>
        </w:rPr>
      </w:pPr>
      <w:bookmarkStart w:id="0" w:name="_GoBack"/>
      <w:bookmarkEnd w:id="0"/>
      <w:r w:rsidRPr="00CD0571">
        <w:rPr>
          <w:rFonts w:ascii="Times New Roman" w:eastAsia="Times New Roman" w:hAnsi="Times New Roman" w:cs="Times New Roman"/>
          <w:b/>
          <w:bCs/>
          <w:noProof/>
          <w:color w:val="800000"/>
          <w:sz w:val="24"/>
          <w:szCs w:val="24"/>
          <w:lang w:eastAsia="en-AU"/>
        </w:rPr>
        <w:drawing>
          <wp:inline distT="0" distB="0" distL="0" distR="0" wp14:anchorId="3074549D" wp14:editId="79DEE732">
            <wp:extent cx="1841500" cy="666750"/>
            <wp:effectExtent l="0" t="0" r="6350" b="0"/>
            <wp:docPr id="1" name="Picture 1" descr="MSAC logo stacked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AC logo stacked 1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41500" cy="666750"/>
                    </a:xfrm>
                    <a:prstGeom prst="rect">
                      <a:avLst/>
                    </a:prstGeom>
                    <a:noFill/>
                    <a:ln>
                      <a:noFill/>
                    </a:ln>
                  </pic:spPr>
                </pic:pic>
              </a:graphicData>
            </a:graphic>
          </wp:inline>
        </w:drawing>
      </w:r>
    </w:p>
    <w:p w14:paraId="27B5BCFA" w14:textId="77777777" w:rsidR="00094895" w:rsidRPr="007D23D2" w:rsidRDefault="00094895" w:rsidP="00FD0BF7">
      <w:pPr>
        <w:keepNext/>
        <w:widowControl w:val="0"/>
        <w:spacing w:after="0" w:line="240" w:lineRule="auto"/>
        <w:rPr>
          <w:rFonts w:ascii="Times New Roman" w:eastAsia="Times New Roman" w:hAnsi="Times New Roman" w:cs="Times New Roman"/>
          <w:bCs/>
          <w:snapToGrid w:val="0"/>
          <w:sz w:val="24"/>
          <w:szCs w:val="24"/>
          <w:lang w:val="en-US"/>
        </w:rPr>
      </w:pPr>
    </w:p>
    <w:p w14:paraId="42494E12" w14:textId="77777777" w:rsidR="00831CD9" w:rsidRDefault="00831CD9" w:rsidP="00020647">
      <w:pPr>
        <w:keepNext/>
        <w:widowControl w:val="0"/>
        <w:spacing w:after="0" w:line="240" w:lineRule="auto"/>
        <w:jc w:val="center"/>
        <w:rPr>
          <w:rFonts w:ascii="Times New Roman" w:eastAsia="Times New Roman" w:hAnsi="Times New Roman" w:cs="Times New Roman"/>
          <w:b/>
          <w:bCs/>
          <w:snapToGrid w:val="0"/>
          <w:sz w:val="24"/>
          <w:szCs w:val="24"/>
          <w:lang w:val="en-US"/>
        </w:rPr>
      </w:pPr>
    </w:p>
    <w:p w14:paraId="0BE84ECE" w14:textId="77777777" w:rsidR="00020647" w:rsidRDefault="00020647" w:rsidP="00020647">
      <w:pPr>
        <w:keepNext/>
        <w:widowControl w:val="0"/>
        <w:spacing w:after="0" w:line="240" w:lineRule="auto"/>
        <w:jc w:val="center"/>
        <w:rPr>
          <w:rFonts w:ascii="Times New Roman" w:eastAsia="Times New Roman" w:hAnsi="Times New Roman" w:cs="Times New Roman"/>
          <w:b/>
          <w:bCs/>
          <w:snapToGrid w:val="0"/>
          <w:sz w:val="24"/>
          <w:szCs w:val="24"/>
          <w:lang w:val="en-US"/>
        </w:rPr>
      </w:pPr>
      <w:r w:rsidRPr="00A91BF6">
        <w:rPr>
          <w:rFonts w:ascii="Times New Roman" w:eastAsia="Times New Roman" w:hAnsi="Times New Roman" w:cs="Times New Roman"/>
          <w:b/>
          <w:bCs/>
          <w:snapToGrid w:val="0"/>
          <w:sz w:val="24"/>
          <w:szCs w:val="24"/>
          <w:lang w:val="en-US"/>
        </w:rPr>
        <w:t>STAKEHOLDER MEETING</w:t>
      </w:r>
      <w:r>
        <w:rPr>
          <w:rFonts w:ascii="Times New Roman" w:eastAsia="Times New Roman" w:hAnsi="Times New Roman" w:cs="Times New Roman"/>
          <w:b/>
          <w:bCs/>
          <w:snapToGrid w:val="0"/>
          <w:sz w:val="24"/>
          <w:szCs w:val="24"/>
          <w:lang w:val="en-US"/>
        </w:rPr>
        <w:t xml:space="preserve"> MINUTES </w:t>
      </w:r>
    </w:p>
    <w:p w14:paraId="0E9015F2" w14:textId="4ACD8EA7" w:rsidR="00A91BF6" w:rsidRPr="00A91BF6" w:rsidRDefault="00A91BF6" w:rsidP="00A91BF6">
      <w:pPr>
        <w:keepNext/>
        <w:widowControl w:val="0"/>
        <w:spacing w:after="0" w:line="240" w:lineRule="auto"/>
        <w:jc w:val="center"/>
        <w:rPr>
          <w:rFonts w:ascii="Times New Roman" w:eastAsia="Times New Roman" w:hAnsi="Times New Roman" w:cs="Times New Roman"/>
          <w:b/>
          <w:bCs/>
          <w:snapToGrid w:val="0"/>
          <w:sz w:val="24"/>
          <w:szCs w:val="24"/>
          <w:lang w:val="en-US"/>
        </w:rPr>
      </w:pPr>
      <w:r w:rsidRPr="00A91BF6">
        <w:rPr>
          <w:rFonts w:ascii="Times New Roman" w:eastAsia="Times New Roman" w:hAnsi="Times New Roman" w:cs="Times New Roman"/>
          <w:b/>
          <w:bCs/>
          <w:snapToGrid w:val="0"/>
          <w:sz w:val="24"/>
          <w:szCs w:val="24"/>
          <w:lang w:val="en-US"/>
        </w:rPr>
        <w:t>TRANSCATHETER OCCLUSION OF THE LEFT ATRIAL APPENDAGE (LAA)</w:t>
      </w:r>
    </w:p>
    <w:p w14:paraId="5564AFB0" w14:textId="65773740" w:rsidR="00094895" w:rsidRPr="00CD0571" w:rsidRDefault="00342293" w:rsidP="00A91BF6">
      <w:pPr>
        <w:keepNext/>
        <w:widowControl w:val="0"/>
        <w:spacing w:after="0" w:line="240" w:lineRule="auto"/>
        <w:jc w:val="center"/>
        <w:rPr>
          <w:rFonts w:ascii="Times New Roman" w:eastAsia="Times New Roman" w:hAnsi="Times New Roman" w:cs="Times New Roman"/>
          <w:b/>
          <w:bCs/>
          <w:snapToGrid w:val="0"/>
          <w:sz w:val="24"/>
          <w:szCs w:val="24"/>
          <w:lang w:val="en-US"/>
        </w:rPr>
      </w:pPr>
      <w:r>
        <w:rPr>
          <w:rFonts w:ascii="Times New Roman" w:eastAsia="Times New Roman" w:hAnsi="Times New Roman" w:cs="Times New Roman"/>
          <w:b/>
          <w:bCs/>
          <w:snapToGrid w:val="0"/>
          <w:sz w:val="24"/>
          <w:szCs w:val="24"/>
          <w:lang w:val="en-US"/>
        </w:rPr>
        <w:t>Fri</w:t>
      </w:r>
      <w:r w:rsidR="00A10F1F">
        <w:rPr>
          <w:rFonts w:ascii="Times New Roman" w:eastAsia="Times New Roman" w:hAnsi="Times New Roman" w:cs="Times New Roman"/>
          <w:b/>
          <w:bCs/>
          <w:snapToGrid w:val="0"/>
          <w:sz w:val="24"/>
          <w:szCs w:val="24"/>
          <w:lang w:val="en-US"/>
        </w:rPr>
        <w:t>day</w:t>
      </w:r>
      <w:r w:rsidR="002A784B">
        <w:rPr>
          <w:rFonts w:ascii="Times New Roman" w:eastAsia="Times New Roman" w:hAnsi="Times New Roman" w:cs="Times New Roman"/>
          <w:b/>
          <w:bCs/>
          <w:snapToGrid w:val="0"/>
          <w:sz w:val="24"/>
          <w:szCs w:val="24"/>
          <w:lang w:val="en-US"/>
        </w:rPr>
        <w:t xml:space="preserve">, </w:t>
      </w:r>
      <w:r w:rsidR="0055000E">
        <w:rPr>
          <w:rFonts w:ascii="Times New Roman" w:eastAsia="Times New Roman" w:hAnsi="Times New Roman" w:cs="Times New Roman"/>
          <w:b/>
          <w:bCs/>
          <w:snapToGrid w:val="0"/>
          <w:sz w:val="24"/>
          <w:szCs w:val="24"/>
          <w:lang w:val="en-US"/>
        </w:rPr>
        <w:t xml:space="preserve">5 </w:t>
      </w:r>
      <w:r w:rsidR="00A91BF6">
        <w:rPr>
          <w:rFonts w:ascii="Times New Roman" w:eastAsia="Times New Roman" w:hAnsi="Times New Roman" w:cs="Times New Roman"/>
          <w:b/>
          <w:bCs/>
          <w:snapToGrid w:val="0"/>
          <w:sz w:val="24"/>
          <w:szCs w:val="24"/>
          <w:lang w:val="en-US"/>
        </w:rPr>
        <w:t>June</w:t>
      </w:r>
      <w:r w:rsidR="0055000E">
        <w:rPr>
          <w:rFonts w:ascii="Times New Roman" w:eastAsia="Times New Roman" w:hAnsi="Times New Roman" w:cs="Times New Roman"/>
          <w:b/>
          <w:bCs/>
          <w:snapToGrid w:val="0"/>
          <w:sz w:val="24"/>
          <w:szCs w:val="24"/>
          <w:lang w:val="en-US"/>
        </w:rPr>
        <w:t xml:space="preserve"> </w:t>
      </w:r>
      <w:r w:rsidR="00A51A53">
        <w:rPr>
          <w:rFonts w:ascii="Times New Roman" w:eastAsia="Times New Roman" w:hAnsi="Times New Roman" w:cs="Times New Roman"/>
          <w:b/>
          <w:bCs/>
          <w:snapToGrid w:val="0"/>
          <w:sz w:val="24"/>
          <w:szCs w:val="24"/>
          <w:lang w:val="en-US"/>
        </w:rPr>
        <w:t>2015</w:t>
      </w:r>
    </w:p>
    <w:p w14:paraId="3DD8B7B0" w14:textId="77777777" w:rsidR="0053765B" w:rsidRPr="007D23D2" w:rsidRDefault="0053765B" w:rsidP="00FD0BF7">
      <w:pPr>
        <w:spacing w:after="0" w:line="240" w:lineRule="auto"/>
        <w:rPr>
          <w:rFonts w:ascii="Times New Roman" w:eastAsia="Times New Roman" w:hAnsi="Times New Roman" w:cs="Times New Roman"/>
          <w:sz w:val="24"/>
          <w:szCs w:val="24"/>
          <w:lang w:eastAsia="en-AU"/>
        </w:rPr>
      </w:pPr>
    </w:p>
    <w:p w14:paraId="01876564" w14:textId="77777777" w:rsidR="00831CD9" w:rsidRDefault="00831CD9" w:rsidP="00FD0BF7">
      <w:pPr>
        <w:spacing w:after="0" w:line="240" w:lineRule="auto"/>
        <w:rPr>
          <w:rFonts w:ascii="Times New Roman" w:eastAsia="Times New Roman" w:hAnsi="Times New Roman" w:cs="Times New Roman"/>
          <w:b/>
          <w:sz w:val="24"/>
          <w:szCs w:val="24"/>
          <w:lang w:eastAsia="en-AU"/>
        </w:rPr>
      </w:pPr>
    </w:p>
    <w:p w14:paraId="3E0BB91F" w14:textId="6BC89E54" w:rsidR="0053765B" w:rsidRPr="00831CD9" w:rsidRDefault="00094437" w:rsidP="00FD0BF7">
      <w:pPr>
        <w:spacing w:after="0" w:line="240" w:lineRule="auto"/>
        <w:rPr>
          <w:rFonts w:ascii="Times New Roman" w:eastAsia="Times New Roman" w:hAnsi="Times New Roman" w:cs="Times New Roman"/>
          <w:b/>
          <w:sz w:val="24"/>
          <w:szCs w:val="24"/>
          <w:lang w:eastAsia="en-AU"/>
        </w:rPr>
      </w:pPr>
      <w:r w:rsidRPr="00831CD9">
        <w:rPr>
          <w:rFonts w:ascii="Times New Roman" w:eastAsia="Times New Roman" w:hAnsi="Times New Roman" w:cs="Times New Roman"/>
          <w:b/>
          <w:sz w:val="24"/>
          <w:szCs w:val="24"/>
          <w:lang w:eastAsia="en-AU"/>
        </w:rPr>
        <w:t>Attendees</w:t>
      </w:r>
    </w:p>
    <w:p w14:paraId="247B0CC3" w14:textId="77777777" w:rsidR="00831CD9" w:rsidRDefault="00831CD9" w:rsidP="00831CD9">
      <w:pPr>
        <w:spacing w:after="0" w:line="240" w:lineRule="auto"/>
        <w:rPr>
          <w:rFonts w:ascii="Times New Roman" w:hAnsi="Times New Roman" w:cs="Times New Roman"/>
          <w:sz w:val="24"/>
          <w:szCs w:val="24"/>
        </w:rPr>
      </w:pPr>
    </w:p>
    <w:p w14:paraId="3FBF2F01" w14:textId="77777777" w:rsidR="00831CD9" w:rsidRDefault="00831CD9" w:rsidP="00831CD9">
      <w:pPr>
        <w:spacing w:after="0" w:line="240" w:lineRule="auto"/>
        <w:rPr>
          <w:rFonts w:ascii="Times New Roman" w:hAnsi="Times New Roman" w:cs="Times New Roman"/>
          <w:sz w:val="24"/>
          <w:szCs w:val="24"/>
        </w:rPr>
      </w:pPr>
      <w:r w:rsidRPr="008B26EC">
        <w:rPr>
          <w:rFonts w:ascii="Times New Roman" w:hAnsi="Times New Roman" w:cs="Times New Roman"/>
          <w:sz w:val="24"/>
          <w:szCs w:val="24"/>
        </w:rPr>
        <w:t>Members of the Medical Services Advisory Committee (MSAC), clinicians with experie</w:t>
      </w:r>
      <w:r>
        <w:rPr>
          <w:rFonts w:ascii="Times New Roman" w:hAnsi="Times New Roman" w:cs="Times New Roman"/>
          <w:sz w:val="24"/>
          <w:szCs w:val="24"/>
        </w:rPr>
        <w:t xml:space="preserve">nce in managing patients with </w:t>
      </w:r>
      <w:r w:rsidRPr="008B26EC">
        <w:rPr>
          <w:rFonts w:ascii="Times New Roman" w:hAnsi="Times New Roman" w:cs="Times New Roman"/>
          <w:sz w:val="24"/>
          <w:szCs w:val="24"/>
        </w:rPr>
        <w:t>non-valvular atrial fibrillation</w:t>
      </w:r>
      <w:r>
        <w:rPr>
          <w:rFonts w:ascii="Times New Roman" w:hAnsi="Times New Roman" w:cs="Times New Roman"/>
          <w:sz w:val="24"/>
          <w:szCs w:val="24"/>
        </w:rPr>
        <w:t xml:space="preserve"> (NVAF)</w:t>
      </w:r>
      <w:r w:rsidRPr="008B26EC">
        <w:rPr>
          <w:rFonts w:ascii="Times New Roman" w:hAnsi="Times New Roman" w:cs="Times New Roman"/>
          <w:sz w:val="24"/>
          <w:szCs w:val="24"/>
        </w:rPr>
        <w:t xml:space="preserve"> and expertise in treating the condition, representatives of </w:t>
      </w:r>
      <w:r>
        <w:rPr>
          <w:rFonts w:ascii="Times New Roman" w:hAnsi="Times New Roman" w:cs="Times New Roman"/>
          <w:sz w:val="24"/>
          <w:szCs w:val="24"/>
        </w:rPr>
        <w:t>Boston Scientific and St Jude Medical Australia</w:t>
      </w:r>
      <w:r w:rsidRPr="008B26EC">
        <w:rPr>
          <w:rFonts w:ascii="Times New Roman" w:hAnsi="Times New Roman" w:cs="Times New Roman"/>
          <w:sz w:val="24"/>
          <w:szCs w:val="24"/>
        </w:rPr>
        <w:t>, and the Department of Health were in attendance.</w:t>
      </w:r>
    </w:p>
    <w:p w14:paraId="387F70A4" w14:textId="77777777" w:rsidR="00AA39BB" w:rsidRDefault="00AA39BB" w:rsidP="00FD0BF7">
      <w:pPr>
        <w:spacing w:after="0" w:line="240" w:lineRule="auto"/>
        <w:rPr>
          <w:rFonts w:ascii="Times New Roman" w:eastAsia="Times New Roman" w:hAnsi="Times New Roman" w:cs="Times New Roman"/>
          <w:sz w:val="24"/>
          <w:szCs w:val="24"/>
          <w:lang w:eastAsia="en-AU"/>
        </w:rPr>
      </w:pPr>
    </w:p>
    <w:p w14:paraId="5C1275D5" w14:textId="77777777" w:rsidR="008B26EC" w:rsidRDefault="008B26EC" w:rsidP="008B26EC">
      <w:pPr>
        <w:spacing w:after="0" w:line="240" w:lineRule="auto"/>
        <w:rPr>
          <w:rFonts w:ascii="Times New Roman" w:hAnsi="Times New Roman" w:cs="Times New Roman"/>
          <w:b/>
          <w:sz w:val="24"/>
          <w:szCs w:val="24"/>
        </w:rPr>
      </w:pPr>
      <w:r w:rsidRPr="008B26EC">
        <w:rPr>
          <w:rFonts w:ascii="Times New Roman" w:hAnsi="Times New Roman" w:cs="Times New Roman"/>
          <w:b/>
          <w:sz w:val="24"/>
          <w:szCs w:val="24"/>
        </w:rPr>
        <w:t>1: Meeting open</w:t>
      </w:r>
    </w:p>
    <w:p w14:paraId="25B8109A" w14:textId="77777777" w:rsidR="003A564C" w:rsidRPr="008B26EC" w:rsidRDefault="003A564C" w:rsidP="008B26EC">
      <w:pPr>
        <w:spacing w:after="0" w:line="240" w:lineRule="auto"/>
        <w:rPr>
          <w:rFonts w:ascii="Times New Roman" w:hAnsi="Times New Roman" w:cs="Times New Roman"/>
          <w:b/>
          <w:sz w:val="24"/>
          <w:szCs w:val="24"/>
        </w:rPr>
      </w:pPr>
    </w:p>
    <w:p w14:paraId="4B3F5055" w14:textId="77777777" w:rsidR="008B26EC" w:rsidRDefault="008B26EC" w:rsidP="008B26EC">
      <w:pPr>
        <w:spacing w:after="0" w:line="240" w:lineRule="auto"/>
        <w:rPr>
          <w:rFonts w:ascii="Times New Roman" w:hAnsi="Times New Roman" w:cs="Times New Roman"/>
          <w:sz w:val="24"/>
          <w:szCs w:val="24"/>
        </w:rPr>
      </w:pPr>
      <w:r w:rsidRPr="008B26EC">
        <w:rPr>
          <w:rFonts w:ascii="Times New Roman" w:hAnsi="Times New Roman" w:cs="Times New Roman"/>
          <w:sz w:val="24"/>
          <w:szCs w:val="24"/>
        </w:rPr>
        <w:t>The MSAC Chair opened the meeting at 1.30pm.</w:t>
      </w:r>
    </w:p>
    <w:p w14:paraId="3F90D08A" w14:textId="77777777" w:rsidR="008B26EC" w:rsidRPr="008B26EC" w:rsidRDefault="008B26EC" w:rsidP="008B26EC">
      <w:pPr>
        <w:spacing w:after="0" w:line="240" w:lineRule="auto"/>
        <w:rPr>
          <w:rFonts w:ascii="Times New Roman" w:hAnsi="Times New Roman" w:cs="Times New Roman"/>
          <w:sz w:val="24"/>
          <w:szCs w:val="24"/>
        </w:rPr>
      </w:pPr>
    </w:p>
    <w:p w14:paraId="56F9B28E" w14:textId="77777777" w:rsidR="008B26EC" w:rsidRDefault="008B26EC" w:rsidP="008B26EC">
      <w:pPr>
        <w:spacing w:after="0" w:line="240" w:lineRule="auto"/>
        <w:rPr>
          <w:rFonts w:ascii="Times New Roman" w:hAnsi="Times New Roman" w:cs="Times New Roman"/>
          <w:sz w:val="24"/>
          <w:szCs w:val="24"/>
        </w:rPr>
      </w:pPr>
      <w:r w:rsidRPr="008B26EC">
        <w:rPr>
          <w:rFonts w:ascii="Times New Roman" w:hAnsi="Times New Roman" w:cs="Times New Roman"/>
          <w:sz w:val="24"/>
          <w:szCs w:val="24"/>
        </w:rPr>
        <w:t>The Chair thanked participants for attending and clarified that the Stakeholder meeting was not an MSAC decision making forum, but would inform the issues considered by MSAC following its November 2014 consideration of application 1347 (transcatheter occlusion of the left atrial appendage for patients with non-valvular atrial fibrillation). The key objective of the meeting was to ensure that those with knowledge of these devices could be involved in discussing the issues raised by the November 2014 MSAC meeting, particularly the appropriate patient population and comparator, to provide a basis for any re-application of a public funding proposal.</w:t>
      </w:r>
    </w:p>
    <w:p w14:paraId="319D266F" w14:textId="77777777" w:rsidR="008B26EC" w:rsidRPr="008B26EC" w:rsidRDefault="008B26EC" w:rsidP="008B26EC">
      <w:pPr>
        <w:spacing w:after="0" w:line="240" w:lineRule="auto"/>
        <w:rPr>
          <w:rFonts w:ascii="Times New Roman" w:hAnsi="Times New Roman" w:cs="Times New Roman"/>
          <w:sz w:val="24"/>
          <w:szCs w:val="24"/>
        </w:rPr>
      </w:pPr>
    </w:p>
    <w:p w14:paraId="7AABA610" w14:textId="10C7ABEB" w:rsidR="008B26EC" w:rsidRDefault="008B26EC" w:rsidP="008B26EC">
      <w:pPr>
        <w:spacing w:after="0" w:line="240" w:lineRule="auto"/>
        <w:rPr>
          <w:rFonts w:ascii="Times New Roman" w:hAnsi="Times New Roman" w:cs="Times New Roman"/>
          <w:sz w:val="24"/>
          <w:szCs w:val="24"/>
        </w:rPr>
      </w:pPr>
      <w:r w:rsidRPr="008B26EC">
        <w:rPr>
          <w:rFonts w:ascii="Times New Roman" w:hAnsi="Times New Roman" w:cs="Times New Roman"/>
          <w:sz w:val="24"/>
          <w:szCs w:val="24"/>
        </w:rPr>
        <w:t>The Chair noted that the final minutes of the Stakeholder meeting would be provided to all attendees for input prior to publication on the MSAC website.</w:t>
      </w:r>
      <w:r w:rsidR="003A564C">
        <w:rPr>
          <w:rFonts w:ascii="Times New Roman" w:hAnsi="Times New Roman" w:cs="Times New Roman"/>
          <w:sz w:val="24"/>
          <w:szCs w:val="24"/>
        </w:rPr>
        <w:t xml:space="preserve"> </w:t>
      </w:r>
      <w:r w:rsidRPr="008B26EC">
        <w:rPr>
          <w:rFonts w:ascii="Times New Roman" w:hAnsi="Times New Roman" w:cs="Times New Roman"/>
          <w:sz w:val="24"/>
          <w:szCs w:val="24"/>
        </w:rPr>
        <w:t>The Chair indicated that these minutes would not attribute any of the discussion to any identified individual.</w:t>
      </w:r>
    </w:p>
    <w:p w14:paraId="3610DA3B" w14:textId="77777777" w:rsidR="008B26EC" w:rsidRPr="008B26EC" w:rsidRDefault="008B26EC" w:rsidP="008B26EC">
      <w:pPr>
        <w:spacing w:after="0" w:line="240" w:lineRule="auto"/>
        <w:rPr>
          <w:rFonts w:ascii="Times New Roman" w:hAnsi="Times New Roman" w:cs="Times New Roman"/>
          <w:sz w:val="24"/>
          <w:szCs w:val="24"/>
        </w:rPr>
      </w:pPr>
    </w:p>
    <w:p w14:paraId="260EBD3C" w14:textId="599D7837" w:rsidR="008B26EC" w:rsidRPr="008B26EC" w:rsidRDefault="008B26EC" w:rsidP="008B26EC">
      <w:pPr>
        <w:spacing w:after="0" w:line="240" w:lineRule="auto"/>
        <w:rPr>
          <w:rFonts w:ascii="Times New Roman" w:hAnsi="Times New Roman" w:cs="Times New Roman"/>
          <w:sz w:val="24"/>
          <w:szCs w:val="24"/>
          <w:u w:val="single"/>
        </w:rPr>
      </w:pPr>
      <w:r w:rsidRPr="008B26EC">
        <w:rPr>
          <w:rFonts w:ascii="Times New Roman" w:hAnsi="Times New Roman" w:cs="Times New Roman"/>
          <w:sz w:val="24"/>
          <w:szCs w:val="24"/>
          <w:u w:val="single"/>
        </w:rPr>
        <w:t>Conflicts of interest</w:t>
      </w:r>
    </w:p>
    <w:p w14:paraId="74647230" w14:textId="77777777" w:rsidR="00831CD9" w:rsidRDefault="00831CD9" w:rsidP="00831CD9">
      <w:pPr>
        <w:spacing w:after="0" w:line="240" w:lineRule="auto"/>
        <w:rPr>
          <w:rFonts w:ascii="Times New Roman" w:hAnsi="Times New Roman" w:cs="Times New Roman"/>
          <w:sz w:val="24"/>
          <w:szCs w:val="24"/>
        </w:rPr>
      </w:pPr>
    </w:p>
    <w:p w14:paraId="14008E6C" w14:textId="09B1B55D" w:rsidR="00831CD9" w:rsidRDefault="00831CD9" w:rsidP="00831CD9">
      <w:pPr>
        <w:spacing w:after="0" w:line="240" w:lineRule="auto"/>
        <w:rPr>
          <w:rFonts w:ascii="Times New Roman" w:hAnsi="Times New Roman" w:cs="Times New Roman"/>
          <w:sz w:val="24"/>
          <w:szCs w:val="24"/>
        </w:rPr>
      </w:pPr>
      <w:r>
        <w:rPr>
          <w:rFonts w:ascii="Times New Roman" w:hAnsi="Times New Roman" w:cs="Times New Roman"/>
          <w:sz w:val="24"/>
          <w:szCs w:val="24"/>
        </w:rPr>
        <w:t>The Chair noted the conflicts of interests declared</w:t>
      </w:r>
      <w:r w:rsidRPr="008B26EC">
        <w:rPr>
          <w:rFonts w:ascii="Times New Roman" w:hAnsi="Times New Roman" w:cs="Times New Roman"/>
          <w:sz w:val="24"/>
          <w:szCs w:val="24"/>
        </w:rPr>
        <w:t>.</w:t>
      </w:r>
    </w:p>
    <w:p w14:paraId="32B013CA" w14:textId="5BCE4A2D" w:rsidR="008B26EC" w:rsidRDefault="008B26EC" w:rsidP="008B26EC">
      <w:pPr>
        <w:spacing w:after="0" w:line="240" w:lineRule="auto"/>
        <w:rPr>
          <w:rFonts w:ascii="Times New Roman" w:hAnsi="Times New Roman" w:cs="Times New Roman"/>
          <w:sz w:val="24"/>
          <w:szCs w:val="24"/>
        </w:rPr>
      </w:pPr>
    </w:p>
    <w:p w14:paraId="27F3F54A" w14:textId="77777777" w:rsidR="008B26EC" w:rsidRDefault="008B26EC" w:rsidP="008B26EC">
      <w:pPr>
        <w:spacing w:after="0" w:line="240" w:lineRule="auto"/>
        <w:rPr>
          <w:rFonts w:ascii="Times New Roman" w:hAnsi="Times New Roman" w:cs="Times New Roman"/>
          <w:b/>
          <w:sz w:val="24"/>
          <w:szCs w:val="24"/>
        </w:rPr>
      </w:pPr>
      <w:r w:rsidRPr="008B26EC">
        <w:rPr>
          <w:rFonts w:ascii="Times New Roman" w:hAnsi="Times New Roman" w:cs="Times New Roman"/>
          <w:b/>
          <w:sz w:val="24"/>
          <w:szCs w:val="24"/>
        </w:rPr>
        <w:t>2: Background</w:t>
      </w:r>
    </w:p>
    <w:p w14:paraId="57D51CA0" w14:textId="77777777" w:rsidR="003A564C" w:rsidRPr="008B26EC" w:rsidRDefault="003A564C" w:rsidP="008B26EC">
      <w:pPr>
        <w:spacing w:after="0" w:line="240" w:lineRule="auto"/>
        <w:rPr>
          <w:rFonts w:ascii="Times New Roman" w:hAnsi="Times New Roman" w:cs="Times New Roman"/>
          <w:b/>
          <w:sz w:val="24"/>
          <w:szCs w:val="24"/>
        </w:rPr>
      </w:pPr>
    </w:p>
    <w:p w14:paraId="5515E79B" w14:textId="6CC86345" w:rsidR="008B26EC" w:rsidRDefault="008B26EC" w:rsidP="008B26EC">
      <w:pPr>
        <w:spacing w:after="0" w:line="240" w:lineRule="auto"/>
        <w:rPr>
          <w:rFonts w:ascii="Times New Roman" w:hAnsi="Times New Roman" w:cs="Times New Roman"/>
          <w:sz w:val="24"/>
          <w:szCs w:val="24"/>
        </w:rPr>
      </w:pPr>
      <w:r w:rsidRPr="008B26EC">
        <w:rPr>
          <w:rFonts w:ascii="Times New Roman" w:hAnsi="Times New Roman" w:cs="Times New Roman"/>
          <w:sz w:val="24"/>
          <w:szCs w:val="24"/>
        </w:rPr>
        <w:t xml:space="preserve">At its November 2014 meeting, MSAC considered a proposal to publicly fund </w:t>
      </w:r>
      <w:r w:rsidR="009D71A0">
        <w:rPr>
          <w:rFonts w:ascii="Times New Roman" w:hAnsi="Times New Roman" w:cs="Times New Roman"/>
          <w:sz w:val="24"/>
          <w:szCs w:val="24"/>
        </w:rPr>
        <w:t xml:space="preserve">transcatheter </w:t>
      </w:r>
      <w:r w:rsidRPr="008B26EC">
        <w:rPr>
          <w:rFonts w:ascii="Times New Roman" w:hAnsi="Times New Roman" w:cs="Times New Roman"/>
          <w:sz w:val="24"/>
          <w:szCs w:val="24"/>
        </w:rPr>
        <w:t>left atrial appendage closure (LAAC) for patients who are contraindicated for oral anticoagulant therapy (OAT) (Application 1347). The application was not supported due to uncertain comparative safety and clinical effectiveness in the short and long term and uncertain cost-effectiveness.</w:t>
      </w:r>
    </w:p>
    <w:p w14:paraId="559E7466" w14:textId="77777777" w:rsidR="003A564C" w:rsidRPr="008B26EC" w:rsidRDefault="003A564C" w:rsidP="008B26EC">
      <w:pPr>
        <w:spacing w:after="0" w:line="240" w:lineRule="auto"/>
        <w:rPr>
          <w:rFonts w:ascii="Times New Roman" w:hAnsi="Times New Roman" w:cs="Times New Roman"/>
          <w:sz w:val="24"/>
          <w:szCs w:val="24"/>
        </w:rPr>
      </w:pPr>
    </w:p>
    <w:p w14:paraId="44630957" w14:textId="77777777" w:rsidR="008B26EC" w:rsidRDefault="008B26EC" w:rsidP="008B26EC">
      <w:pPr>
        <w:spacing w:after="0" w:line="240" w:lineRule="auto"/>
        <w:rPr>
          <w:rFonts w:ascii="Times New Roman" w:hAnsi="Times New Roman" w:cs="Times New Roman"/>
          <w:sz w:val="24"/>
          <w:szCs w:val="24"/>
        </w:rPr>
      </w:pPr>
      <w:r w:rsidRPr="008B26EC">
        <w:rPr>
          <w:rFonts w:ascii="Times New Roman" w:hAnsi="Times New Roman" w:cs="Times New Roman"/>
          <w:sz w:val="24"/>
          <w:szCs w:val="24"/>
        </w:rPr>
        <w:t>The key areas of uncertainty were the comparative safety and clinical effectiveness of LAAC compared to current standard of care with OAT or oral antiplatelet therapy (OAP).</w:t>
      </w:r>
    </w:p>
    <w:p w14:paraId="7EC8C418" w14:textId="77777777" w:rsidR="005A2AF3" w:rsidRDefault="005A2AF3" w:rsidP="005A2AF3">
      <w:pPr>
        <w:spacing w:after="0" w:line="240" w:lineRule="auto"/>
        <w:rPr>
          <w:rFonts w:ascii="Times New Roman" w:hAnsi="Times New Roman" w:cs="Times New Roman"/>
          <w:sz w:val="24"/>
          <w:szCs w:val="24"/>
        </w:rPr>
      </w:pPr>
    </w:p>
    <w:p w14:paraId="79425AC4" w14:textId="42483359" w:rsidR="004A5618" w:rsidRDefault="005A2AF3" w:rsidP="005A2AF3">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The meeting noted that </w:t>
      </w:r>
      <w:r w:rsidRPr="004A5618">
        <w:rPr>
          <w:rFonts w:ascii="Times New Roman" w:hAnsi="Times New Roman" w:cs="Times New Roman"/>
          <w:sz w:val="24"/>
          <w:szCs w:val="24"/>
        </w:rPr>
        <w:t>Boston Sc</w:t>
      </w:r>
      <w:r>
        <w:rPr>
          <w:rFonts w:ascii="Times New Roman" w:hAnsi="Times New Roman" w:cs="Times New Roman"/>
          <w:sz w:val="24"/>
          <w:szCs w:val="24"/>
        </w:rPr>
        <w:t>ientific’s application to MSAC wa</w:t>
      </w:r>
      <w:r w:rsidRPr="004A5618">
        <w:rPr>
          <w:rFonts w:ascii="Times New Roman" w:hAnsi="Times New Roman" w:cs="Times New Roman"/>
          <w:sz w:val="24"/>
          <w:szCs w:val="24"/>
        </w:rPr>
        <w:t>s seeking a professional service to be listed on the MBS th</w:t>
      </w:r>
      <w:r>
        <w:rPr>
          <w:rFonts w:ascii="Times New Roman" w:hAnsi="Times New Roman" w:cs="Times New Roman"/>
          <w:sz w:val="24"/>
          <w:szCs w:val="24"/>
        </w:rPr>
        <w:t>at generically covers for trans</w:t>
      </w:r>
      <w:r w:rsidRPr="004A5618">
        <w:rPr>
          <w:rFonts w:ascii="Times New Roman" w:hAnsi="Times New Roman" w:cs="Times New Roman"/>
          <w:sz w:val="24"/>
          <w:szCs w:val="24"/>
        </w:rPr>
        <w:t>catheter occlusion of the left atrial appendage. However</w:t>
      </w:r>
      <w:r>
        <w:rPr>
          <w:rFonts w:ascii="Times New Roman" w:hAnsi="Times New Roman" w:cs="Times New Roman"/>
          <w:sz w:val="24"/>
          <w:szCs w:val="24"/>
        </w:rPr>
        <w:t>,</w:t>
      </w:r>
      <w:r w:rsidRPr="004A5618">
        <w:rPr>
          <w:rFonts w:ascii="Times New Roman" w:hAnsi="Times New Roman" w:cs="Times New Roman"/>
          <w:sz w:val="24"/>
          <w:szCs w:val="24"/>
        </w:rPr>
        <w:t xml:space="preserve"> it was raised </w:t>
      </w:r>
      <w:r>
        <w:rPr>
          <w:rFonts w:ascii="Times New Roman" w:hAnsi="Times New Roman" w:cs="Times New Roman"/>
          <w:sz w:val="24"/>
          <w:szCs w:val="24"/>
        </w:rPr>
        <w:t xml:space="preserve">that there are also </w:t>
      </w:r>
      <w:r w:rsidRPr="004A5618">
        <w:rPr>
          <w:rFonts w:ascii="Times New Roman" w:hAnsi="Times New Roman" w:cs="Times New Roman"/>
          <w:sz w:val="24"/>
          <w:szCs w:val="24"/>
        </w:rPr>
        <w:t>non-transcatheter methods of occluding the left atrial appendage.</w:t>
      </w:r>
      <w:r>
        <w:rPr>
          <w:rFonts w:ascii="Times New Roman" w:hAnsi="Times New Roman" w:cs="Times New Roman"/>
          <w:sz w:val="24"/>
          <w:szCs w:val="24"/>
        </w:rPr>
        <w:t xml:space="preserve"> The meeting did not resolve whether these additional interventions should be incorporated into the proposed item descriptor. </w:t>
      </w:r>
    </w:p>
    <w:p w14:paraId="65A79C4B" w14:textId="77777777" w:rsidR="005A2AF3" w:rsidRPr="008B26EC" w:rsidRDefault="005A2AF3" w:rsidP="005A2AF3">
      <w:pPr>
        <w:spacing w:after="0" w:line="240" w:lineRule="auto"/>
        <w:rPr>
          <w:rFonts w:ascii="Times New Roman" w:hAnsi="Times New Roman" w:cs="Times New Roman"/>
          <w:sz w:val="24"/>
          <w:szCs w:val="24"/>
        </w:rPr>
      </w:pPr>
    </w:p>
    <w:p w14:paraId="266A14E4" w14:textId="77777777" w:rsidR="008B26EC" w:rsidRDefault="008B26EC" w:rsidP="008B26EC">
      <w:pPr>
        <w:spacing w:after="0" w:line="240" w:lineRule="auto"/>
        <w:rPr>
          <w:rFonts w:ascii="Times New Roman" w:hAnsi="Times New Roman" w:cs="Times New Roman"/>
          <w:b/>
          <w:sz w:val="24"/>
          <w:szCs w:val="24"/>
        </w:rPr>
      </w:pPr>
      <w:r w:rsidRPr="008B26EC">
        <w:rPr>
          <w:rFonts w:ascii="Times New Roman" w:hAnsi="Times New Roman" w:cs="Times New Roman"/>
          <w:b/>
          <w:sz w:val="24"/>
          <w:szCs w:val="24"/>
        </w:rPr>
        <w:t>3: Discussion</w:t>
      </w:r>
    </w:p>
    <w:p w14:paraId="6232F45A" w14:textId="77777777" w:rsidR="003A564C" w:rsidRPr="008B26EC" w:rsidRDefault="003A564C" w:rsidP="008B26EC">
      <w:pPr>
        <w:spacing w:after="0" w:line="240" w:lineRule="auto"/>
        <w:rPr>
          <w:rFonts w:ascii="Times New Roman" w:hAnsi="Times New Roman" w:cs="Times New Roman"/>
          <w:b/>
          <w:sz w:val="24"/>
          <w:szCs w:val="24"/>
        </w:rPr>
      </w:pPr>
    </w:p>
    <w:p w14:paraId="4EB030D7" w14:textId="77777777" w:rsidR="008B26EC" w:rsidRDefault="008B26EC" w:rsidP="008B26EC">
      <w:pPr>
        <w:spacing w:after="0" w:line="240" w:lineRule="auto"/>
        <w:rPr>
          <w:rFonts w:ascii="Times New Roman" w:hAnsi="Times New Roman" w:cs="Times New Roman"/>
          <w:b/>
          <w:i/>
          <w:sz w:val="24"/>
          <w:szCs w:val="24"/>
        </w:rPr>
      </w:pPr>
      <w:r w:rsidRPr="008B26EC">
        <w:rPr>
          <w:rFonts w:ascii="Times New Roman" w:hAnsi="Times New Roman" w:cs="Times New Roman"/>
          <w:b/>
          <w:i/>
          <w:sz w:val="24"/>
          <w:szCs w:val="24"/>
        </w:rPr>
        <w:t>What is the appropriate patient population?</w:t>
      </w:r>
    </w:p>
    <w:p w14:paraId="389EB489" w14:textId="77777777" w:rsidR="003A564C" w:rsidRPr="008B26EC" w:rsidRDefault="003A564C" w:rsidP="008B26EC">
      <w:pPr>
        <w:spacing w:after="0" w:line="240" w:lineRule="auto"/>
        <w:rPr>
          <w:rFonts w:ascii="Times New Roman" w:hAnsi="Times New Roman" w:cs="Times New Roman"/>
          <w:b/>
          <w:i/>
          <w:sz w:val="24"/>
          <w:szCs w:val="24"/>
        </w:rPr>
      </w:pPr>
    </w:p>
    <w:p w14:paraId="584E82EB" w14:textId="002F5DD0" w:rsidR="005A2AF3" w:rsidRPr="008B26EC" w:rsidRDefault="008B26EC" w:rsidP="005A2AF3">
      <w:pPr>
        <w:spacing w:after="0" w:line="240" w:lineRule="auto"/>
        <w:rPr>
          <w:rFonts w:ascii="Times New Roman" w:hAnsi="Times New Roman" w:cs="Times New Roman"/>
          <w:sz w:val="24"/>
          <w:szCs w:val="24"/>
        </w:rPr>
      </w:pPr>
      <w:r w:rsidRPr="008B26EC">
        <w:rPr>
          <w:rFonts w:ascii="Times New Roman" w:hAnsi="Times New Roman" w:cs="Times New Roman"/>
          <w:sz w:val="24"/>
          <w:szCs w:val="24"/>
        </w:rPr>
        <w:t>The eligible population proposed in the application was patients with non-valvular atrial fibrillation (NVAF) who are contraindicated for OAT and who have one or more risk factors for developing a stroke. Once the device is implanted, these patients generally also receive clopidogrel 75mg daily and aspirin 300-325mg daily for 6 months post-implant and then remain on aspirin indefinitely.</w:t>
      </w:r>
    </w:p>
    <w:p w14:paraId="7B6087E8" w14:textId="22DC5B4D" w:rsidR="00157923" w:rsidRPr="008B26EC" w:rsidRDefault="00157923" w:rsidP="00157923">
      <w:pPr>
        <w:spacing w:after="0" w:line="240" w:lineRule="auto"/>
        <w:rPr>
          <w:rFonts w:ascii="Times New Roman" w:hAnsi="Times New Roman" w:cs="Times New Roman"/>
          <w:sz w:val="24"/>
          <w:szCs w:val="24"/>
        </w:rPr>
      </w:pPr>
    </w:p>
    <w:p w14:paraId="570150E7" w14:textId="77777777" w:rsidR="008B26EC" w:rsidRDefault="008B26EC" w:rsidP="008B26EC">
      <w:pPr>
        <w:spacing w:after="0" w:line="240" w:lineRule="auto"/>
        <w:rPr>
          <w:rFonts w:ascii="Times New Roman" w:hAnsi="Times New Roman" w:cs="Times New Roman"/>
          <w:sz w:val="24"/>
          <w:szCs w:val="24"/>
        </w:rPr>
      </w:pPr>
      <w:r w:rsidRPr="008B26EC">
        <w:rPr>
          <w:rFonts w:ascii="Times New Roman" w:hAnsi="Times New Roman" w:cs="Times New Roman"/>
          <w:sz w:val="24"/>
          <w:szCs w:val="24"/>
        </w:rPr>
        <w:t xml:space="preserve">In discussion, the meeting acknowledged that contraindications to life-long OAT could include both absolute contraindications and relative contraindications. It was considered that relative contraindications were more difficult to establish particularly whether there was true intolerance to therapy or just reflected patient preference. Absolute contraindications were considered to include experiencing a previous major bleeding complication on OAT, a blood </w:t>
      </w:r>
      <w:proofErr w:type="spellStart"/>
      <w:r w:rsidRPr="008B26EC">
        <w:rPr>
          <w:rFonts w:ascii="Times New Roman" w:hAnsi="Times New Roman" w:cs="Times New Roman"/>
          <w:sz w:val="24"/>
          <w:szCs w:val="24"/>
        </w:rPr>
        <w:t>dyscrasia</w:t>
      </w:r>
      <w:proofErr w:type="spellEnd"/>
      <w:r w:rsidRPr="008B26EC">
        <w:rPr>
          <w:rFonts w:ascii="Times New Roman" w:hAnsi="Times New Roman" w:cs="Times New Roman"/>
          <w:sz w:val="24"/>
          <w:szCs w:val="24"/>
        </w:rPr>
        <w:t xml:space="preserve"> or vascular abnormality and that these would be the patients with an existing unmet clinical need who would be most likely to benefit from treatment with the left atrial appendage closure device.</w:t>
      </w:r>
    </w:p>
    <w:p w14:paraId="34201E80" w14:textId="77777777" w:rsidR="00E1532A" w:rsidRPr="008B26EC" w:rsidRDefault="00E1532A" w:rsidP="008B26EC">
      <w:pPr>
        <w:spacing w:after="0" w:line="240" w:lineRule="auto"/>
        <w:rPr>
          <w:rFonts w:ascii="Times New Roman" w:hAnsi="Times New Roman" w:cs="Times New Roman"/>
          <w:sz w:val="24"/>
          <w:szCs w:val="24"/>
        </w:rPr>
      </w:pPr>
    </w:p>
    <w:p w14:paraId="68899E75" w14:textId="2EEDF1E1" w:rsidR="008B26EC" w:rsidRDefault="008B26EC" w:rsidP="008B26EC">
      <w:pPr>
        <w:spacing w:after="0" w:line="240" w:lineRule="auto"/>
        <w:rPr>
          <w:rFonts w:ascii="Times New Roman" w:hAnsi="Times New Roman" w:cs="Times New Roman"/>
          <w:sz w:val="24"/>
          <w:szCs w:val="24"/>
        </w:rPr>
      </w:pPr>
      <w:r w:rsidRPr="008B26EC">
        <w:rPr>
          <w:rFonts w:ascii="Times New Roman" w:hAnsi="Times New Roman" w:cs="Times New Roman"/>
          <w:sz w:val="24"/>
          <w:szCs w:val="24"/>
        </w:rPr>
        <w:t xml:space="preserve">There was concern that a patient at high risk of bleeding on warfarin or the new oral anticoagulants (NOACs) such as </w:t>
      </w:r>
      <w:proofErr w:type="spellStart"/>
      <w:r w:rsidRPr="008B26EC">
        <w:rPr>
          <w:rFonts w:ascii="Times New Roman" w:hAnsi="Times New Roman" w:cs="Times New Roman"/>
          <w:sz w:val="24"/>
          <w:szCs w:val="24"/>
        </w:rPr>
        <w:t>apixiban</w:t>
      </w:r>
      <w:proofErr w:type="spellEnd"/>
      <w:r w:rsidRPr="008B26EC">
        <w:rPr>
          <w:rFonts w:ascii="Times New Roman" w:hAnsi="Times New Roman" w:cs="Times New Roman"/>
          <w:sz w:val="24"/>
          <w:szCs w:val="24"/>
        </w:rPr>
        <w:t xml:space="preserve">, </w:t>
      </w:r>
      <w:proofErr w:type="spellStart"/>
      <w:r w:rsidRPr="008B26EC">
        <w:rPr>
          <w:rFonts w:ascii="Times New Roman" w:hAnsi="Times New Roman" w:cs="Times New Roman"/>
          <w:sz w:val="24"/>
          <w:szCs w:val="24"/>
        </w:rPr>
        <w:t>dabigatran</w:t>
      </w:r>
      <w:proofErr w:type="spellEnd"/>
      <w:r w:rsidRPr="008B26EC">
        <w:rPr>
          <w:rFonts w:ascii="Times New Roman" w:hAnsi="Times New Roman" w:cs="Times New Roman"/>
          <w:sz w:val="24"/>
          <w:szCs w:val="24"/>
        </w:rPr>
        <w:t xml:space="preserve">, </w:t>
      </w:r>
      <w:proofErr w:type="spellStart"/>
      <w:r w:rsidRPr="008B26EC">
        <w:rPr>
          <w:rFonts w:ascii="Times New Roman" w:hAnsi="Times New Roman" w:cs="Times New Roman"/>
          <w:sz w:val="24"/>
          <w:szCs w:val="24"/>
        </w:rPr>
        <w:t>rivaroxaban</w:t>
      </w:r>
      <w:proofErr w:type="spellEnd"/>
      <w:r w:rsidRPr="008B26EC">
        <w:rPr>
          <w:rFonts w:ascii="Times New Roman" w:hAnsi="Times New Roman" w:cs="Times New Roman"/>
          <w:sz w:val="24"/>
          <w:szCs w:val="24"/>
        </w:rPr>
        <w:t xml:space="preserve"> would also be at a similar elevated bleeding risk with OAP which is the proposed post-implant treatment. There was discussion on what would be the likely clinical management for this patient population following device implantation. There was particular discussion on what the pathways of care and clinical experiences were in regard to use of the NOACs in relation to the device. Several case studies of patients who have received the device or who are candidates to receive the device were presented.</w:t>
      </w:r>
      <w:r w:rsidR="009546BE">
        <w:rPr>
          <w:rFonts w:ascii="Times New Roman" w:hAnsi="Times New Roman" w:cs="Times New Roman"/>
          <w:sz w:val="24"/>
          <w:szCs w:val="24"/>
        </w:rPr>
        <w:t xml:space="preserve"> T</w:t>
      </w:r>
      <w:r w:rsidR="009546BE" w:rsidRPr="00157923">
        <w:rPr>
          <w:rFonts w:ascii="Times New Roman" w:hAnsi="Times New Roman" w:cs="Times New Roman"/>
          <w:sz w:val="24"/>
          <w:szCs w:val="24"/>
        </w:rPr>
        <w:t xml:space="preserve">he </w:t>
      </w:r>
      <w:r w:rsidR="009546BE">
        <w:rPr>
          <w:rFonts w:ascii="Times New Roman" w:hAnsi="Times New Roman" w:cs="Times New Roman"/>
          <w:sz w:val="24"/>
          <w:szCs w:val="24"/>
        </w:rPr>
        <w:t>meeting noted that it was important to restrict</w:t>
      </w:r>
      <w:r w:rsidR="009546BE" w:rsidRPr="00157923">
        <w:rPr>
          <w:rFonts w:ascii="Times New Roman" w:hAnsi="Times New Roman" w:cs="Times New Roman"/>
          <w:sz w:val="24"/>
          <w:szCs w:val="24"/>
        </w:rPr>
        <w:t xml:space="preserve"> the procedures</w:t>
      </w:r>
      <w:r w:rsidR="009546BE">
        <w:rPr>
          <w:rFonts w:ascii="Times New Roman" w:hAnsi="Times New Roman" w:cs="Times New Roman"/>
          <w:sz w:val="24"/>
          <w:szCs w:val="24"/>
        </w:rPr>
        <w:t xml:space="preserve"> to centres with on-</w:t>
      </w:r>
      <w:r w:rsidR="009546BE" w:rsidRPr="00157923">
        <w:rPr>
          <w:rFonts w:ascii="Times New Roman" w:hAnsi="Times New Roman" w:cs="Times New Roman"/>
          <w:sz w:val="24"/>
          <w:szCs w:val="24"/>
        </w:rPr>
        <w:t>site cardiac surgery</w:t>
      </w:r>
      <w:r w:rsidR="009546BE">
        <w:rPr>
          <w:rFonts w:ascii="Times New Roman" w:hAnsi="Times New Roman" w:cs="Times New Roman"/>
          <w:sz w:val="24"/>
          <w:szCs w:val="24"/>
        </w:rPr>
        <w:t xml:space="preserve"> to avoid an unsuccessful </w:t>
      </w:r>
      <w:r w:rsidR="009546BE" w:rsidRPr="00157923">
        <w:rPr>
          <w:rFonts w:ascii="Times New Roman" w:hAnsi="Times New Roman" w:cs="Times New Roman"/>
          <w:sz w:val="24"/>
          <w:szCs w:val="24"/>
        </w:rPr>
        <w:t>outcome from a</w:t>
      </w:r>
      <w:r w:rsidR="009546BE">
        <w:rPr>
          <w:rFonts w:ascii="Times New Roman" w:hAnsi="Times New Roman" w:cs="Times New Roman"/>
          <w:sz w:val="24"/>
          <w:szCs w:val="24"/>
        </w:rPr>
        <w:t>n</w:t>
      </w:r>
      <w:r w:rsidR="009546BE" w:rsidRPr="00157923">
        <w:rPr>
          <w:rFonts w:ascii="Times New Roman" w:hAnsi="Times New Roman" w:cs="Times New Roman"/>
          <w:sz w:val="24"/>
          <w:szCs w:val="24"/>
        </w:rPr>
        <w:t xml:space="preserve"> elective procedure</w:t>
      </w:r>
      <w:r w:rsidR="009546BE">
        <w:rPr>
          <w:rFonts w:ascii="Times New Roman" w:hAnsi="Times New Roman" w:cs="Times New Roman"/>
          <w:sz w:val="24"/>
          <w:szCs w:val="24"/>
        </w:rPr>
        <w:t>.</w:t>
      </w:r>
    </w:p>
    <w:p w14:paraId="6E0E328A" w14:textId="77777777" w:rsidR="00157923" w:rsidRPr="008B26EC" w:rsidRDefault="00157923" w:rsidP="008B26EC">
      <w:pPr>
        <w:spacing w:after="0" w:line="240" w:lineRule="auto"/>
        <w:rPr>
          <w:rFonts w:ascii="Times New Roman" w:hAnsi="Times New Roman" w:cs="Times New Roman"/>
          <w:sz w:val="24"/>
          <w:szCs w:val="24"/>
        </w:rPr>
      </w:pPr>
    </w:p>
    <w:p w14:paraId="0290E7F7" w14:textId="21E4626D" w:rsidR="008B26EC" w:rsidRDefault="008B26EC" w:rsidP="008B26EC">
      <w:pPr>
        <w:spacing w:after="0" w:line="240" w:lineRule="auto"/>
        <w:rPr>
          <w:rFonts w:ascii="Times New Roman" w:hAnsi="Times New Roman" w:cs="Times New Roman"/>
          <w:sz w:val="24"/>
          <w:szCs w:val="24"/>
        </w:rPr>
      </w:pPr>
      <w:r w:rsidRPr="008B26EC">
        <w:rPr>
          <w:rFonts w:ascii="Times New Roman" w:hAnsi="Times New Roman" w:cs="Times New Roman"/>
          <w:sz w:val="24"/>
          <w:szCs w:val="24"/>
        </w:rPr>
        <w:t>It was noted that the European Society of Cardiology guidelines recommend use of the CHADS</w:t>
      </w:r>
      <w:r w:rsidRPr="008B26EC">
        <w:rPr>
          <w:rFonts w:ascii="Times New Roman" w:hAnsi="Times New Roman" w:cs="Times New Roman"/>
          <w:sz w:val="24"/>
          <w:szCs w:val="24"/>
          <w:vertAlign w:val="subscript"/>
        </w:rPr>
        <w:t>2</w:t>
      </w:r>
      <w:r w:rsidRPr="008B26EC">
        <w:rPr>
          <w:rFonts w:ascii="Times New Roman" w:hAnsi="Times New Roman" w:cs="Times New Roman"/>
          <w:sz w:val="24"/>
          <w:szCs w:val="24"/>
        </w:rPr>
        <w:t xml:space="preserve"> or CHA</w:t>
      </w:r>
      <w:r w:rsidRPr="008B26EC">
        <w:rPr>
          <w:rFonts w:ascii="Times New Roman" w:hAnsi="Times New Roman" w:cs="Times New Roman"/>
          <w:sz w:val="24"/>
          <w:szCs w:val="24"/>
          <w:vertAlign w:val="subscript"/>
        </w:rPr>
        <w:t>2</w:t>
      </w:r>
      <w:r w:rsidRPr="008B26EC">
        <w:rPr>
          <w:rFonts w:ascii="Times New Roman" w:hAnsi="Times New Roman" w:cs="Times New Roman"/>
          <w:sz w:val="24"/>
          <w:szCs w:val="24"/>
        </w:rPr>
        <w:t>DS</w:t>
      </w:r>
      <w:r w:rsidRPr="008B26EC">
        <w:rPr>
          <w:rFonts w:ascii="Times New Roman" w:hAnsi="Times New Roman" w:cs="Times New Roman"/>
          <w:sz w:val="24"/>
          <w:szCs w:val="24"/>
          <w:vertAlign w:val="subscript"/>
        </w:rPr>
        <w:t>2</w:t>
      </w:r>
      <w:r w:rsidRPr="008B26EC">
        <w:rPr>
          <w:rFonts w:ascii="Times New Roman" w:hAnsi="Times New Roman" w:cs="Times New Roman"/>
          <w:sz w:val="24"/>
          <w:szCs w:val="24"/>
        </w:rPr>
        <w:t>-VASc scores</w:t>
      </w:r>
      <w:r w:rsidRPr="00533EA9">
        <w:rPr>
          <w:rStyle w:val="FootnoteReference"/>
          <w:rFonts w:ascii="Times New Roman" w:hAnsi="Times New Roman" w:cs="Times New Roman"/>
          <w:sz w:val="24"/>
          <w:szCs w:val="24"/>
          <w:vertAlign w:val="superscript"/>
        </w:rPr>
        <w:footnoteReference w:id="1"/>
      </w:r>
      <w:r w:rsidRPr="00533EA9">
        <w:rPr>
          <w:rFonts w:ascii="Times New Roman" w:hAnsi="Times New Roman" w:cs="Times New Roman"/>
          <w:sz w:val="24"/>
          <w:szCs w:val="24"/>
          <w:vertAlign w:val="superscript"/>
        </w:rPr>
        <w:t xml:space="preserve"> </w:t>
      </w:r>
      <w:r w:rsidRPr="008B26EC">
        <w:rPr>
          <w:rFonts w:ascii="Times New Roman" w:hAnsi="Times New Roman" w:cs="Times New Roman"/>
          <w:sz w:val="24"/>
          <w:szCs w:val="24"/>
        </w:rPr>
        <w:t>to determine the risk for stroke and systemic embolism and the HAS-BLED</w:t>
      </w:r>
      <w:r w:rsidRPr="00533EA9">
        <w:rPr>
          <w:rStyle w:val="FootnoteReference"/>
          <w:rFonts w:ascii="Times New Roman" w:hAnsi="Times New Roman" w:cs="Times New Roman"/>
          <w:sz w:val="24"/>
          <w:szCs w:val="24"/>
          <w:vertAlign w:val="superscript"/>
        </w:rPr>
        <w:footnoteReference w:id="2"/>
      </w:r>
      <w:r w:rsidRPr="008B26EC">
        <w:rPr>
          <w:rFonts w:ascii="Times New Roman" w:hAnsi="Times New Roman" w:cs="Times New Roman"/>
          <w:sz w:val="24"/>
          <w:szCs w:val="24"/>
        </w:rPr>
        <w:t xml:space="preserve"> score to determine bleeding risk. However, the meeting </w:t>
      </w:r>
      <w:r w:rsidR="00B26B98">
        <w:rPr>
          <w:rFonts w:ascii="Times New Roman" w:hAnsi="Times New Roman" w:cs="Times New Roman"/>
          <w:sz w:val="24"/>
          <w:szCs w:val="24"/>
        </w:rPr>
        <w:t xml:space="preserve">noted </w:t>
      </w:r>
      <w:r w:rsidRPr="008B26EC">
        <w:rPr>
          <w:rFonts w:ascii="Times New Roman" w:hAnsi="Times New Roman" w:cs="Times New Roman"/>
          <w:sz w:val="24"/>
          <w:szCs w:val="24"/>
        </w:rPr>
        <w:t xml:space="preserve">the HAS-BLED score was </w:t>
      </w:r>
      <w:r w:rsidR="00B26B98">
        <w:rPr>
          <w:rFonts w:ascii="Times New Roman" w:hAnsi="Times New Roman" w:cs="Times New Roman"/>
          <w:sz w:val="24"/>
          <w:szCs w:val="24"/>
        </w:rPr>
        <w:t xml:space="preserve">not </w:t>
      </w:r>
      <w:r w:rsidRPr="008B26EC">
        <w:rPr>
          <w:rFonts w:ascii="Times New Roman" w:hAnsi="Times New Roman" w:cs="Times New Roman"/>
          <w:sz w:val="24"/>
          <w:szCs w:val="24"/>
        </w:rPr>
        <w:t>widely used in Australian clinical practice</w:t>
      </w:r>
      <w:r w:rsidR="00B26B98">
        <w:rPr>
          <w:rFonts w:ascii="Times New Roman" w:hAnsi="Times New Roman" w:cs="Times New Roman"/>
          <w:sz w:val="24"/>
          <w:szCs w:val="24"/>
        </w:rPr>
        <w:t xml:space="preserve">. After reviewing the scoring </w:t>
      </w:r>
      <w:r w:rsidR="00884A15">
        <w:rPr>
          <w:rFonts w:ascii="Times New Roman" w:hAnsi="Times New Roman" w:cs="Times New Roman"/>
          <w:sz w:val="24"/>
          <w:szCs w:val="24"/>
        </w:rPr>
        <w:t xml:space="preserve">system, </w:t>
      </w:r>
      <w:r w:rsidR="00B26B98">
        <w:rPr>
          <w:rFonts w:ascii="Times New Roman" w:hAnsi="Times New Roman" w:cs="Times New Roman"/>
          <w:sz w:val="24"/>
          <w:szCs w:val="24"/>
        </w:rPr>
        <w:t xml:space="preserve">the meeting </w:t>
      </w:r>
      <w:r w:rsidR="00884A15">
        <w:rPr>
          <w:rFonts w:ascii="Times New Roman" w:hAnsi="Times New Roman" w:cs="Times New Roman"/>
          <w:sz w:val="24"/>
          <w:szCs w:val="24"/>
        </w:rPr>
        <w:t xml:space="preserve">also concluded that </w:t>
      </w:r>
      <w:r w:rsidR="00B26B98">
        <w:rPr>
          <w:rFonts w:ascii="Times New Roman" w:hAnsi="Times New Roman" w:cs="Times New Roman"/>
          <w:sz w:val="24"/>
          <w:szCs w:val="24"/>
        </w:rPr>
        <w:t>the score would</w:t>
      </w:r>
      <w:r w:rsidR="00884A15">
        <w:rPr>
          <w:rFonts w:ascii="Times New Roman" w:hAnsi="Times New Roman" w:cs="Times New Roman"/>
          <w:sz w:val="24"/>
          <w:szCs w:val="24"/>
        </w:rPr>
        <w:t xml:space="preserve"> </w:t>
      </w:r>
      <w:r w:rsidR="00B26B98">
        <w:rPr>
          <w:rFonts w:ascii="Times New Roman" w:hAnsi="Times New Roman" w:cs="Times New Roman"/>
          <w:sz w:val="24"/>
          <w:szCs w:val="24"/>
        </w:rPr>
        <w:t xml:space="preserve">identify </w:t>
      </w:r>
      <w:r w:rsidR="009D71A0">
        <w:rPr>
          <w:rFonts w:ascii="Times New Roman" w:hAnsi="Times New Roman" w:cs="Times New Roman"/>
          <w:sz w:val="24"/>
          <w:szCs w:val="24"/>
        </w:rPr>
        <w:t xml:space="preserve">a broader population than </w:t>
      </w:r>
      <w:r w:rsidR="00B26B98">
        <w:rPr>
          <w:rFonts w:ascii="Times New Roman" w:hAnsi="Times New Roman" w:cs="Times New Roman"/>
          <w:sz w:val="24"/>
          <w:szCs w:val="24"/>
        </w:rPr>
        <w:t>the propos</w:t>
      </w:r>
      <w:r w:rsidR="00884A15">
        <w:rPr>
          <w:rFonts w:ascii="Times New Roman" w:hAnsi="Times New Roman" w:cs="Times New Roman"/>
          <w:sz w:val="24"/>
          <w:szCs w:val="24"/>
        </w:rPr>
        <w:t>ed eligible patient population.</w:t>
      </w:r>
    </w:p>
    <w:p w14:paraId="623D55E7" w14:textId="77777777" w:rsidR="003A564C" w:rsidRPr="008B26EC" w:rsidRDefault="003A564C" w:rsidP="008B26EC">
      <w:pPr>
        <w:spacing w:after="0" w:line="240" w:lineRule="auto"/>
        <w:rPr>
          <w:rFonts w:ascii="Times New Roman" w:hAnsi="Times New Roman" w:cs="Times New Roman"/>
          <w:sz w:val="24"/>
          <w:szCs w:val="24"/>
        </w:rPr>
      </w:pPr>
    </w:p>
    <w:p w14:paraId="0C1FB312" w14:textId="2962F523" w:rsidR="008B26EC" w:rsidRPr="008B26EC" w:rsidRDefault="008B26EC" w:rsidP="008B26EC">
      <w:pPr>
        <w:spacing w:after="0" w:line="240" w:lineRule="auto"/>
        <w:rPr>
          <w:rFonts w:ascii="Times New Roman" w:hAnsi="Times New Roman" w:cs="Times New Roman"/>
          <w:sz w:val="24"/>
          <w:szCs w:val="24"/>
        </w:rPr>
      </w:pPr>
      <w:r w:rsidRPr="008B26EC">
        <w:rPr>
          <w:rFonts w:ascii="Times New Roman" w:hAnsi="Times New Roman" w:cs="Times New Roman"/>
          <w:sz w:val="24"/>
          <w:szCs w:val="24"/>
        </w:rPr>
        <w:t xml:space="preserve">Overall, consensus at the meeting was that relevant eligible populations for consideration of public funding of left atrial appendage closure should </w:t>
      </w:r>
      <w:r w:rsidR="00307E19">
        <w:rPr>
          <w:rFonts w:ascii="Times New Roman" w:hAnsi="Times New Roman" w:cs="Times New Roman"/>
          <w:sz w:val="24"/>
          <w:szCs w:val="24"/>
        </w:rPr>
        <w:t>comprise</w:t>
      </w:r>
      <w:r w:rsidRPr="008B26EC">
        <w:rPr>
          <w:rFonts w:ascii="Times New Roman" w:hAnsi="Times New Roman" w:cs="Times New Roman"/>
          <w:sz w:val="24"/>
          <w:szCs w:val="24"/>
        </w:rPr>
        <w:t xml:space="preserve"> either:</w:t>
      </w:r>
    </w:p>
    <w:p w14:paraId="37255FD5" w14:textId="540ABB76" w:rsidR="008B26EC" w:rsidRPr="008B26EC" w:rsidRDefault="00307E19" w:rsidP="008B26EC">
      <w:pPr>
        <w:numPr>
          <w:ilvl w:val="0"/>
          <w:numId w:val="41"/>
        </w:numPr>
        <w:spacing w:after="0" w:line="240" w:lineRule="auto"/>
        <w:rPr>
          <w:rFonts w:ascii="Times New Roman" w:hAnsi="Times New Roman" w:cs="Times New Roman"/>
          <w:sz w:val="24"/>
          <w:szCs w:val="24"/>
        </w:rPr>
      </w:pPr>
      <w:r>
        <w:rPr>
          <w:rFonts w:ascii="Times New Roman" w:hAnsi="Times New Roman" w:cs="Times New Roman"/>
          <w:sz w:val="24"/>
          <w:szCs w:val="24"/>
        </w:rPr>
        <w:t>a</w:t>
      </w:r>
      <w:r w:rsidR="00AB46AD">
        <w:rPr>
          <w:rFonts w:ascii="Times New Roman" w:hAnsi="Times New Roman" w:cs="Times New Roman"/>
          <w:sz w:val="24"/>
          <w:szCs w:val="24"/>
        </w:rPr>
        <w:t>ny</w:t>
      </w:r>
      <w:r>
        <w:rPr>
          <w:rFonts w:ascii="Times New Roman" w:hAnsi="Times New Roman" w:cs="Times New Roman"/>
          <w:sz w:val="24"/>
          <w:szCs w:val="24"/>
        </w:rPr>
        <w:t xml:space="preserve"> patient</w:t>
      </w:r>
      <w:r w:rsidR="008B26EC" w:rsidRPr="008B26EC">
        <w:rPr>
          <w:rFonts w:ascii="Times New Roman" w:hAnsi="Times New Roman" w:cs="Times New Roman"/>
          <w:sz w:val="24"/>
          <w:szCs w:val="24"/>
        </w:rPr>
        <w:t xml:space="preserve"> who ha</w:t>
      </w:r>
      <w:r>
        <w:rPr>
          <w:rFonts w:ascii="Times New Roman" w:hAnsi="Times New Roman" w:cs="Times New Roman"/>
          <w:sz w:val="24"/>
          <w:szCs w:val="24"/>
        </w:rPr>
        <w:t>s a contraindication</w:t>
      </w:r>
      <w:r w:rsidR="008B26EC" w:rsidRPr="008B26EC">
        <w:rPr>
          <w:rFonts w:ascii="Times New Roman" w:hAnsi="Times New Roman" w:cs="Times New Roman"/>
          <w:sz w:val="24"/>
          <w:szCs w:val="24"/>
        </w:rPr>
        <w:t xml:space="preserve"> to life-long oral anticoagulation (NOAC or warfarin) or dual antiplatelet therapy because</w:t>
      </w:r>
      <w:r w:rsidR="00884A15">
        <w:rPr>
          <w:rFonts w:ascii="Times New Roman" w:hAnsi="Times New Roman" w:cs="Times New Roman"/>
          <w:sz w:val="24"/>
          <w:szCs w:val="24"/>
        </w:rPr>
        <w:t xml:space="preserve"> of</w:t>
      </w:r>
      <w:r w:rsidR="00B26B98">
        <w:rPr>
          <w:rFonts w:ascii="Times New Roman" w:hAnsi="Times New Roman" w:cs="Times New Roman"/>
          <w:sz w:val="24"/>
          <w:szCs w:val="24"/>
        </w:rPr>
        <w:t>:</w:t>
      </w:r>
      <w:r w:rsidR="008B26EC" w:rsidRPr="008B26EC">
        <w:rPr>
          <w:rFonts w:ascii="Times New Roman" w:hAnsi="Times New Roman" w:cs="Times New Roman"/>
          <w:sz w:val="24"/>
          <w:szCs w:val="24"/>
        </w:rPr>
        <w:t xml:space="preserve"> </w:t>
      </w:r>
      <w:r w:rsidR="00B26B98">
        <w:rPr>
          <w:rFonts w:ascii="Times New Roman" w:hAnsi="Times New Roman" w:cs="Times New Roman"/>
          <w:sz w:val="24"/>
          <w:szCs w:val="24"/>
        </w:rPr>
        <w:br/>
        <w:t>(</w:t>
      </w:r>
      <w:proofErr w:type="spellStart"/>
      <w:r w:rsidR="00B26B98">
        <w:rPr>
          <w:rFonts w:ascii="Times New Roman" w:hAnsi="Times New Roman" w:cs="Times New Roman"/>
          <w:sz w:val="24"/>
          <w:szCs w:val="24"/>
        </w:rPr>
        <w:t>i</w:t>
      </w:r>
      <w:proofErr w:type="spellEnd"/>
      <w:r w:rsidR="00B26B98">
        <w:rPr>
          <w:rFonts w:ascii="Times New Roman" w:hAnsi="Times New Roman" w:cs="Times New Roman"/>
          <w:sz w:val="24"/>
          <w:szCs w:val="24"/>
        </w:rPr>
        <w:t xml:space="preserve">) </w:t>
      </w:r>
      <w:r w:rsidR="008B26EC" w:rsidRPr="008B26EC">
        <w:rPr>
          <w:rFonts w:ascii="Times New Roman" w:hAnsi="Times New Roman" w:cs="Times New Roman"/>
          <w:sz w:val="24"/>
          <w:szCs w:val="24"/>
        </w:rPr>
        <w:t>a previous major bleeding complication</w:t>
      </w:r>
      <w:r w:rsidR="007C3D50">
        <w:rPr>
          <w:rFonts w:ascii="Times New Roman" w:hAnsi="Times New Roman" w:cs="Times New Roman"/>
          <w:sz w:val="24"/>
          <w:szCs w:val="24"/>
        </w:rPr>
        <w:t xml:space="preserve"> </w:t>
      </w:r>
      <w:r>
        <w:rPr>
          <w:rFonts w:ascii="Times New Roman" w:hAnsi="Times New Roman" w:cs="Times New Roman"/>
          <w:sz w:val="24"/>
          <w:szCs w:val="24"/>
        </w:rPr>
        <w:t xml:space="preserve">experienced </w:t>
      </w:r>
      <w:r w:rsidR="007C3D50">
        <w:rPr>
          <w:rFonts w:ascii="Times New Roman" w:hAnsi="Times New Roman" w:cs="Times New Roman"/>
          <w:sz w:val="24"/>
          <w:szCs w:val="24"/>
        </w:rPr>
        <w:t xml:space="preserve">whilst undergoing treatment </w:t>
      </w:r>
      <w:r w:rsidR="007C3D50">
        <w:rPr>
          <w:rFonts w:ascii="Times New Roman" w:hAnsi="Times New Roman" w:cs="Times New Roman"/>
          <w:sz w:val="24"/>
          <w:szCs w:val="24"/>
        </w:rPr>
        <w:lastRenderedPageBreak/>
        <w:t>with OAT</w:t>
      </w:r>
      <w:r>
        <w:rPr>
          <w:rFonts w:ascii="Times New Roman" w:hAnsi="Times New Roman" w:cs="Times New Roman"/>
          <w:sz w:val="24"/>
          <w:szCs w:val="24"/>
        </w:rPr>
        <w:t>,</w:t>
      </w:r>
      <w:r w:rsidR="007C3D50">
        <w:rPr>
          <w:rFonts w:ascii="Times New Roman" w:hAnsi="Times New Roman" w:cs="Times New Roman"/>
          <w:sz w:val="24"/>
          <w:szCs w:val="24"/>
        </w:rPr>
        <w:br/>
        <w:t xml:space="preserve">(ii) </w:t>
      </w:r>
      <w:r w:rsidR="008B26EC" w:rsidRPr="008B26EC">
        <w:rPr>
          <w:rFonts w:ascii="Times New Roman" w:hAnsi="Times New Roman" w:cs="Times New Roman"/>
          <w:sz w:val="24"/>
          <w:szCs w:val="24"/>
        </w:rPr>
        <w:t xml:space="preserve">a blood </w:t>
      </w:r>
      <w:proofErr w:type="spellStart"/>
      <w:r w:rsidR="008B26EC" w:rsidRPr="008B26EC">
        <w:rPr>
          <w:rFonts w:ascii="Times New Roman" w:hAnsi="Times New Roman" w:cs="Times New Roman"/>
          <w:sz w:val="24"/>
          <w:szCs w:val="24"/>
        </w:rPr>
        <w:t>dyscrasia</w:t>
      </w:r>
      <w:proofErr w:type="spellEnd"/>
      <w:r>
        <w:rPr>
          <w:rFonts w:ascii="Times New Roman" w:hAnsi="Times New Roman" w:cs="Times New Roman"/>
          <w:sz w:val="24"/>
          <w:szCs w:val="24"/>
        </w:rPr>
        <w:t>, or</w:t>
      </w:r>
      <w:r w:rsidR="007C3D50">
        <w:rPr>
          <w:rFonts w:ascii="Times New Roman" w:hAnsi="Times New Roman" w:cs="Times New Roman"/>
          <w:sz w:val="24"/>
          <w:szCs w:val="24"/>
        </w:rPr>
        <w:br/>
        <w:t xml:space="preserve">(iii) </w:t>
      </w:r>
      <w:r w:rsidR="008B26EC" w:rsidRPr="008B26EC">
        <w:rPr>
          <w:rFonts w:ascii="Times New Roman" w:hAnsi="Times New Roman" w:cs="Times New Roman"/>
          <w:sz w:val="24"/>
          <w:szCs w:val="24"/>
        </w:rPr>
        <w:t>a vascular abnormality;</w:t>
      </w:r>
      <w:r w:rsidR="007C3D50">
        <w:rPr>
          <w:rFonts w:ascii="Times New Roman" w:hAnsi="Times New Roman" w:cs="Times New Roman"/>
          <w:sz w:val="24"/>
          <w:szCs w:val="24"/>
        </w:rPr>
        <w:br/>
      </w:r>
      <w:r w:rsidRPr="008B26EC">
        <w:rPr>
          <w:rFonts w:ascii="Times New Roman" w:hAnsi="Times New Roman" w:cs="Times New Roman"/>
          <w:sz w:val="24"/>
          <w:szCs w:val="24"/>
        </w:rPr>
        <w:t>OR</w:t>
      </w:r>
    </w:p>
    <w:p w14:paraId="2FDA31E2" w14:textId="75F1829B" w:rsidR="008B26EC" w:rsidRPr="008B26EC" w:rsidRDefault="00307E19" w:rsidP="008B26EC">
      <w:pPr>
        <w:numPr>
          <w:ilvl w:val="0"/>
          <w:numId w:val="41"/>
        </w:num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a</w:t>
      </w:r>
      <w:r w:rsidR="00AB46AD">
        <w:rPr>
          <w:rFonts w:ascii="Times New Roman" w:hAnsi="Times New Roman" w:cs="Times New Roman"/>
          <w:sz w:val="24"/>
          <w:szCs w:val="24"/>
        </w:rPr>
        <w:t>ny</w:t>
      </w:r>
      <w:proofErr w:type="gramEnd"/>
      <w:r>
        <w:rPr>
          <w:rFonts w:ascii="Times New Roman" w:hAnsi="Times New Roman" w:cs="Times New Roman"/>
          <w:sz w:val="24"/>
          <w:szCs w:val="24"/>
        </w:rPr>
        <w:t xml:space="preserve"> patient who has</w:t>
      </w:r>
      <w:r w:rsidR="008B26EC" w:rsidRPr="008B26EC">
        <w:rPr>
          <w:rFonts w:ascii="Times New Roman" w:hAnsi="Times New Roman" w:cs="Times New Roman"/>
          <w:sz w:val="24"/>
          <w:szCs w:val="24"/>
        </w:rPr>
        <w:t xml:space="preserve"> a life-long indication for dual oral anti-platelet therapy.</w:t>
      </w:r>
    </w:p>
    <w:p w14:paraId="60B8688B" w14:textId="77777777" w:rsidR="008B26EC" w:rsidRPr="008B26EC" w:rsidRDefault="008B26EC" w:rsidP="008B26EC">
      <w:pPr>
        <w:spacing w:after="0" w:line="240" w:lineRule="auto"/>
        <w:rPr>
          <w:rFonts w:ascii="Times New Roman" w:hAnsi="Times New Roman" w:cs="Times New Roman"/>
          <w:sz w:val="24"/>
          <w:szCs w:val="24"/>
        </w:rPr>
      </w:pPr>
    </w:p>
    <w:p w14:paraId="1D8F743D" w14:textId="77777777" w:rsidR="008B26EC" w:rsidRDefault="008B26EC" w:rsidP="008B26EC">
      <w:pPr>
        <w:spacing w:after="0" w:line="240" w:lineRule="auto"/>
        <w:rPr>
          <w:rFonts w:ascii="Times New Roman" w:hAnsi="Times New Roman" w:cs="Times New Roman"/>
          <w:b/>
          <w:i/>
          <w:sz w:val="24"/>
          <w:szCs w:val="24"/>
        </w:rPr>
      </w:pPr>
      <w:r w:rsidRPr="008B26EC">
        <w:rPr>
          <w:rFonts w:ascii="Times New Roman" w:hAnsi="Times New Roman" w:cs="Times New Roman"/>
          <w:b/>
          <w:i/>
          <w:sz w:val="24"/>
          <w:szCs w:val="24"/>
        </w:rPr>
        <w:t>What is the appropriate comparator?</w:t>
      </w:r>
    </w:p>
    <w:p w14:paraId="661559A7" w14:textId="77777777" w:rsidR="003A564C" w:rsidRPr="008B26EC" w:rsidRDefault="003A564C" w:rsidP="008B26EC">
      <w:pPr>
        <w:spacing w:after="0" w:line="240" w:lineRule="auto"/>
        <w:rPr>
          <w:rFonts w:ascii="Times New Roman" w:hAnsi="Times New Roman" w:cs="Times New Roman"/>
          <w:b/>
          <w:i/>
          <w:sz w:val="24"/>
          <w:szCs w:val="24"/>
        </w:rPr>
      </w:pPr>
    </w:p>
    <w:p w14:paraId="236B168A" w14:textId="77777777" w:rsidR="008B26EC" w:rsidRDefault="008B26EC" w:rsidP="008B26EC">
      <w:pPr>
        <w:spacing w:after="0" w:line="240" w:lineRule="auto"/>
        <w:rPr>
          <w:rFonts w:ascii="Times New Roman" w:hAnsi="Times New Roman" w:cs="Times New Roman"/>
          <w:sz w:val="24"/>
          <w:szCs w:val="24"/>
        </w:rPr>
      </w:pPr>
      <w:r w:rsidRPr="008B26EC">
        <w:rPr>
          <w:rFonts w:ascii="Times New Roman" w:hAnsi="Times New Roman" w:cs="Times New Roman"/>
          <w:sz w:val="24"/>
          <w:szCs w:val="24"/>
        </w:rPr>
        <w:t>OAT, particularly warfarin and increasingly the NOACs, is considered the standard of care for stroke prevention.</w:t>
      </w:r>
    </w:p>
    <w:p w14:paraId="5C1D5A98" w14:textId="77777777" w:rsidR="003A564C" w:rsidRPr="008B26EC" w:rsidRDefault="003A564C" w:rsidP="008B26EC">
      <w:pPr>
        <w:spacing w:after="0" w:line="240" w:lineRule="auto"/>
        <w:rPr>
          <w:rFonts w:ascii="Times New Roman" w:hAnsi="Times New Roman" w:cs="Times New Roman"/>
          <w:sz w:val="24"/>
          <w:szCs w:val="24"/>
        </w:rPr>
      </w:pPr>
    </w:p>
    <w:p w14:paraId="5E4C5F75" w14:textId="77777777" w:rsidR="008B26EC" w:rsidRDefault="008B26EC" w:rsidP="008B26EC">
      <w:pPr>
        <w:spacing w:after="0" w:line="240" w:lineRule="auto"/>
        <w:rPr>
          <w:rFonts w:ascii="Times New Roman" w:hAnsi="Times New Roman" w:cs="Times New Roman"/>
          <w:sz w:val="24"/>
          <w:szCs w:val="24"/>
        </w:rPr>
      </w:pPr>
      <w:r w:rsidRPr="008B26EC">
        <w:rPr>
          <w:rFonts w:ascii="Times New Roman" w:hAnsi="Times New Roman" w:cs="Times New Roman"/>
          <w:sz w:val="24"/>
          <w:szCs w:val="24"/>
        </w:rPr>
        <w:t>The current European Society of Cardiology guidelines recommend that patients with AF who have a low risk of stroke should receive either no therapy or aspirin (75mg – 325mg daily). The use of anticoagulation or antiplatelet therapy is not recommended in this patient group. For patients with AF who have a moderate to high risk of stroke, OAT is recommended.</w:t>
      </w:r>
    </w:p>
    <w:p w14:paraId="2606E6E2" w14:textId="77777777" w:rsidR="008B6235" w:rsidRDefault="008B6235" w:rsidP="008B26EC">
      <w:pPr>
        <w:spacing w:after="0" w:line="240" w:lineRule="auto"/>
        <w:rPr>
          <w:rFonts w:ascii="Times New Roman" w:hAnsi="Times New Roman" w:cs="Times New Roman"/>
          <w:sz w:val="24"/>
          <w:szCs w:val="24"/>
        </w:rPr>
      </w:pPr>
    </w:p>
    <w:p w14:paraId="32F6F59A" w14:textId="72C4F9A3" w:rsidR="008B26EC" w:rsidRDefault="008B26EC" w:rsidP="008B26EC">
      <w:pPr>
        <w:spacing w:after="0" w:line="240" w:lineRule="auto"/>
        <w:rPr>
          <w:rFonts w:ascii="Times New Roman" w:hAnsi="Times New Roman" w:cs="Times New Roman"/>
          <w:sz w:val="24"/>
          <w:szCs w:val="24"/>
        </w:rPr>
      </w:pPr>
      <w:r w:rsidRPr="008B26EC">
        <w:rPr>
          <w:rFonts w:ascii="Times New Roman" w:hAnsi="Times New Roman" w:cs="Times New Roman"/>
          <w:sz w:val="24"/>
          <w:szCs w:val="24"/>
        </w:rPr>
        <w:t>For patients with AF who have a moderate to high risk of stroke and for whom OAT is contraindicated, current standard treatment usually consists of either OAP (either combination aspirin-clopidogrel or aspirin alone) or no OAP (if the clinical circumstances are such that they prohibit the use of any OAP, including aspirin). Noting that the evidence for stroke prevention with aspirin alone in the AF population is weak, combination OAP therapy is likely to be more effective than aspirin alone. However, it was acknowledged that some patients may be at intolerably high risk of bleeding with combination OAP therapy</w:t>
      </w:r>
      <w:r w:rsidR="009D71A0">
        <w:rPr>
          <w:rFonts w:ascii="Times New Roman" w:hAnsi="Times New Roman" w:cs="Times New Roman"/>
          <w:sz w:val="24"/>
          <w:szCs w:val="24"/>
        </w:rPr>
        <w:t xml:space="preserve"> (which would probably be the case in patients with a life-long contraindication to OAT because of increased bleeding risk),</w:t>
      </w:r>
      <w:r w:rsidRPr="008B26EC">
        <w:rPr>
          <w:rFonts w:ascii="Times New Roman" w:hAnsi="Times New Roman" w:cs="Times New Roman"/>
          <w:sz w:val="24"/>
          <w:szCs w:val="24"/>
        </w:rPr>
        <w:t xml:space="preserve"> therefore are likely to be given aspirin alone.</w:t>
      </w:r>
    </w:p>
    <w:p w14:paraId="696949D2" w14:textId="77777777" w:rsidR="003A564C" w:rsidRPr="008B26EC" w:rsidRDefault="003A564C" w:rsidP="008B26EC">
      <w:pPr>
        <w:spacing w:after="0" w:line="240" w:lineRule="auto"/>
        <w:rPr>
          <w:rFonts w:ascii="Times New Roman" w:hAnsi="Times New Roman" w:cs="Times New Roman"/>
          <w:sz w:val="24"/>
          <w:szCs w:val="24"/>
        </w:rPr>
      </w:pPr>
    </w:p>
    <w:p w14:paraId="4F3EF11C" w14:textId="2C2C3B0B" w:rsidR="00E1532A" w:rsidRPr="008B26EC" w:rsidRDefault="008B26EC" w:rsidP="008B26EC">
      <w:pPr>
        <w:spacing w:after="0" w:line="240" w:lineRule="auto"/>
        <w:rPr>
          <w:rFonts w:ascii="Times New Roman" w:hAnsi="Times New Roman" w:cs="Times New Roman"/>
          <w:sz w:val="24"/>
          <w:szCs w:val="24"/>
        </w:rPr>
      </w:pPr>
      <w:r w:rsidRPr="008B26EC">
        <w:rPr>
          <w:rFonts w:ascii="Times New Roman" w:hAnsi="Times New Roman" w:cs="Times New Roman"/>
          <w:sz w:val="24"/>
          <w:szCs w:val="24"/>
        </w:rPr>
        <w:t>Taking into account that the appropriate main comparator is generally the medical service that health care providers would most likely replace with the proposed medical service if MBS or other public funding is agreed, consensus at the meeting was that relevant comparators for the proposed eligible populations should be:</w:t>
      </w:r>
    </w:p>
    <w:p w14:paraId="6F58593D" w14:textId="6B4FC7E6" w:rsidR="008B26EC" w:rsidRPr="008B26EC" w:rsidRDefault="008B26EC" w:rsidP="008B26EC">
      <w:pPr>
        <w:numPr>
          <w:ilvl w:val="0"/>
          <w:numId w:val="41"/>
        </w:numPr>
        <w:spacing w:after="0" w:line="240" w:lineRule="auto"/>
        <w:rPr>
          <w:rFonts w:ascii="Times New Roman" w:hAnsi="Times New Roman" w:cs="Times New Roman"/>
          <w:sz w:val="24"/>
          <w:szCs w:val="24"/>
        </w:rPr>
      </w:pPr>
      <w:r w:rsidRPr="008B26EC">
        <w:rPr>
          <w:rFonts w:ascii="Times New Roman" w:hAnsi="Times New Roman" w:cs="Times New Roman"/>
          <w:sz w:val="24"/>
          <w:szCs w:val="24"/>
        </w:rPr>
        <w:t xml:space="preserve">best supportive care (BSC) with or without aspirin – for </w:t>
      </w:r>
      <w:r w:rsidR="00307E19">
        <w:rPr>
          <w:rFonts w:ascii="Times New Roman" w:hAnsi="Times New Roman" w:cs="Times New Roman"/>
          <w:sz w:val="24"/>
          <w:szCs w:val="24"/>
        </w:rPr>
        <w:t>a patient</w:t>
      </w:r>
      <w:r w:rsidRPr="008B26EC">
        <w:rPr>
          <w:rFonts w:ascii="Times New Roman" w:hAnsi="Times New Roman" w:cs="Times New Roman"/>
          <w:sz w:val="24"/>
          <w:szCs w:val="24"/>
        </w:rPr>
        <w:t xml:space="preserve"> who ha</w:t>
      </w:r>
      <w:r w:rsidR="00307E19">
        <w:rPr>
          <w:rFonts w:ascii="Times New Roman" w:hAnsi="Times New Roman" w:cs="Times New Roman"/>
          <w:sz w:val="24"/>
          <w:szCs w:val="24"/>
        </w:rPr>
        <w:t>s a</w:t>
      </w:r>
      <w:r w:rsidRPr="008B26EC">
        <w:rPr>
          <w:rFonts w:ascii="Times New Roman" w:hAnsi="Times New Roman" w:cs="Times New Roman"/>
          <w:sz w:val="24"/>
          <w:szCs w:val="24"/>
        </w:rPr>
        <w:t xml:space="preserve"> contraindication to life-long oral anticoagulation (NOAC or warfarin) or dual antiplatelet therapy because of</w:t>
      </w:r>
      <w:r w:rsidR="00307E19">
        <w:rPr>
          <w:rFonts w:ascii="Times New Roman" w:hAnsi="Times New Roman" w:cs="Times New Roman"/>
          <w:sz w:val="24"/>
          <w:szCs w:val="24"/>
        </w:rPr>
        <w:t>:</w:t>
      </w:r>
      <w:r w:rsidRPr="008B26EC">
        <w:rPr>
          <w:rFonts w:ascii="Times New Roman" w:hAnsi="Times New Roman" w:cs="Times New Roman"/>
          <w:sz w:val="24"/>
          <w:szCs w:val="24"/>
        </w:rPr>
        <w:t xml:space="preserve"> </w:t>
      </w:r>
      <w:r w:rsidR="007C3D50">
        <w:rPr>
          <w:rFonts w:ascii="Times New Roman" w:hAnsi="Times New Roman" w:cs="Times New Roman"/>
          <w:sz w:val="24"/>
          <w:szCs w:val="24"/>
        </w:rPr>
        <w:t>(</w:t>
      </w:r>
      <w:proofErr w:type="spellStart"/>
      <w:r w:rsidR="007C3D50">
        <w:rPr>
          <w:rFonts w:ascii="Times New Roman" w:hAnsi="Times New Roman" w:cs="Times New Roman"/>
          <w:sz w:val="24"/>
          <w:szCs w:val="24"/>
        </w:rPr>
        <w:t>i</w:t>
      </w:r>
      <w:proofErr w:type="spellEnd"/>
      <w:r w:rsidR="007C3D50">
        <w:rPr>
          <w:rFonts w:ascii="Times New Roman" w:hAnsi="Times New Roman" w:cs="Times New Roman"/>
          <w:sz w:val="24"/>
          <w:szCs w:val="24"/>
        </w:rPr>
        <w:t xml:space="preserve">) </w:t>
      </w:r>
      <w:r w:rsidRPr="008B26EC">
        <w:rPr>
          <w:rFonts w:ascii="Times New Roman" w:hAnsi="Times New Roman" w:cs="Times New Roman"/>
          <w:sz w:val="24"/>
          <w:szCs w:val="24"/>
        </w:rPr>
        <w:t>a previous major bleeding complication</w:t>
      </w:r>
      <w:r w:rsidR="004A3F2D">
        <w:rPr>
          <w:rFonts w:ascii="Times New Roman" w:hAnsi="Times New Roman" w:cs="Times New Roman"/>
          <w:sz w:val="24"/>
          <w:szCs w:val="24"/>
        </w:rPr>
        <w:t xml:space="preserve"> experienced</w:t>
      </w:r>
      <w:r w:rsidR="007C3D50">
        <w:rPr>
          <w:rFonts w:ascii="Times New Roman" w:hAnsi="Times New Roman" w:cs="Times New Roman"/>
          <w:sz w:val="24"/>
          <w:szCs w:val="24"/>
        </w:rPr>
        <w:t xml:space="preserve"> whilst undergoing treatment with OAT</w:t>
      </w:r>
      <w:r w:rsidR="004A3F2D">
        <w:rPr>
          <w:rFonts w:ascii="Times New Roman" w:hAnsi="Times New Roman" w:cs="Times New Roman"/>
          <w:sz w:val="24"/>
          <w:szCs w:val="24"/>
        </w:rPr>
        <w:t>;</w:t>
      </w:r>
      <w:r w:rsidR="007C3D50">
        <w:rPr>
          <w:rFonts w:ascii="Times New Roman" w:hAnsi="Times New Roman" w:cs="Times New Roman"/>
          <w:sz w:val="24"/>
          <w:szCs w:val="24"/>
        </w:rPr>
        <w:t xml:space="preserve"> OR (ii)</w:t>
      </w:r>
      <w:r w:rsidRPr="008B26EC">
        <w:rPr>
          <w:rFonts w:ascii="Times New Roman" w:hAnsi="Times New Roman" w:cs="Times New Roman"/>
          <w:sz w:val="24"/>
          <w:szCs w:val="24"/>
        </w:rPr>
        <w:t xml:space="preserve"> a blood </w:t>
      </w:r>
      <w:proofErr w:type="spellStart"/>
      <w:r w:rsidRPr="008B26EC">
        <w:rPr>
          <w:rFonts w:ascii="Times New Roman" w:hAnsi="Times New Roman" w:cs="Times New Roman"/>
          <w:sz w:val="24"/>
          <w:szCs w:val="24"/>
        </w:rPr>
        <w:t>dyscrasia</w:t>
      </w:r>
      <w:proofErr w:type="spellEnd"/>
      <w:r w:rsidR="004A3F2D">
        <w:rPr>
          <w:rFonts w:ascii="Times New Roman" w:hAnsi="Times New Roman" w:cs="Times New Roman"/>
          <w:sz w:val="24"/>
          <w:szCs w:val="24"/>
        </w:rPr>
        <w:t>;</w:t>
      </w:r>
      <w:r w:rsidRPr="008B26EC">
        <w:rPr>
          <w:rFonts w:ascii="Times New Roman" w:hAnsi="Times New Roman" w:cs="Times New Roman"/>
          <w:sz w:val="24"/>
          <w:szCs w:val="24"/>
        </w:rPr>
        <w:t xml:space="preserve"> </w:t>
      </w:r>
      <w:r w:rsidR="007C3D50">
        <w:rPr>
          <w:rFonts w:ascii="Times New Roman" w:hAnsi="Times New Roman" w:cs="Times New Roman"/>
          <w:sz w:val="24"/>
          <w:szCs w:val="24"/>
        </w:rPr>
        <w:t>OR</w:t>
      </w:r>
      <w:r w:rsidR="007C3D50" w:rsidRPr="008B26EC">
        <w:rPr>
          <w:rFonts w:ascii="Times New Roman" w:hAnsi="Times New Roman" w:cs="Times New Roman"/>
          <w:sz w:val="24"/>
          <w:szCs w:val="24"/>
        </w:rPr>
        <w:t xml:space="preserve"> </w:t>
      </w:r>
      <w:r w:rsidR="007C3D50">
        <w:rPr>
          <w:rFonts w:ascii="Times New Roman" w:hAnsi="Times New Roman" w:cs="Times New Roman"/>
          <w:sz w:val="24"/>
          <w:szCs w:val="24"/>
        </w:rPr>
        <w:t xml:space="preserve">(iii) </w:t>
      </w:r>
      <w:r w:rsidRPr="008B26EC">
        <w:rPr>
          <w:rFonts w:ascii="Times New Roman" w:hAnsi="Times New Roman" w:cs="Times New Roman"/>
          <w:sz w:val="24"/>
          <w:szCs w:val="24"/>
        </w:rPr>
        <w:t>a vascular abnormality; and</w:t>
      </w:r>
    </w:p>
    <w:p w14:paraId="2B647252" w14:textId="77777777" w:rsidR="008B26EC" w:rsidRPr="008B26EC" w:rsidRDefault="008B26EC" w:rsidP="008B26EC">
      <w:pPr>
        <w:numPr>
          <w:ilvl w:val="0"/>
          <w:numId w:val="41"/>
        </w:numPr>
        <w:spacing w:after="0" w:line="240" w:lineRule="auto"/>
        <w:rPr>
          <w:rFonts w:ascii="Times New Roman" w:hAnsi="Times New Roman" w:cs="Times New Roman"/>
          <w:sz w:val="24"/>
          <w:szCs w:val="24"/>
        </w:rPr>
      </w:pPr>
      <w:r w:rsidRPr="008B26EC">
        <w:rPr>
          <w:rFonts w:ascii="Times New Roman" w:hAnsi="Times New Roman" w:cs="Times New Roman"/>
          <w:sz w:val="24"/>
          <w:szCs w:val="24"/>
        </w:rPr>
        <w:t>BSC (includes aspirin) – for those patients who have a life-long indication for dual oral anti-platelet therapy.</w:t>
      </w:r>
    </w:p>
    <w:p w14:paraId="4DF31FE5" w14:textId="77777777" w:rsidR="008D6FDA" w:rsidRDefault="008D6FDA" w:rsidP="008B26EC">
      <w:pPr>
        <w:spacing w:after="0" w:line="240" w:lineRule="auto"/>
        <w:rPr>
          <w:rFonts w:ascii="Times New Roman" w:hAnsi="Times New Roman" w:cs="Times New Roman"/>
          <w:sz w:val="24"/>
          <w:szCs w:val="24"/>
        </w:rPr>
      </w:pPr>
    </w:p>
    <w:p w14:paraId="74DC7E0A" w14:textId="77777777" w:rsidR="008B26EC" w:rsidRDefault="008B26EC" w:rsidP="008B26EC">
      <w:pPr>
        <w:spacing w:after="0" w:line="240" w:lineRule="auto"/>
        <w:rPr>
          <w:rFonts w:ascii="Times New Roman" w:hAnsi="Times New Roman" w:cs="Times New Roman"/>
          <w:b/>
          <w:i/>
          <w:sz w:val="24"/>
          <w:szCs w:val="24"/>
        </w:rPr>
      </w:pPr>
      <w:r w:rsidRPr="008B26EC">
        <w:rPr>
          <w:rFonts w:ascii="Times New Roman" w:hAnsi="Times New Roman" w:cs="Times New Roman"/>
          <w:b/>
          <w:i/>
          <w:sz w:val="24"/>
          <w:szCs w:val="24"/>
        </w:rPr>
        <w:t>Trial update</w:t>
      </w:r>
    </w:p>
    <w:p w14:paraId="0741EB83" w14:textId="77777777" w:rsidR="003A564C" w:rsidRPr="008B26EC" w:rsidRDefault="003A564C" w:rsidP="008B26EC">
      <w:pPr>
        <w:spacing w:after="0" w:line="240" w:lineRule="auto"/>
        <w:rPr>
          <w:rFonts w:ascii="Times New Roman" w:hAnsi="Times New Roman" w:cs="Times New Roman"/>
          <w:b/>
          <w:i/>
          <w:sz w:val="24"/>
          <w:szCs w:val="24"/>
        </w:rPr>
      </w:pPr>
    </w:p>
    <w:p w14:paraId="49DC393F" w14:textId="2330F13C" w:rsidR="008B26EC" w:rsidRDefault="008B26EC" w:rsidP="008B26EC">
      <w:pPr>
        <w:spacing w:after="0" w:line="240" w:lineRule="auto"/>
        <w:rPr>
          <w:rFonts w:ascii="Times New Roman" w:hAnsi="Times New Roman" w:cs="Times New Roman"/>
          <w:sz w:val="24"/>
          <w:szCs w:val="24"/>
        </w:rPr>
      </w:pPr>
      <w:r w:rsidRPr="008B26EC">
        <w:rPr>
          <w:rFonts w:ascii="Times New Roman" w:hAnsi="Times New Roman" w:cs="Times New Roman"/>
          <w:sz w:val="24"/>
          <w:szCs w:val="24"/>
        </w:rPr>
        <w:t>An update on the PREVAIL trial data was presented; it was noted that th</w:t>
      </w:r>
      <w:r w:rsidR="00A9542E">
        <w:rPr>
          <w:rFonts w:ascii="Times New Roman" w:hAnsi="Times New Roman" w:cs="Times New Roman"/>
          <w:sz w:val="24"/>
          <w:szCs w:val="24"/>
        </w:rPr>
        <w:t>ese</w:t>
      </w:r>
      <w:r w:rsidRPr="008B26EC">
        <w:rPr>
          <w:rFonts w:ascii="Times New Roman" w:hAnsi="Times New Roman" w:cs="Times New Roman"/>
          <w:sz w:val="24"/>
          <w:szCs w:val="24"/>
        </w:rPr>
        <w:t xml:space="preserve"> data w</w:t>
      </w:r>
      <w:r w:rsidR="00A9542E">
        <w:rPr>
          <w:rFonts w:ascii="Times New Roman" w:hAnsi="Times New Roman" w:cs="Times New Roman"/>
          <w:sz w:val="24"/>
          <w:szCs w:val="24"/>
        </w:rPr>
        <w:t>ere</w:t>
      </w:r>
      <w:r w:rsidRPr="008B26EC">
        <w:rPr>
          <w:rFonts w:ascii="Times New Roman" w:hAnsi="Times New Roman" w:cs="Times New Roman"/>
          <w:sz w:val="24"/>
          <w:szCs w:val="24"/>
        </w:rPr>
        <w:t xml:space="preserve"> not meant to be considered as standalone, but would need to be considered in conjunction with any updates from other relevant trials.</w:t>
      </w:r>
    </w:p>
    <w:p w14:paraId="743B8236" w14:textId="79D646F8" w:rsidR="004A5618" w:rsidRPr="008B26EC" w:rsidRDefault="004A5618" w:rsidP="008B26EC">
      <w:pPr>
        <w:spacing w:after="0" w:line="240" w:lineRule="auto"/>
        <w:rPr>
          <w:rFonts w:ascii="Times New Roman" w:hAnsi="Times New Roman" w:cs="Times New Roman"/>
          <w:sz w:val="24"/>
          <w:szCs w:val="24"/>
        </w:rPr>
      </w:pPr>
    </w:p>
    <w:p w14:paraId="208D0A38" w14:textId="77777777" w:rsidR="008B26EC" w:rsidRDefault="008B26EC" w:rsidP="008B26EC">
      <w:pPr>
        <w:spacing w:after="0" w:line="240" w:lineRule="auto"/>
        <w:rPr>
          <w:rFonts w:ascii="Times New Roman" w:hAnsi="Times New Roman" w:cs="Times New Roman"/>
          <w:b/>
          <w:sz w:val="24"/>
          <w:szCs w:val="24"/>
        </w:rPr>
      </w:pPr>
      <w:r w:rsidRPr="008B26EC">
        <w:rPr>
          <w:rFonts w:ascii="Times New Roman" w:hAnsi="Times New Roman" w:cs="Times New Roman"/>
          <w:b/>
          <w:sz w:val="24"/>
          <w:szCs w:val="24"/>
        </w:rPr>
        <w:t>4: Outcome</w:t>
      </w:r>
    </w:p>
    <w:p w14:paraId="06F4BB7D" w14:textId="77777777" w:rsidR="003A564C" w:rsidRPr="008B26EC" w:rsidRDefault="003A564C" w:rsidP="008B26EC">
      <w:pPr>
        <w:spacing w:after="0" w:line="240" w:lineRule="auto"/>
        <w:rPr>
          <w:rFonts w:ascii="Times New Roman" w:hAnsi="Times New Roman" w:cs="Times New Roman"/>
          <w:b/>
          <w:sz w:val="24"/>
          <w:szCs w:val="24"/>
        </w:rPr>
      </w:pPr>
    </w:p>
    <w:p w14:paraId="5DCDC223" w14:textId="77777777" w:rsidR="008B26EC" w:rsidRPr="008B26EC" w:rsidRDefault="008B26EC" w:rsidP="008B26EC">
      <w:pPr>
        <w:spacing w:after="0" w:line="240" w:lineRule="auto"/>
        <w:rPr>
          <w:rFonts w:ascii="Times New Roman" w:hAnsi="Times New Roman" w:cs="Times New Roman"/>
          <w:sz w:val="24"/>
          <w:szCs w:val="24"/>
        </w:rPr>
      </w:pPr>
      <w:r w:rsidRPr="008B26EC">
        <w:rPr>
          <w:rFonts w:ascii="Times New Roman" w:hAnsi="Times New Roman" w:cs="Times New Roman"/>
          <w:sz w:val="24"/>
          <w:szCs w:val="24"/>
        </w:rPr>
        <w:t>It was agreed that there is an unmet clinical need in the following populations.</w:t>
      </w:r>
    </w:p>
    <w:p w14:paraId="399D909B" w14:textId="77777777" w:rsidR="008B26EC" w:rsidRDefault="008B26EC" w:rsidP="008B26EC">
      <w:pPr>
        <w:spacing w:after="0" w:line="240" w:lineRule="auto"/>
        <w:rPr>
          <w:rFonts w:ascii="Times New Roman" w:hAnsi="Times New Roman" w:cs="Times New Roman"/>
          <w:sz w:val="24"/>
          <w:szCs w:val="24"/>
        </w:rPr>
      </w:pPr>
      <w:r w:rsidRPr="008B26EC">
        <w:rPr>
          <w:rFonts w:ascii="Times New Roman" w:hAnsi="Times New Roman" w:cs="Times New Roman"/>
          <w:sz w:val="24"/>
          <w:szCs w:val="24"/>
        </w:rPr>
        <w:t xml:space="preserve">The consensus of the meeting was that there were two relevant patient groups with NVAF, each with different comparators, for whom public funding related to the left atrial appendage closure </w:t>
      </w:r>
      <w:proofErr w:type="gramStart"/>
      <w:r w:rsidRPr="008B26EC">
        <w:rPr>
          <w:rFonts w:ascii="Times New Roman" w:hAnsi="Times New Roman" w:cs="Times New Roman"/>
          <w:sz w:val="24"/>
          <w:szCs w:val="24"/>
        </w:rPr>
        <w:t>device</w:t>
      </w:r>
      <w:proofErr w:type="gramEnd"/>
      <w:r w:rsidRPr="008B26EC">
        <w:rPr>
          <w:rFonts w:ascii="Times New Roman" w:hAnsi="Times New Roman" w:cs="Times New Roman"/>
          <w:sz w:val="24"/>
          <w:szCs w:val="24"/>
        </w:rPr>
        <w:t xml:space="preserve"> should be considered:</w:t>
      </w:r>
    </w:p>
    <w:p w14:paraId="3CB4AC7E" w14:textId="77777777" w:rsidR="00E1532A" w:rsidRPr="008B26EC" w:rsidRDefault="00E1532A" w:rsidP="008B26EC">
      <w:pPr>
        <w:spacing w:after="0" w:line="240" w:lineRule="auto"/>
        <w:rPr>
          <w:rFonts w:ascii="Times New Roman" w:hAnsi="Times New Roman" w:cs="Times New Roman"/>
          <w:sz w:val="24"/>
          <w:szCs w:val="24"/>
        </w:rPr>
      </w:pPr>
    </w:p>
    <w:p w14:paraId="6CC1669E" w14:textId="73164C8F" w:rsidR="008B26EC" w:rsidRPr="008B26EC" w:rsidRDefault="00AB46AD" w:rsidP="008B26EC">
      <w:pPr>
        <w:numPr>
          <w:ilvl w:val="0"/>
          <w:numId w:val="39"/>
        </w:numPr>
        <w:spacing w:after="0" w:line="240" w:lineRule="auto"/>
        <w:ind w:left="714" w:hanging="357"/>
        <w:rPr>
          <w:rFonts w:ascii="Times New Roman" w:hAnsi="Times New Roman" w:cs="Times New Roman"/>
          <w:sz w:val="24"/>
          <w:szCs w:val="24"/>
        </w:rPr>
      </w:pPr>
      <w:r>
        <w:rPr>
          <w:rFonts w:ascii="Times New Roman" w:hAnsi="Times New Roman" w:cs="Times New Roman"/>
          <w:sz w:val="24"/>
          <w:szCs w:val="24"/>
        </w:rPr>
        <w:t>Any p</w:t>
      </w:r>
      <w:r w:rsidR="008B26EC" w:rsidRPr="008B26EC">
        <w:rPr>
          <w:rFonts w:ascii="Times New Roman" w:hAnsi="Times New Roman" w:cs="Times New Roman"/>
          <w:sz w:val="24"/>
          <w:szCs w:val="24"/>
        </w:rPr>
        <w:t>atient who ha</w:t>
      </w:r>
      <w:r>
        <w:rPr>
          <w:rFonts w:ascii="Times New Roman" w:hAnsi="Times New Roman" w:cs="Times New Roman"/>
          <w:sz w:val="24"/>
          <w:szCs w:val="24"/>
        </w:rPr>
        <w:t>s a contraindication</w:t>
      </w:r>
      <w:r w:rsidR="008B26EC" w:rsidRPr="008B26EC">
        <w:rPr>
          <w:rFonts w:ascii="Times New Roman" w:hAnsi="Times New Roman" w:cs="Times New Roman"/>
          <w:sz w:val="24"/>
          <w:szCs w:val="24"/>
        </w:rPr>
        <w:t xml:space="preserve"> to life-long oral anticoagulation (NOAC or warfarin) or dual antiplatelet therapy because of:</w:t>
      </w:r>
    </w:p>
    <w:p w14:paraId="528AB335" w14:textId="27A34E75" w:rsidR="008B26EC" w:rsidRPr="008B26EC" w:rsidRDefault="008B26EC" w:rsidP="008B26EC">
      <w:pPr>
        <w:pStyle w:val="ListParagraph"/>
        <w:numPr>
          <w:ilvl w:val="0"/>
          <w:numId w:val="40"/>
        </w:numPr>
        <w:tabs>
          <w:tab w:val="clear" w:pos="720"/>
        </w:tabs>
        <w:spacing w:after="0" w:line="240" w:lineRule="auto"/>
        <w:ind w:left="1440"/>
        <w:rPr>
          <w:rFonts w:ascii="Times New Roman" w:hAnsi="Times New Roman" w:cs="Times New Roman"/>
          <w:sz w:val="24"/>
          <w:szCs w:val="24"/>
        </w:rPr>
      </w:pPr>
      <w:r w:rsidRPr="008B26EC">
        <w:rPr>
          <w:rFonts w:ascii="Times New Roman" w:hAnsi="Times New Roman" w:cs="Times New Roman"/>
          <w:sz w:val="24"/>
          <w:szCs w:val="24"/>
        </w:rPr>
        <w:t>a previous major bleeding complication</w:t>
      </w:r>
      <w:r w:rsidR="00AB46AD">
        <w:rPr>
          <w:rFonts w:ascii="Times New Roman" w:hAnsi="Times New Roman" w:cs="Times New Roman"/>
          <w:sz w:val="24"/>
          <w:szCs w:val="24"/>
        </w:rPr>
        <w:t xml:space="preserve"> experienced whilst undergoing treatment with OAT</w:t>
      </w:r>
      <w:r w:rsidRPr="008B26EC">
        <w:rPr>
          <w:rFonts w:ascii="Times New Roman" w:hAnsi="Times New Roman" w:cs="Times New Roman"/>
          <w:sz w:val="24"/>
          <w:szCs w:val="24"/>
        </w:rPr>
        <w:t>;</w:t>
      </w:r>
    </w:p>
    <w:p w14:paraId="2E09E32E" w14:textId="77777777" w:rsidR="008B26EC" w:rsidRPr="008B26EC" w:rsidRDefault="008B26EC" w:rsidP="008B26EC">
      <w:pPr>
        <w:pStyle w:val="ListParagraph"/>
        <w:numPr>
          <w:ilvl w:val="0"/>
          <w:numId w:val="40"/>
        </w:numPr>
        <w:tabs>
          <w:tab w:val="clear" w:pos="720"/>
        </w:tabs>
        <w:spacing w:after="0" w:line="240" w:lineRule="auto"/>
        <w:ind w:left="1440"/>
        <w:rPr>
          <w:rFonts w:ascii="Times New Roman" w:hAnsi="Times New Roman" w:cs="Times New Roman"/>
          <w:sz w:val="24"/>
          <w:szCs w:val="24"/>
        </w:rPr>
      </w:pPr>
      <w:r w:rsidRPr="008B26EC">
        <w:rPr>
          <w:rFonts w:ascii="Times New Roman" w:hAnsi="Times New Roman" w:cs="Times New Roman"/>
          <w:sz w:val="24"/>
          <w:szCs w:val="24"/>
        </w:rPr>
        <w:t xml:space="preserve">a blood </w:t>
      </w:r>
      <w:proofErr w:type="spellStart"/>
      <w:r w:rsidRPr="008B26EC">
        <w:rPr>
          <w:rFonts w:ascii="Times New Roman" w:hAnsi="Times New Roman" w:cs="Times New Roman"/>
          <w:sz w:val="24"/>
          <w:szCs w:val="24"/>
        </w:rPr>
        <w:t>dyscrasia</w:t>
      </w:r>
      <w:proofErr w:type="spellEnd"/>
      <w:r w:rsidRPr="008B26EC">
        <w:rPr>
          <w:rFonts w:ascii="Times New Roman" w:hAnsi="Times New Roman" w:cs="Times New Roman"/>
          <w:sz w:val="24"/>
          <w:szCs w:val="24"/>
        </w:rPr>
        <w:t>; or</w:t>
      </w:r>
    </w:p>
    <w:p w14:paraId="4C5D16E7" w14:textId="77777777" w:rsidR="008B26EC" w:rsidRPr="008B26EC" w:rsidRDefault="008B26EC" w:rsidP="008B26EC">
      <w:pPr>
        <w:pStyle w:val="ListParagraph"/>
        <w:numPr>
          <w:ilvl w:val="0"/>
          <w:numId w:val="40"/>
        </w:numPr>
        <w:tabs>
          <w:tab w:val="clear" w:pos="720"/>
        </w:tabs>
        <w:spacing w:after="0" w:line="240" w:lineRule="auto"/>
        <w:ind w:left="1440"/>
        <w:rPr>
          <w:rFonts w:ascii="Times New Roman" w:hAnsi="Times New Roman" w:cs="Times New Roman"/>
          <w:sz w:val="24"/>
          <w:szCs w:val="24"/>
        </w:rPr>
      </w:pPr>
      <w:proofErr w:type="gramStart"/>
      <w:r w:rsidRPr="008B26EC">
        <w:rPr>
          <w:rFonts w:ascii="Times New Roman" w:hAnsi="Times New Roman" w:cs="Times New Roman"/>
          <w:sz w:val="24"/>
          <w:szCs w:val="24"/>
        </w:rPr>
        <w:t>a</w:t>
      </w:r>
      <w:proofErr w:type="gramEnd"/>
      <w:r w:rsidRPr="008B26EC">
        <w:rPr>
          <w:rFonts w:ascii="Times New Roman" w:hAnsi="Times New Roman" w:cs="Times New Roman"/>
          <w:sz w:val="24"/>
          <w:szCs w:val="24"/>
        </w:rPr>
        <w:t xml:space="preserve"> vascular abnormality.</w:t>
      </w:r>
    </w:p>
    <w:p w14:paraId="2A4488CA" w14:textId="77777777" w:rsidR="008B26EC" w:rsidRDefault="008B26EC" w:rsidP="008B26EC">
      <w:pPr>
        <w:spacing w:after="0" w:line="240" w:lineRule="auto"/>
        <w:ind w:left="709"/>
        <w:rPr>
          <w:rFonts w:ascii="Times New Roman" w:hAnsi="Times New Roman" w:cs="Times New Roman"/>
          <w:sz w:val="24"/>
          <w:szCs w:val="24"/>
        </w:rPr>
      </w:pPr>
      <w:r w:rsidRPr="008B26EC">
        <w:rPr>
          <w:rFonts w:ascii="Times New Roman" w:hAnsi="Times New Roman" w:cs="Times New Roman"/>
          <w:sz w:val="24"/>
          <w:szCs w:val="24"/>
        </w:rPr>
        <w:t>The comparator for these patients is best supportive care (BSC) with or without aspirin.</w:t>
      </w:r>
    </w:p>
    <w:p w14:paraId="6E080247" w14:textId="77777777" w:rsidR="008B6235" w:rsidRDefault="008B6235" w:rsidP="008B26EC">
      <w:pPr>
        <w:spacing w:after="0" w:line="240" w:lineRule="auto"/>
        <w:ind w:left="709"/>
        <w:rPr>
          <w:rFonts w:ascii="Times New Roman" w:hAnsi="Times New Roman" w:cs="Times New Roman"/>
          <w:sz w:val="24"/>
          <w:szCs w:val="24"/>
        </w:rPr>
      </w:pPr>
    </w:p>
    <w:p w14:paraId="2240844D" w14:textId="6AC2FEF6" w:rsidR="008B26EC" w:rsidRPr="008B26EC" w:rsidRDefault="008B26EC" w:rsidP="008B26EC">
      <w:pPr>
        <w:spacing w:after="0" w:line="240" w:lineRule="auto"/>
        <w:ind w:firstLine="360"/>
        <w:rPr>
          <w:rFonts w:ascii="Times New Roman" w:hAnsi="Times New Roman" w:cs="Times New Roman"/>
          <w:sz w:val="24"/>
          <w:szCs w:val="24"/>
        </w:rPr>
      </w:pPr>
      <w:r w:rsidRPr="008B26EC">
        <w:rPr>
          <w:rFonts w:ascii="Times New Roman" w:hAnsi="Times New Roman" w:cs="Times New Roman"/>
          <w:sz w:val="24"/>
          <w:szCs w:val="24"/>
        </w:rPr>
        <w:t>2.</w:t>
      </w:r>
      <w:r w:rsidRPr="008B26EC">
        <w:rPr>
          <w:rFonts w:ascii="Times New Roman" w:hAnsi="Times New Roman" w:cs="Times New Roman"/>
          <w:sz w:val="24"/>
          <w:szCs w:val="24"/>
        </w:rPr>
        <w:tab/>
      </w:r>
      <w:r w:rsidR="00AB46AD">
        <w:rPr>
          <w:rFonts w:ascii="Times New Roman" w:hAnsi="Times New Roman" w:cs="Times New Roman"/>
          <w:sz w:val="24"/>
          <w:szCs w:val="24"/>
        </w:rPr>
        <w:t>Any patient who has</w:t>
      </w:r>
      <w:r w:rsidRPr="008B26EC">
        <w:rPr>
          <w:rFonts w:ascii="Times New Roman" w:hAnsi="Times New Roman" w:cs="Times New Roman"/>
          <w:sz w:val="24"/>
          <w:szCs w:val="24"/>
        </w:rPr>
        <w:t xml:space="preserve"> a life-long indication for dual oral anti-platelet therapy</w:t>
      </w:r>
      <w:r w:rsidR="00AB46AD">
        <w:rPr>
          <w:rFonts w:ascii="Times New Roman" w:hAnsi="Times New Roman" w:cs="Times New Roman"/>
          <w:sz w:val="24"/>
          <w:szCs w:val="24"/>
        </w:rPr>
        <w:t>.</w:t>
      </w:r>
    </w:p>
    <w:p w14:paraId="20204C6D" w14:textId="77777777" w:rsidR="008B26EC" w:rsidRDefault="008B26EC" w:rsidP="008B26EC">
      <w:pPr>
        <w:spacing w:after="0" w:line="240" w:lineRule="auto"/>
        <w:ind w:left="709"/>
        <w:rPr>
          <w:rFonts w:ascii="Times New Roman" w:hAnsi="Times New Roman" w:cs="Times New Roman"/>
          <w:sz w:val="24"/>
          <w:szCs w:val="24"/>
        </w:rPr>
      </w:pPr>
      <w:r w:rsidRPr="008B26EC">
        <w:rPr>
          <w:rFonts w:ascii="Times New Roman" w:hAnsi="Times New Roman" w:cs="Times New Roman"/>
          <w:sz w:val="24"/>
          <w:szCs w:val="24"/>
        </w:rPr>
        <w:t>The comparator for these patients is BSC (which includes aspirin, ie aspirin is in both the comparator arm and the LAAC arm).</w:t>
      </w:r>
    </w:p>
    <w:p w14:paraId="75C9550B" w14:textId="763BAF5A" w:rsidR="003A564C" w:rsidRPr="008B26EC" w:rsidRDefault="008B26EC" w:rsidP="008B6235">
      <w:pPr>
        <w:rPr>
          <w:rFonts w:ascii="Times New Roman" w:hAnsi="Times New Roman" w:cs="Times New Roman"/>
          <w:b/>
          <w:sz w:val="24"/>
          <w:szCs w:val="24"/>
        </w:rPr>
      </w:pPr>
      <w:r w:rsidRPr="008B26EC">
        <w:rPr>
          <w:rFonts w:ascii="Times New Roman" w:hAnsi="Times New Roman" w:cs="Times New Roman"/>
          <w:b/>
          <w:sz w:val="24"/>
          <w:szCs w:val="24"/>
        </w:rPr>
        <w:t>5: Meeting close</w:t>
      </w:r>
    </w:p>
    <w:p w14:paraId="0A6F2FCF" w14:textId="77777777" w:rsidR="008B26EC" w:rsidRDefault="008B26EC" w:rsidP="008B26EC">
      <w:pPr>
        <w:spacing w:after="0" w:line="240" w:lineRule="auto"/>
        <w:rPr>
          <w:rFonts w:ascii="Times New Roman" w:hAnsi="Times New Roman" w:cs="Times New Roman"/>
          <w:sz w:val="24"/>
          <w:szCs w:val="24"/>
        </w:rPr>
      </w:pPr>
      <w:r w:rsidRPr="008B26EC">
        <w:rPr>
          <w:rFonts w:ascii="Times New Roman" w:hAnsi="Times New Roman" w:cs="Times New Roman"/>
          <w:sz w:val="24"/>
          <w:szCs w:val="24"/>
        </w:rPr>
        <w:t>Participants were thanked for their valuable insights and it was hoped that they found the meeting informative.</w:t>
      </w:r>
    </w:p>
    <w:p w14:paraId="47D06E66" w14:textId="77777777" w:rsidR="003A564C" w:rsidRPr="008B26EC" w:rsidRDefault="003A564C" w:rsidP="008B26EC">
      <w:pPr>
        <w:spacing w:after="0" w:line="240" w:lineRule="auto"/>
        <w:rPr>
          <w:rFonts w:ascii="Times New Roman" w:hAnsi="Times New Roman" w:cs="Times New Roman"/>
          <w:sz w:val="24"/>
          <w:szCs w:val="24"/>
        </w:rPr>
      </w:pPr>
    </w:p>
    <w:p w14:paraId="6E89A49E" w14:textId="5D316790" w:rsidR="00A37F49" w:rsidRPr="00AB46AD" w:rsidRDefault="008B26EC" w:rsidP="008B26EC">
      <w:pPr>
        <w:spacing w:after="0" w:line="240" w:lineRule="auto"/>
        <w:rPr>
          <w:rFonts w:ascii="Times New Roman" w:hAnsi="Times New Roman" w:cs="Times New Roman"/>
          <w:sz w:val="24"/>
          <w:szCs w:val="24"/>
        </w:rPr>
      </w:pPr>
      <w:r w:rsidRPr="008B26EC">
        <w:rPr>
          <w:rFonts w:ascii="Times New Roman" w:hAnsi="Times New Roman" w:cs="Times New Roman"/>
          <w:sz w:val="24"/>
          <w:szCs w:val="24"/>
        </w:rPr>
        <w:t>The meeting closed at 4.00pm.</w:t>
      </w:r>
    </w:p>
    <w:sectPr w:rsidR="00A37F49" w:rsidRPr="00AB46AD" w:rsidSect="003E44D6">
      <w:headerReference w:type="default" r:id="rId10"/>
      <w:footerReference w:type="even" r:id="rId11"/>
      <w:footerReference w:type="default" r:id="rId12"/>
      <w:headerReference w:type="first" r:id="rId13"/>
      <w:footerReference w:type="first" r:id="rId14"/>
      <w:endnotePr>
        <w:numFmt w:val="decimal"/>
      </w:endnotePr>
      <w:pgSz w:w="11906" w:h="16838" w:code="9"/>
      <w:pgMar w:top="567" w:right="1440" w:bottom="284" w:left="1440" w:header="850" w:footer="720" w:gutter="0"/>
      <w:cols w:space="720"/>
      <w:noEndnote/>
      <w:docGrid w:linePitch="299"/>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0F32886" w15:done="0"/>
  <w15:commentEx w15:paraId="3052D844" w15:done="0"/>
  <w15:commentEx w15:paraId="5C1A8FF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540780" w14:textId="77777777" w:rsidR="00CB2668" w:rsidRDefault="00CB2668" w:rsidP="00F254A8">
      <w:pPr>
        <w:spacing w:after="0" w:line="240" w:lineRule="auto"/>
      </w:pPr>
      <w:r>
        <w:separator/>
      </w:r>
    </w:p>
  </w:endnote>
  <w:endnote w:type="continuationSeparator" w:id="0">
    <w:p w14:paraId="635BD38E" w14:textId="77777777" w:rsidR="00CB2668" w:rsidRDefault="00CB2668" w:rsidP="00F254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0E8737" w14:textId="77777777" w:rsidR="009D71A0" w:rsidRDefault="009D71A0">
    <w:pPr>
      <w:pStyle w:val="Footer"/>
      <w:framePr w:wrap="around" w:vAnchor="text" w:hAnchor="margin" w:xAlign="outside" w:y="1"/>
      <w:rPr>
        <w:rStyle w:val="PageNumber"/>
        <w:sz w:val="19"/>
        <w:szCs w:val="19"/>
      </w:rPr>
    </w:pPr>
    <w:r>
      <w:rPr>
        <w:rStyle w:val="PageNumber"/>
        <w:sz w:val="19"/>
        <w:szCs w:val="19"/>
      </w:rPr>
      <w:fldChar w:fldCharType="begin"/>
    </w:r>
    <w:r>
      <w:rPr>
        <w:rStyle w:val="PageNumber"/>
        <w:sz w:val="19"/>
        <w:szCs w:val="19"/>
      </w:rPr>
      <w:instrText xml:space="preserve">PAGE  </w:instrText>
    </w:r>
    <w:r>
      <w:rPr>
        <w:rStyle w:val="PageNumber"/>
        <w:sz w:val="19"/>
        <w:szCs w:val="19"/>
      </w:rPr>
      <w:fldChar w:fldCharType="end"/>
    </w:r>
  </w:p>
  <w:p w14:paraId="6666187A" w14:textId="77777777" w:rsidR="009D71A0" w:rsidRDefault="009D71A0">
    <w:pPr>
      <w:pStyle w:val="Footer"/>
      <w:ind w:right="360" w:firstLine="360"/>
      <w:rPr>
        <w:sz w:val="19"/>
        <w:szCs w:val="19"/>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0266041"/>
      <w:docPartObj>
        <w:docPartGallery w:val="Page Numbers (Bottom of Page)"/>
        <w:docPartUnique/>
      </w:docPartObj>
    </w:sdtPr>
    <w:sdtEndPr>
      <w:rPr>
        <w:rFonts w:ascii="Times New Roman" w:hAnsi="Times New Roman" w:cs="Times New Roman"/>
        <w:noProof/>
        <w:sz w:val="20"/>
        <w:szCs w:val="20"/>
      </w:rPr>
    </w:sdtEndPr>
    <w:sdtContent>
      <w:p w14:paraId="3A7BA01E" w14:textId="77777777" w:rsidR="009D71A0" w:rsidRDefault="009D71A0">
        <w:pPr>
          <w:pStyle w:val="Footer"/>
          <w:jc w:val="right"/>
        </w:pPr>
      </w:p>
      <w:p w14:paraId="398B8EFC" w14:textId="77777777" w:rsidR="009D71A0" w:rsidRDefault="009D71A0" w:rsidP="00DE5BF4">
        <w:pPr>
          <w:pStyle w:val="Footer"/>
          <w:jc w:val="right"/>
          <w:rPr>
            <w:rFonts w:ascii="Times New Roman" w:hAnsi="Times New Roman" w:cs="Times New Roman"/>
            <w:noProof/>
            <w:sz w:val="20"/>
            <w:szCs w:val="20"/>
          </w:rPr>
        </w:pPr>
        <w:r w:rsidRPr="00DE5BF4">
          <w:rPr>
            <w:rFonts w:ascii="Times New Roman" w:hAnsi="Times New Roman" w:cs="Times New Roman"/>
            <w:sz w:val="20"/>
            <w:szCs w:val="20"/>
          </w:rPr>
          <w:fldChar w:fldCharType="begin"/>
        </w:r>
        <w:r w:rsidRPr="00DE5BF4">
          <w:rPr>
            <w:rFonts w:ascii="Times New Roman" w:hAnsi="Times New Roman" w:cs="Times New Roman"/>
            <w:sz w:val="20"/>
            <w:szCs w:val="20"/>
          </w:rPr>
          <w:instrText xml:space="preserve"> PAGE   \* MERGEFORMAT </w:instrText>
        </w:r>
        <w:r w:rsidRPr="00DE5BF4">
          <w:rPr>
            <w:rFonts w:ascii="Times New Roman" w:hAnsi="Times New Roman" w:cs="Times New Roman"/>
            <w:sz w:val="20"/>
            <w:szCs w:val="20"/>
          </w:rPr>
          <w:fldChar w:fldCharType="separate"/>
        </w:r>
        <w:r w:rsidR="002A1CED">
          <w:rPr>
            <w:rFonts w:ascii="Times New Roman" w:hAnsi="Times New Roman" w:cs="Times New Roman"/>
            <w:noProof/>
            <w:sz w:val="20"/>
            <w:szCs w:val="20"/>
          </w:rPr>
          <w:t>1</w:t>
        </w:r>
        <w:r w:rsidRPr="00DE5BF4">
          <w:rPr>
            <w:rFonts w:ascii="Times New Roman" w:hAnsi="Times New Roman" w:cs="Times New Roman"/>
            <w:noProof/>
            <w:sz w:val="20"/>
            <w:szCs w:val="20"/>
          </w:rPr>
          <w:fldChar w:fldCharType="end"/>
        </w:r>
      </w:p>
    </w:sdtContent>
  </w:sdt>
  <w:p w14:paraId="6552BDCB" w14:textId="57562BFE" w:rsidR="009D71A0" w:rsidRPr="00DE5BF4" w:rsidRDefault="009D71A0" w:rsidP="00DE5BF4">
    <w:pPr>
      <w:pStyle w:val="Footer"/>
      <w:jc w:val="center"/>
      <w:rPr>
        <w:rFonts w:ascii="Times New Roman" w:hAnsi="Times New Roman" w:cs="Times New Roman"/>
        <w:sz w:val="20"/>
        <w:szCs w:val="20"/>
      </w:rPr>
    </w:pPr>
    <w:r w:rsidRPr="00EC2BDA">
      <w:rPr>
        <w:rFonts w:ascii="Times New Roman" w:hAnsi="Times New Roman"/>
        <w:i/>
        <w:sz w:val="18"/>
        <w:szCs w:val="18"/>
      </w:rPr>
      <w:t xml:space="preserve">Stakeholder Meeting </w:t>
    </w:r>
    <w:r>
      <w:rPr>
        <w:rFonts w:ascii="Times New Roman" w:hAnsi="Times New Roman"/>
        <w:i/>
        <w:sz w:val="18"/>
        <w:szCs w:val="18"/>
      </w:rPr>
      <w:t>- Transcatheter Occlusion o</w:t>
    </w:r>
    <w:r w:rsidRPr="00EC2BDA">
      <w:rPr>
        <w:rFonts w:ascii="Times New Roman" w:hAnsi="Times New Roman"/>
        <w:i/>
        <w:sz w:val="18"/>
        <w:szCs w:val="18"/>
      </w:rPr>
      <w:t>f</w:t>
    </w:r>
    <w:r>
      <w:rPr>
        <w:rFonts w:ascii="Times New Roman" w:hAnsi="Times New Roman"/>
        <w:i/>
        <w:sz w:val="18"/>
        <w:szCs w:val="18"/>
      </w:rPr>
      <w:t xml:space="preserve"> the Left Atrial Appendage</w:t>
    </w:r>
    <w:r w:rsidR="008B6235">
      <w:rPr>
        <w:rFonts w:ascii="Times New Roman" w:hAnsi="Times New Roman"/>
        <w:i/>
        <w:sz w:val="18"/>
        <w:szCs w:val="18"/>
      </w:rPr>
      <w:t xml:space="preserve"> </w:t>
    </w:r>
    <w:r>
      <w:rPr>
        <w:rFonts w:ascii="Times New Roman" w:hAnsi="Times New Roman"/>
        <w:i/>
        <w:sz w:val="18"/>
        <w:szCs w:val="18"/>
      </w:rPr>
      <w:t>– 5 June 2015</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5EC239" w14:textId="0F588B53" w:rsidR="009D71A0" w:rsidRPr="00EE6F00" w:rsidRDefault="009D71A0" w:rsidP="00EC2BDA">
    <w:pPr>
      <w:pStyle w:val="Footer"/>
      <w:jc w:val="center"/>
      <w:rPr>
        <w:rFonts w:ascii="Times New Roman" w:hAnsi="Times New Roman"/>
        <w:i/>
        <w:sz w:val="18"/>
        <w:szCs w:val="18"/>
      </w:rPr>
    </w:pPr>
    <w:r>
      <w:rPr>
        <w:rFonts w:ascii="Times New Roman" w:hAnsi="Times New Roman"/>
        <w:i/>
        <w:sz w:val="18"/>
        <w:szCs w:val="18"/>
      </w:rPr>
      <w:t>Transcatheter Occlusion o</w:t>
    </w:r>
    <w:r w:rsidRPr="00EC2BDA">
      <w:rPr>
        <w:rFonts w:ascii="Times New Roman" w:hAnsi="Times New Roman"/>
        <w:i/>
        <w:sz w:val="18"/>
        <w:szCs w:val="18"/>
      </w:rPr>
      <w:t>f</w:t>
    </w:r>
    <w:r>
      <w:rPr>
        <w:rFonts w:ascii="Times New Roman" w:hAnsi="Times New Roman"/>
        <w:i/>
        <w:sz w:val="18"/>
        <w:szCs w:val="18"/>
      </w:rPr>
      <w:t xml:space="preserve"> the Left Atrial Appendage </w:t>
    </w:r>
    <w:r w:rsidRPr="00EC2BDA">
      <w:rPr>
        <w:rFonts w:ascii="Times New Roman" w:hAnsi="Times New Roman"/>
        <w:i/>
        <w:sz w:val="18"/>
        <w:szCs w:val="18"/>
      </w:rPr>
      <w:t xml:space="preserve">Stakeholder Meeting </w:t>
    </w:r>
    <w:r>
      <w:rPr>
        <w:rFonts w:ascii="Times New Roman" w:hAnsi="Times New Roman"/>
        <w:i/>
        <w:sz w:val="18"/>
        <w:szCs w:val="18"/>
      </w:rPr>
      <w:t>– 5 June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6A2DD0" w14:textId="77777777" w:rsidR="00CB2668" w:rsidRDefault="00CB2668" w:rsidP="00F254A8">
      <w:pPr>
        <w:spacing w:after="0" w:line="240" w:lineRule="auto"/>
      </w:pPr>
      <w:r>
        <w:separator/>
      </w:r>
    </w:p>
  </w:footnote>
  <w:footnote w:type="continuationSeparator" w:id="0">
    <w:p w14:paraId="1F8BA854" w14:textId="77777777" w:rsidR="00CB2668" w:rsidRDefault="00CB2668" w:rsidP="00F254A8">
      <w:pPr>
        <w:spacing w:after="0" w:line="240" w:lineRule="auto"/>
      </w:pPr>
      <w:r>
        <w:continuationSeparator/>
      </w:r>
    </w:p>
  </w:footnote>
  <w:footnote w:id="1">
    <w:p w14:paraId="0211F178" w14:textId="77777777" w:rsidR="009D71A0" w:rsidRDefault="009D71A0" w:rsidP="008B26EC">
      <w:pPr>
        <w:pStyle w:val="FootnoteText"/>
      </w:pPr>
      <w:r>
        <w:rPr>
          <w:rStyle w:val="FootnoteReference"/>
        </w:rPr>
        <w:footnoteRef/>
      </w:r>
      <w:r>
        <w:t xml:space="preserve"> CHADS</w:t>
      </w:r>
      <w:r w:rsidRPr="00362482">
        <w:rPr>
          <w:vertAlign w:val="subscript"/>
        </w:rPr>
        <w:t>2</w:t>
      </w:r>
      <w:r>
        <w:t xml:space="preserve"> and CHA</w:t>
      </w:r>
      <w:r w:rsidRPr="00362482">
        <w:rPr>
          <w:vertAlign w:val="subscript"/>
        </w:rPr>
        <w:t>2</w:t>
      </w:r>
      <w:r>
        <w:t>DS</w:t>
      </w:r>
      <w:r w:rsidRPr="00362482">
        <w:rPr>
          <w:vertAlign w:val="subscript"/>
        </w:rPr>
        <w:t>2</w:t>
      </w:r>
      <w:r>
        <w:t>-VASc are scoring systems developed to determine stroke risk in patients with NVAF.</w:t>
      </w:r>
    </w:p>
  </w:footnote>
  <w:footnote w:id="2">
    <w:p w14:paraId="056929F1" w14:textId="77777777" w:rsidR="009D71A0" w:rsidRDefault="009D71A0" w:rsidP="008B26EC">
      <w:pPr>
        <w:pStyle w:val="FootnoteText"/>
      </w:pPr>
      <w:r>
        <w:rPr>
          <w:rStyle w:val="FootnoteReference"/>
        </w:rPr>
        <w:footnoteRef/>
      </w:r>
      <w:r>
        <w:t xml:space="preserve"> HAS-BLED is a scoring system which allows clinicians to assess an individual’s risk of bleeding based on comorbidities.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F74658" w14:textId="5E6DF1E8" w:rsidR="009D71A0" w:rsidRPr="00A91C0A" w:rsidRDefault="009D71A0" w:rsidP="00A91C0A">
    <w:pPr>
      <w:pStyle w:val="Header"/>
      <w:jc w:val="center"/>
      <w:rPr>
        <w: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A13F2A" w14:textId="4289D19D" w:rsidR="009D71A0" w:rsidRPr="009D0DF5" w:rsidRDefault="009D71A0" w:rsidP="009D0DF5">
    <w:pPr>
      <w:pStyle w:val="Header"/>
      <w:jc w:val="cent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44B6B"/>
    <w:multiLevelType w:val="hybridMultilevel"/>
    <w:tmpl w:val="0D1AE9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A2140EC"/>
    <w:multiLevelType w:val="hybridMultilevel"/>
    <w:tmpl w:val="A9C2E684"/>
    <w:lvl w:ilvl="0" w:tplc="0C090001">
      <w:start w:val="1"/>
      <w:numFmt w:val="bullet"/>
      <w:lvlText w:val=""/>
      <w:lvlJc w:val="left"/>
      <w:pPr>
        <w:ind w:left="780" w:hanging="360"/>
      </w:pPr>
      <w:rPr>
        <w:rFonts w:ascii="Symbol" w:hAnsi="Symbol" w:hint="default"/>
      </w:rPr>
    </w:lvl>
    <w:lvl w:ilvl="1" w:tplc="0C090003">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
    <w:nsid w:val="109A0C1C"/>
    <w:multiLevelType w:val="hybridMultilevel"/>
    <w:tmpl w:val="F412ED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45A7BF3"/>
    <w:multiLevelType w:val="hybridMultilevel"/>
    <w:tmpl w:val="B39E464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4F660BE"/>
    <w:multiLevelType w:val="hybridMultilevel"/>
    <w:tmpl w:val="BDD89E34"/>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5">
    <w:nsid w:val="1502219C"/>
    <w:multiLevelType w:val="hybridMultilevel"/>
    <w:tmpl w:val="247E4D6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157C7B09"/>
    <w:multiLevelType w:val="hybridMultilevel"/>
    <w:tmpl w:val="64208626"/>
    <w:lvl w:ilvl="0" w:tplc="5B1EE9FE">
      <w:start w:val="1"/>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6A72D33"/>
    <w:multiLevelType w:val="hybridMultilevel"/>
    <w:tmpl w:val="6FC8AE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9CD0C59"/>
    <w:multiLevelType w:val="hybridMultilevel"/>
    <w:tmpl w:val="BA829D22"/>
    <w:lvl w:ilvl="0" w:tplc="0C09000F">
      <w:start w:val="1"/>
      <w:numFmt w:val="decimal"/>
      <w:lvlText w:val="%1."/>
      <w:lvlJc w:val="left"/>
      <w:pPr>
        <w:ind w:left="1500" w:hanging="360"/>
      </w:pPr>
    </w:lvl>
    <w:lvl w:ilvl="1" w:tplc="0C090019" w:tentative="1">
      <w:start w:val="1"/>
      <w:numFmt w:val="lowerLetter"/>
      <w:lvlText w:val="%2."/>
      <w:lvlJc w:val="left"/>
      <w:pPr>
        <w:ind w:left="2220" w:hanging="360"/>
      </w:pPr>
    </w:lvl>
    <w:lvl w:ilvl="2" w:tplc="0C09001B" w:tentative="1">
      <w:start w:val="1"/>
      <w:numFmt w:val="lowerRoman"/>
      <w:lvlText w:val="%3."/>
      <w:lvlJc w:val="right"/>
      <w:pPr>
        <w:ind w:left="2940" w:hanging="180"/>
      </w:pPr>
    </w:lvl>
    <w:lvl w:ilvl="3" w:tplc="0C09000F" w:tentative="1">
      <w:start w:val="1"/>
      <w:numFmt w:val="decimal"/>
      <w:lvlText w:val="%4."/>
      <w:lvlJc w:val="left"/>
      <w:pPr>
        <w:ind w:left="3660" w:hanging="360"/>
      </w:pPr>
    </w:lvl>
    <w:lvl w:ilvl="4" w:tplc="0C090019" w:tentative="1">
      <w:start w:val="1"/>
      <w:numFmt w:val="lowerLetter"/>
      <w:lvlText w:val="%5."/>
      <w:lvlJc w:val="left"/>
      <w:pPr>
        <w:ind w:left="4380" w:hanging="360"/>
      </w:pPr>
    </w:lvl>
    <w:lvl w:ilvl="5" w:tplc="0C09001B" w:tentative="1">
      <w:start w:val="1"/>
      <w:numFmt w:val="lowerRoman"/>
      <w:lvlText w:val="%6."/>
      <w:lvlJc w:val="right"/>
      <w:pPr>
        <w:ind w:left="5100" w:hanging="180"/>
      </w:pPr>
    </w:lvl>
    <w:lvl w:ilvl="6" w:tplc="0C09000F" w:tentative="1">
      <w:start w:val="1"/>
      <w:numFmt w:val="decimal"/>
      <w:lvlText w:val="%7."/>
      <w:lvlJc w:val="left"/>
      <w:pPr>
        <w:ind w:left="5820" w:hanging="360"/>
      </w:pPr>
    </w:lvl>
    <w:lvl w:ilvl="7" w:tplc="0C090019" w:tentative="1">
      <w:start w:val="1"/>
      <w:numFmt w:val="lowerLetter"/>
      <w:lvlText w:val="%8."/>
      <w:lvlJc w:val="left"/>
      <w:pPr>
        <w:ind w:left="6540" w:hanging="360"/>
      </w:pPr>
    </w:lvl>
    <w:lvl w:ilvl="8" w:tplc="0C09001B" w:tentative="1">
      <w:start w:val="1"/>
      <w:numFmt w:val="lowerRoman"/>
      <w:lvlText w:val="%9."/>
      <w:lvlJc w:val="right"/>
      <w:pPr>
        <w:ind w:left="7260" w:hanging="180"/>
      </w:pPr>
    </w:lvl>
  </w:abstractNum>
  <w:abstractNum w:abstractNumId="9">
    <w:nsid w:val="20C859B0"/>
    <w:multiLevelType w:val="hybridMultilevel"/>
    <w:tmpl w:val="0E5084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22380533"/>
    <w:multiLevelType w:val="hybridMultilevel"/>
    <w:tmpl w:val="DE4470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2B7F61FB"/>
    <w:multiLevelType w:val="hybridMultilevel"/>
    <w:tmpl w:val="37FE8D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30417C3C"/>
    <w:multiLevelType w:val="hybridMultilevel"/>
    <w:tmpl w:val="C366C2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333941D9"/>
    <w:multiLevelType w:val="hybridMultilevel"/>
    <w:tmpl w:val="5BBA6EF6"/>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4">
    <w:nsid w:val="35677D42"/>
    <w:multiLevelType w:val="hybridMultilevel"/>
    <w:tmpl w:val="619CF4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39DC6FAA"/>
    <w:multiLevelType w:val="hybridMultilevel"/>
    <w:tmpl w:val="2F3430B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3A447D03"/>
    <w:multiLevelType w:val="hybridMultilevel"/>
    <w:tmpl w:val="85663D62"/>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7">
    <w:nsid w:val="3E9A4BC7"/>
    <w:multiLevelType w:val="hybridMultilevel"/>
    <w:tmpl w:val="A4DC36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3F0C7808"/>
    <w:multiLevelType w:val="hybridMultilevel"/>
    <w:tmpl w:val="2E5265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40C74721"/>
    <w:multiLevelType w:val="hybridMultilevel"/>
    <w:tmpl w:val="C428AF1E"/>
    <w:lvl w:ilvl="0" w:tplc="6694C358">
      <w:start w:val="1"/>
      <w:numFmt w:val="lowerLetter"/>
      <w:lvlText w:val="%1)"/>
      <w:lvlJc w:val="left"/>
      <w:pPr>
        <w:ind w:left="900" w:hanging="54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43751986"/>
    <w:multiLevelType w:val="hybridMultilevel"/>
    <w:tmpl w:val="DD94057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1">
    <w:nsid w:val="453131E7"/>
    <w:multiLevelType w:val="hybridMultilevel"/>
    <w:tmpl w:val="6A98A3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48C14A43"/>
    <w:multiLevelType w:val="hybridMultilevel"/>
    <w:tmpl w:val="6EDEC4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4AF56EC4"/>
    <w:multiLevelType w:val="hybridMultilevel"/>
    <w:tmpl w:val="DA6290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4CE12145"/>
    <w:multiLevelType w:val="hybridMultilevel"/>
    <w:tmpl w:val="64463DC8"/>
    <w:lvl w:ilvl="0" w:tplc="0C090001">
      <w:start w:val="1"/>
      <w:numFmt w:val="bullet"/>
      <w:lvlText w:val=""/>
      <w:lvlJc w:val="left"/>
      <w:pPr>
        <w:tabs>
          <w:tab w:val="num" w:pos="720"/>
        </w:tabs>
        <w:ind w:left="720" w:hanging="360"/>
      </w:pPr>
      <w:rPr>
        <w:rFonts w:ascii="Symbol" w:hAnsi="Symbol" w:hint="default"/>
      </w:rPr>
    </w:lvl>
    <w:lvl w:ilvl="1" w:tplc="0C09000F">
      <w:start w:val="1"/>
      <w:numFmt w:val="decimal"/>
      <w:lvlText w:val="%2."/>
      <w:lvlJc w:val="left"/>
      <w:pPr>
        <w:tabs>
          <w:tab w:val="num" w:pos="1440"/>
        </w:tabs>
        <w:ind w:left="1440" w:hanging="360"/>
      </w:pPr>
      <w:rPr>
        <w:rFonts w:cs="Times New Roman" w:hint="default"/>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5">
    <w:nsid w:val="5175320F"/>
    <w:multiLevelType w:val="hybridMultilevel"/>
    <w:tmpl w:val="36FA6EBA"/>
    <w:lvl w:ilvl="0" w:tplc="0C090001">
      <w:start w:val="1"/>
      <w:numFmt w:val="bullet"/>
      <w:lvlText w:val=""/>
      <w:lvlJc w:val="left"/>
      <w:pPr>
        <w:ind w:left="1050" w:hanging="360"/>
      </w:pPr>
      <w:rPr>
        <w:rFonts w:ascii="Symbol" w:hAnsi="Symbol" w:hint="default"/>
      </w:rPr>
    </w:lvl>
    <w:lvl w:ilvl="1" w:tplc="0C090003">
      <w:start w:val="1"/>
      <w:numFmt w:val="bullet"/>
      <w:lvlText w:val="o"/>
      <w:lvlJc w:val="left"/>
      <w:pPr>
        <w:ind w:left="1770" w:hanging="360"/>
      </w:pPr>
      <w:rPr>
        <w:rFonts w:ascii="Courier New" w:hAnsi="Courier New" w:cs="Courier New" w:hint="default"/>
      </w:rPr>
    </w:lvl>
    <w:lvl w:ilvl="2" w:tplc="0C090005" w:tentative="1">
      <w:start w:val="1"/>
      <w:numFmt w:val="bullet"/>
      <w:lvlText w:val=""/>
      <w:lvlJc w:val="left"/>
      <w:pPr>
        <w:ind w:left="2490" w:hanging="360"/>
      </w:pPr>
      <w:rPr>
        <w:rFonts w:ascii="Wingdings" w:hAnsi="Wingdings" w:hint="default"/>
      </w:rPr>
    </w:lvl>
    <w:lvl w:ilvl="3" w:tplc="0C090001" w:tentative="1">
      <w:start w:val="1"/>
      <w:numFmt w:val="bullet"/>
      <w:lvlText w:val=""/>
      <w:lvlJc w:val="left"/>
      <w:pPr>
        <w:ind w:left="3210" w:hanging="360"/>
      </w:pPr>
      <w:rPr>
        <w:rFonts w:ascii="Symbol" w:hAnsi="Symbol" w:hint="default"/>
      </w:rPr>
    </w:lvl>
    <w:lvl w:ilvl="4" w:tplc="0C090003" w:tentative="1">
      <w:start w:val="1"/>
      <w:numFmt w:val="bullet"/>
      <w:lvlText w:val="o"/>
      <w:lvlJc w:val="left"/>
      <w:pPr>
        <w:ind w:left="3930" w:hanging="360"/>
      </w:pPr>
      <w:rPr>
        <w:rFonts w:ascii="Courier New" w:hAnsi="Courier New" w:cs="Courier New" w:hint="default"/>
      </w:rPr>
    </w:lvl>
    <w:lvl w:ilvl="5" w:tplc="0C090005" w:tentative="1">
      <w:start w:val="1"/>
      <w:numFmt w:val="bullet"/>
      <w:lvlText w:val=""/>
      <w:lvlJc w:val="left"/>
      <w:pPr>
        <w:ind w:left="4650" w:hanging="360"/>
      </w:pPr>
      <w:rPr>
        <w:rFonts w:ascii="Wingdings" w:hAnsi="Wingdings" w:hint="default"/>
      </w:rPr>
    </w:lvl>
    <w:lvl w:ilvl="6" w:tplc="0C090001" w:tentative="1">
      <w:start w:val="1"/>
      <w:numFmt w:val="bullet"/>
      <w:lvlText w:val=""/>
      <w:lvlJc w:val="left"/>
      <w:pPr>
        <w:ind w:left="5370" w:hanging="360"/>
      </w:pPr>
      <w:rPr>
        <w:rFonts w:ascii="Symbol" w:hAnsi="Symbol" w:hint="default"/>
      </w:rPr>
    </w:lvl>
    <w:lvl w:ilvl="7" w:tplc="0C090003" w:tentative="1">
      <w:start w:val="1"/>
      <w:numFmt w:val="bullet"/>
      <w:lvlText w:val="o"/>
      <w:lvlJc w:val="left"/>
      <w:pPr>
        <w:ind w:left="6090" w:hanging="360"/>
      </w:pPr>
      <w:rPr>
        <w:rFonts w:ascii="Courier New" w:hAnsi="Courier New" w:cs="Courier New" w:hint="default"/>
      </w:rPr>
    </w:lvl>
    <w:lvl w:ilvl="8" w:tplc="0C090005" w:tentative="1">
      <w:start w:val="1"/>
      <w:numFmt w:val="bullet"/>
      <w:lvlText w:val=""/>
      <w:lvlJc w:val="left"/>
      <w:pPr>
        <w:ind w:left="6810" w:hanging="360"/>
      </w:pPr>
      <w:rPr>
        <w:rFonts w:ascii="Wingdings" w:hAnsi="Wingdings" w:hint="default"/>
      </w:rPr>
    </w:lvl>
  </w:abstractNum>
  <w:abstractNum w:abstractNumId="26">
    <w:nsid w:val="51893151"/>
    <w:multiLevelType w:val="hybridMultilevel"/>
    <w:tmpl w:val="3B08F6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57BA30FC"/>
    <w:multiLevelType w:val="hybridMultilevel"/>
    <w:tmpl w:val="94D09B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59402854"/>
    <w:multiLevelType w:val="hybridMultilevel"/>
    <w:tmpl w:val="9780830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9">
    <w:nsid w:val="5BCA1B77"/>
    <w:multiLevelType w:val="hybridMultilevel"/>
    <w:tmpl w:val="9D2C4A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61D26DB2"/>
    <w:multiLevelType w:val="hybridMultilevel"/>
    <w:tmpl w:val="29F06176"/>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31">
    <w:nsid w:val="67DE7C75"/>
    <w:multiLevelType w:val="hybridMultilevel"/>
    <w:tmpl w:val="DCF075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691C1F28"/>
    <w:multiLevelType w:val="hybridMultilevel"/>
    <w:tmpl w:val="E0781FF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3">
    <w:nsid w:val="69C56FB6"/>
    <w:multiLevelType w:val="hybridMultilevel"/>
    <w:tmpl w:val="C66EF0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6B167E26"/>
    <w:multiLevelType w:val="hybridMultilevel"/>
    <w:tmpl w:val="E33C3134"/>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35">
    <w:nsid w:val="6B4F16EF"/>
    <w:multiLevelType w:val="hybridMultilevel"/>
    <w:tmpl w:val="156AED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70B9359E"/>
    <w:multiLevelType w:val="hybridMultilevel"/>
    <w:tmpl w:val="793EC302"/>
    <w:lvl w:ilvl="0" w:tplc="0C09000F">
      <w:start w:val="1"/>
      <w:numFmt w:val="decimal"/>
      <w:lvlText w:val="%1."/>
      <w:lvlJc w:val="left"/>
      <w:pPr>
        <w:tabs>
          <w:tab w:val="num" w:pos="720"/>
        </w:tabs>
        <w:ind w:left="720" w:hanging="360"/>
      </w:pPr>
      <w:rPr>
        <w:rFonts w:cs="Times New Roman"/>
      </w:rPr>
    </w:lvl>
    <w:lvl w:ilvl="1" w:tplc="0C090019">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37">
    <w:nsid w:val="70D3123B"/>
    <w:multiLevelType w:val="hybridMultilevel"/>
    <w:tmpl w:val="B63A78D8"/>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nsid w:val="79132476"/>
    <w:multiLevelType w:val="hybridMultilevel"/>
    <w:tmpl w:val="E5B4EF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nsid w:val="7CF3507D"/>
    <w:multiLevelType w:val="hybridMultilevel"/>
    <w:tmpl w:val="DED4E5AE"/>
    <w:lvl w:ilvl="0" w:tplc="602E43EA">
      <w:start w:val="4"/>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nsid w:val="7E067E12"/>
    <w:multiLevelType w:val="hybridMultilevel"/>
    <w:tmpl w:val="95788C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21"/>
  </w:num>
  <w:num w:numId="3">
    <w:abstractNumId w:val="14"/>
  </w:num>
  <w:num w:numId="4">
    <w:abstractNumId w:val="25"/>
  </w:num>
  <w:num w:numId="5">
    <w:abstractNumId w:val="17"/>
  </w:num>
  <w:num w:numId="6">
    <w:abstractNumId w:val="2"/>
  </w:num>
  <w:num w:numId="7">
    <w:abstractNumId w:val="10"/>
  </w:num>
  <w:num w:numId="8">
    <w:abstractNumId w:val="29"/>
  </w:num>
  <w:num w:numId="9">
    <w:abstractNumId w:val="35"/>
  </w:num>
  <w:num w:numId="10">
    <w:abstractNumId w:val="13"/>
  </w:num>
  <w:num w:numId="11">
    <w:abstractNumId w:val="8"/>
  </w:num>
  <w:num w:numId="12">
    <w:abstractNumId w:val="39"/>
  </w:num>
  <w:num w:numId="13">
    <w:abstractNumId w:val="6"/>
  </w:num>
  <w:num w:numId="14">
    <w:abstractNumId w:val="9"/>
  </w:num>
  <w:num w:numId="15">
    <w:abstractNumId w:val="31"/>
  </w:num>
  <w:num w:numId="16">
    <w:abstractNumId w:val="23"/>
  </w:num>
  <w:num w:numId="17">
    <w:abstractNumId w:val="4"/>
  </w:num>
  <w:num w:numId="18">
    <w:abstractNumId w:val="34"/>
  </w:num>
  <w:num w:numId="19">
    <w:abstractNumId w:val="22"/>
  </w:num>
  <w:num w:numId="20">
    <w:abstractNumId w:val="27"/>
  </w:num>
  <w:num w:numId="21">
    <w:abstractNumId w:val="18"/>
  </w:num>
  <w:num w:numId="22">
    <w:abstractNumId w:val="30"/>
  </w:num>
  <w:num w:numId="23">
    <w:abstractNumId w:val="16"/>
  </w:num>
  <w:num w:numId="24">
    <w:abstractNumId w:val="38"/>
  </w:num>
  <w:num w:numId="25">
    <w:abstractNumId w:val="1"/>
  </w:num>
  <w:num w:numId="26">
    <w:abstractNumId w:val="3"/>
  </w:num>
  <w:num w:numId="27">
    <w:abstractNumId w:val="19"/>
  </w:num>
  <w:num w:numId="28">
    <w:abstractNumId w:val="15"/>
  </w:num>
  <w:num w:numId="29">
    <w:abstractNumId w:val="37"/>
  </w:num>
  <w:num w:numId="30">
    <w:abstractNumId w:val="20"/>
  </w:num>
  <w:num w:numId="31">
    <w:abstractNumId w:val="7"/>
  </w:num>
  <w:num w:numId="32">
    <w:abstractNumId w:val="28"/>
  </w:num>
  <w:num w:numId="33">
    <w:abstractNumId w:val="5"/>
  </w:num>
  <w:num w:numId="34">
    <w:abstractNumId w:val="26"/>
  </w:num>
  <w:num w:numId="35">
    <w:abstractNumId w:val="12"/>
  </w:num>
  <w:num w:numId="36">
    <w:abstractNumId w:val="33"/>
  </w:num>
  <w:num w:numId="37">
    <w:abstractNumId w:val="11"/>
  </w:num>
  <w:num w:numId="38">
    <w:abstractNumId w:val="40"/>
  </w:num>
  <w:num w:numId="39">
    <w:abstractNumId w:val="36"/>
  </w:num>
  <w:num w:numId="40">
    <w:abstractNumId w:val="24"/>
  </w:num>
  <w:num w:numId="41">
    <w:abstractNumId w:val="3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obyn Ward">
    <w15:presenceInfo w15:providerId="Windows Live" w15:userId="2f8c0452c87ad33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4895"/>
    <w:rsid w:val="00001069"/>
    <w:rsid w:val="00003B18"/>
    <w:rsid w:val="00004D8E"/>
    <w:rsid w:val="0000533F"/>
    <w:rsid w:val="0001083A"/>
    <w:rsid w:val="00011D07"/>
    <w:rsid w:val="00014B57"/>
    <w:rsid w:val="00016845"/>
    <w:rsid w:val="00020647"/>
    <w:rsid w:val="00020DB3"/>
    <w:rsid w:val="0002168E"/>
    <w:rsid w:val="00021A25"/>
    <w:rsid w:val="00021D72"/>
    <w:rsid w:val="0002216A"/>
    <w:rsid w:val="00022817"/>
    <w:rsid w:val="00022BF0"/>
    <w:rsid w:val="000239C7"/>
    <w:rsid w:val="00024135"/>
    <w:rsid w:val="00025541"/>
    <w:rsid w:val="00026973"/>
    <w:rsid w:val="00031489"/>
    <w:rsid w:val="00040389"/>
    <w:rsid w:val="0004307C"/>
    <w:rsid w:val="000513C2"/>
    <w:rsid w:val="00052B4A"/>
    <w:rsid w:val="000554AF"/>
    <w:rsid w:val="00056972"/>
    <w:rsid w:val="00062212"/>
    <w:rsid w:val="00062CAA"/>
    <w:rsid w:val="00064AFB"/>
    <w:rsid w:val="00065DB7"/>
    <w:rsid w:val="00070F5F"/>
    <w:rsid w:val="0007139F"/>
    <w:rsid w:val="000722FE"/>
    <w:rsid w:val="00072CAC"/>
    <w:rsid w:val="00073039"/>
    <w:rsid w:val="00074D4F"/>
    <w:rsid w:val="00082194"/>
    <w:rsid w:val="000845EF"/>
    <w:rsid w:val="00084A1A"/>
    <w:rsid w:val="00084D40"/>
    <w:rsid w:val="00085B7E"/>
    <w:rsid w:val="000860EF"/>
    <w:rsid w:val="00086469"/>
    <w:rsid w:val="0008672E"/>
    <w:rsid w:val="00091237"/>
    <w:rsid w:val="00091665"/>
    <w:rsid w:val="00091FE3"/>
    <w:rsid w:val="000929A0"/>
    <w:rsid w:val="00093AB2"/>
    <w:rsid w:val="00094437"/>
    <w:rsid w:val="00094895"/>
    <w:rsid w:val="000951F1"/>
    <w:rsid w:val="000971E4"/>
    <w:rsid w:val="000A4266"/>
    <w:rsid w:val="000B1338"/>
    <w:rsid w:val="000B1972"/>
    <w:rsid w:val="000B2FA8"/>
    <w:rsid w:val="000B4E81"/>
    <w:rsid w:val="000B61EB"/>
    <w:rsid w:val="000B7402"/>
    <w:rsid w:val="000C33E3"/>
    <w:rsid w:val="000C3F9C"/>
    <w:rsid w:val="000C415A"/>
    <w:rsid w:val="000C45C5"/>
    <w:rsid w:val="000C5A10"/>
    <w:rsid w:val="000C5B66"/>
    <w:rsid w:val="000C65DC"/>
    <w:rsid w:val="000D3216"/>
    <w:rsid w:val="000D4703"/>
    <w:rsid w:val="000D542F"/>
    <w:rsid w:val="000E5F9E"/>
    <w:rsid w:val="000F0D8D"/>
    <w:rsid w:val="000F1B9D"/>
    <w:rsid w:val="000F2C85"/>
    <w:rsid w:val="000F57C6"/>
    <w:rsid w:val="000F65D6"/>
    <w:rsid w:val="000F73B0"/>
    <w:rsid w:val="000F7D93"/>
    <w:rsid w:val="00100491"/>
    <w:rsid w:val="00101AC5"/>
    <w:rsid w:val="00101C94"/>
    <w:rsid w:val="00110987"/>
    <w:rsid w:val="00117013"/>
    <w:rsid w:val="001211FA"/>
    <w:rsid w:val="00122B9F"/>
    <w:rsid w:val="00122E27"/>
    <w:rsid w:val="0012657A"/>
    <w:rsid w:val="0012731F"/>
    <w:rsid w:val="001335B4"/>
    <w:rsid w:val="00133E86"/>
    <w:rsid w:val="001360B1"/>
    <w:rsid w:val="0013642D"/>
    <w:rsid w:val="00147193"/>
    <w:rsid w:val="0015081B"/>
    <w:rsid w:val="0015417B"/>
    <w:rsid w:val="0015642A"/>
    <w:rsid w:val="00157923"/>
    <w:rsid w:val="00161324"/>
    <w:rsid w:val="00166A8F"/>
    <w:rsid w:val="001712A0"/>
    <w:rsid w:val="001733D7"/>
    <w:rsid w:val="00175F41"/>
    <w:rsid w:val="00176EDB"/>
    <w:rsid w:val="00180015"/>
    <w:rsid w:val="00181AD6"/>
    <w:rsid w:val="00181EE7"/>
    <w:rsid w:val="001825D9"/>
    <w:rsid w:val="0019238D"/>
    <w:rsid w:val="00194D5B"/>
    <w:rsid w:val="00194E2E"/>
    <w:rsid w:val="001955DD"/>
    <w:rsid w:val="00197292"/>
    <w:rsid w:val="001977CD"/>
    <w:rsid w:val="001A063B"/>
    <w:rsid w:val="001A0D98"/>
    <w:rsid w:val="001A2597"/>
    <w:rsid w:val="001A43C3"/>
    <w:rsid w:val="001A5663"/>
    <w:rsid w:val="001B14CD"/>
    <w:rsid w:val="001C1B66"/>
    <w:rsid w:val="001C1B97"/>
    <w:rsid w:val="001C5A98"/>
    <w:rsid w:val="001C7BCC"/>
    <w:rsid w:val="001C7D8B"/>
    <w:rsid w:val="001D169C"/>
    <w:rsid w:val="001D1787"/>
    <w:rsid w:val="001D3B0C"/>
    <w:rsid w:val="001E13D9"/>
    <w:rsid w:val="001E20A1"/>
    <w:rsid w:val="001E43EC"/>
    <w:rsid w:val="001E53DC"/>
    <w:rsid w:val="001E7664"/>
    <w:rsid w:val="001F164E"/>
    <w:rsid w:val="001F16CF"/>
    <w:rsid w:val="001F53A9"/>
    <w:rsid w:val="001F6F63"/>
    <w:rsid w:val="001F7455"/>
    <w:rsid w:val="00205545"/>
    <w:rsid w:val="00205901"/>
    <w:rsid w:val="002065BE"/>
    <w:rsid w:val="0021027E"/>
    <w:rsid w:val="00212C4A"/>
    <w:rsid w:val="00216437"/>
    <w:rsid w:val="00220C9F"/>
    <w:rsid w:val="0022525F"/>
    <w:rsid w:val="00227546"/>
    <w:rsid w:val="00233AF2"/>
    <w:rsid w:val="002349E7"/>
    <w:rsid w:val="00237489"/>
    <w:rsid w:val="00245856"/>
    <w:rsid w:val="00246580"/>
    <w:rsid w:val="0025470E"/>
    <w:rsid w:val="002563AE"/>
    <w:rsid w:val="00257DD0"/>
    <w:rsid w:val="002619A5"/>
    <w:rsid w:val="0027388E"/>
    <w:rsid w:val="00285B25"/>
    <w:rsid w:val="002926CF"/>
    <w:rsid w:val="00295290"/>
    <w:rsid w:val="002968C6"/>
    <w:rsid w:val="002A1CED"/>
    <w:rsid w:val="002A2482"/>
    <w:rsid w:val="002A2A65"/>
    <w:rsid w:val="002A4E81"/>
    <w:rsid w:val="002A6945"/>
    <w:rsid w:val="002A6C23"/>
    <w:rsid w:val="002A784B"/>
    <w:rsid w:val="002A78D0"/>
    <w:rsid w:val="002B1A32"/>
    <w:rsid w:val="002B2EA6"/>
    <w:rsid w:val="002B4C4C"/>
    <w:rsid w:val="002B56AE"/>
    <w:rsid w:val="002C0212"/>
    <w:rsid w:val="002C40DC"/>
    <w:rsid w:val="002C529B"/>
    <w:rsid w:val="002C6789"/>
    <w:rsid w:val="002D04A3"/>
    <w:rsid w:val="002D158C"/>
    <w:rsid w:val="002D1CED"/>
    <w:rsid w:val="002D3B5C"/>
    <w:rsid w:val="002D3E9E"/>
    <w:rsid w:val="002D5CAC"/>
    <w:rsid w:val="002D601E"/>
    <w:rsid w:val="002D69CD"/>
    <w:rsid w:val="002D7A13"/>
    <w:rsid w:val="002D7C45"/>
    <w:rsid w:val="002D7CFF"/>
    <w:rsid w:val="002E0D30"/>
    <w:rsid w:val="002E1034"/>
    <w:rsid w:val="002E2B51"/>
    <w:rsid w:val="002E4674"/>
    <w:rsid w:val="002E522F"/>
    <w:rsid w:val="002E7AB8"/>
    <w:rsid w:val="002F1D9F"/>
    <w:rsid w:val="002F57E5"/>
    <w:rsid w:val="002F5D47"/>
    <w:rsid w:val="00300965"/>
    <w:rsid w:val="00303A33"/>
    <w:rsid w:val="00307E19"/>
    <w:rsid w:val="003105CB"/>
    <w:rsid w:val="00310F75"/>
    <w:rsid w:val="003126E8"/>
    <w:rsid w:val="003140F2"/>
    <w:rsid w:val="003153C6"/>
    <w:rsid w:val="00316D36"/>
    <w:rsid w:val="003232FA"/>
    <w:rsid w:val="00324284"/>
    <w:rsid w:val="00324DF9"/>
    <w:rsid w:val="0033036E"/>
    <w:rsid w:val="00332595"/>
    <w:rsid w:val="0033420A"/>
    <w:rsid w:val="003350F6"/>
    <w:rsid w:val="00337971"/>
    <w:rsid w:val="00342293"/>
    <w:rsid w:val="003441D2"/>
    <w:rsid w:val="003469A6"/>
    <w:rsid w:val="00350EAE"/>
    <w:rsid w:val="0035130D"/>
    <w:rsid w:val="003534E5"/>
    <w:rsid w:val="00361DA7"/>
    <w:rsid w:val="003635C4"/>
    <w:rsid w:val="003651E7"/>
    <w:rsid w:val="00365889"/>
    <w:rsid w:val="00365907"/>
    <w:rsid w:val="00366099"/>
    <w:rsid w:val="00371965"/>
    <w:rsid w:val="00371AC3"/>
    <w:rsid w:val="00372005"/>
    <w:rsid w:val="00372C28"/>
    <w:rsid w:val="003731D8"/>
    <w:rsid w:val="0037396A"/>
    <w:rsid w:val="003743E8"/>
    <w:rsid w:val="003761A4"/>
    <w:rsid w:val="003804FE"/>
    <w:rsid w:val="00382E0E"/>
    <w:rsid w:val="0038511E"/>
    <w:rsid w:val="00386EEC"/>
    <w:rsid w:val="00387030"/>
    <w:rsid w:val="0038792F"/>
    <w:rsid w:val="00397DAB"/>
    <w:rsid w:val="003A16BF"/>
    <w:rsid w:val="003A3E5B"/>
    <w:rsid w:val="003A564C"/>
    <w:rsid w:val="003A5B76"/>
    <w:rsid w:val="003A5DC3"/>
    <w:rsid w:val="003A69B1"/>
    <w:rsid w:val="003A6D4D"/>
    <w:rsid w:val="003A7926"/>
    <w:rsid w:val="003A7E32"/>
    <w:rsid w:val="003A7EC1"/>
    <w:rsid w:val="003B2CF4"/>
    <w:rsid w:val="003B53BD"/>
    <w:rsid w:val="003B6625"/>
    <w:rsid w:val="003B70A8"/>
    <w:rsid w:val="003C566F"/>
    <w:rsid w:val="003C58FA"/>
    <w:rsid w:val="003C756F"/>
    <w:rsid w:val="003C762A"/>
    <w:rsid w:val="003D33A0"/>
    <w:rsid w:val="003E162B"/>
    <w:rsid w:val="003E26B1"/>
    <w:rsid w:val="003E44D6"/>
    <w:rsid w:val="003F0802"/>
    <w:rsid w:val="003F1C18"/>
    <w:rsid w:val="003F1DBC"/>
    <w:rsid w:val="003F502A"/>
    <w:rsid w:val="003F7E09"/>
    <w:rsid w:val="00401974"/>
    <w:rsid w:val="00404FBF"/>
    <w:rsid w:val="004071C5"/>
    <w:rsid w:val="00410AB7"/>
    <w:rsid w:val="00411739"/>
    <w:rsid w:val="004157CE"/>
    <w:rsid w:val="00417F5C"/>
    <w:rsid w:val="00421EC6"/>
    <w:rsid w:val="00423230"/>
    <w:rsid w:val="00431E70"/>
    <w:rsid w:val="0043203D"/>
    <w:rsid w:val="0043469D"/>
    <w:rsid w:val="00434F88"/>
    <w:rsid w:val="00440DE3"/>
    <w:rsid w:val="0044493D"/>
    <w:rsid w:val="00444B7A"/>
    <w:rsid w:val="00450354"/>
    <w:rsid w:val="00451E0F"/>
    <w:rsid w:val="004559C4"/>
    <w:rsid w:val="0045714C"/>
    <w:rsid w:val="004608F8"/>
    <w:rsid w:val="00460AFB"/>
    <w:rsid w:val="004626AB"/>
    <w:rsid w:val="00463A01"/>
    <w:rsid w:val="00463A26"/>
    <w:rsid w:val="00464F36"/>
    <w:rsid w:val="00471C26"/>
    <w:rsid w:val="004749CB"/>
    <w:rsid w:val="00482B87"/>
    <w:rsid w:val="00486420"/>
    <w:rsid w:val="004905FA"/>
    <w:rsid w:val="00491536"/>
    <w:rsid w:val="00491793"/>
    <w:rsid w:val="00492D6D"/>
    <w:rsid w:val="00493BB8"/>
    <w:rsid w:val="004A25D2"/>
    <w:rsid w:val="004A2EF7"/>
    <w:rsid w:val="004A373D"/>
    <w:rsid w:val="004A3F2D"/>
    <w:rsid w:val="004A5618"/>
    <w:rsid w:val="004A6BBC"/>
    <w:rsid w:val="004A7499"/>
    <w:rsid w:val="004B0B38"/>
    <w:rsid w:val="004B3035"/>
    <w:rsid w:val="004B40F7"/>
    <w:rsid w:val="004B4322"/>
    <w:rsid w:val="004B509C"/>
    <w:rsid w:val="004B6100"/>
    <w:rsid w:val="004B798F"/>
    <w:rsid w:val="004C0BA9"/>
    <w:rsid w:val="004C1A47"/>
    <w:rsid w:val="004C4448"/>
    <w:rsid w:val="004C5454"/>
    <w:rsid w:val="004C6214"/>
    <w:rsid w:val="004D14A0"/>
    <w:rsid w:val="004D1551"/>
    <w:rsid w:val="004D218B"/>
    <w:rsid w:val="004D30F3"/>
    <w:rsid w:val="004D3157"/>
    <w:rsid w:val="004D698B"/>
    <w:rsid w:val="004D71D3"/>
    <w:rsid w:val="004E0D96"/>
    <w:rsid w:val="004E131A"/>
    <w:rsid w:val="004E1617"/>
    <w:rsid w:val="004E48CE"/>
    <w:rsid w:val="004E60BF"/>
    <w:rsid w:val="004E7C13"/>
    <w:rsid w:val="004F3436"/>
    <w:rsid w:val="004F3CE7"/>
    <w:rsid w:val="004F4343"/>
    <w:rsid w:val="004F7381"/>
    <w:rsid w:val="00501609"/>
    <w:rsid w:val="005044C0"/>
    <w:rsid w:val="00504C2E"/>
    <w:rsid w:val="005053EC"/>
    <w:rsid w:val="005058B4"/>
    <w:rsid w:val="00512951"/>
    <w:rsid w:val="00516413"/>
    <w:rsid w:val="005176CD"/>
    <w:rsid w:val="00517EB8"/>
    <w:rsid w:val="005270E2"/>
    <w:rsid w:val="005325E3"/>
    <w:rsid w:val="00533EA9"/>
    <w:rsid w:val="00533F56"/>
    <w:rsid w:val="0053535C"/>
    <w:rsid w:val="005357D7"/>
    <w:rsid w:val="0053614C"/>
    <w:rsid w:val="00536435"/>
    <w:rsid w:val="00536CF0"/>
    <w:rsid w:val="0053765B"/>
    <w:rsid w:val="00540BDC"/>
    <w:rsid w:val="005442B0"/>
    <w:rsid w:val="005447E1"/>
    <w:rsid w:val="0055000E"/>
    <w:rsid w:val="005503EE"/>
    <w:rsid w:val="00551182"/>
    <w:rsid w:val="00552A62"/>
    <w:rsid w:val="005542A2"/>
    <w:rsid w:val="00556261"/>
    <w:rsid w:val="005616BB"/>
    <w:rsid w:val="00561D79"/>
    <w:rsid w:val="00564965"/>
    <w:rsid w:val="00565EB7"/>
    <w:rsid w:val="00573E45"/>
    <w:rsid w:val="00575928"/>
    <w:rsid w:val="00576AD4"/>
    <w:rsid w:val="005802A3"/>
    <w:rsid w:val="0058050A"/>
    <w:rsid w:val="00584979"/>
    <w:rsid w:val="00586FB1"/>
    <w:rsid w:val="00593184"/>
    <w:rsid w:val="005950F1"/>
    <w:rsid w:val="005A185B"/>
    <w:rsid w:val="005A2AF3"/>
    <w:rsid w:val="005A37DF"/>
    <w:rsid w:val="005A5CE3"/>
    <w:rsid w:val="005A5E45"/>
    <w:rsid w:val="005B7D68"/>
    <w:rsid w:val="005C00CB"/>
    <w:rsid w:val="005C2761"/>
    <w:rsid w:val="005C5E8B"/>
    <w:rsid w:val="005D17BD"/>
    <w:rsid w:val="005D1B4D"/>
    <w:rsid w:val="005D7E12"/>
    <w:rsid w:val="005E0503"/>
    <w:rsid w:val="005E14B7"/>
    <w:rsid w:val="005E39E4"/>
    <w:rsid w:val="005E432F"/>
    <w:rsid w:val="005E460B"/>
    <w:rsid w:val="005F0FBC"/>
    <w:rsid w:val="005F6D66"/>
    <w:rsid w:val="005F7E23"/>
    <w:rsid w:val="006005AE"/>
    <w:rsid w:val="00601914"/>
    <w:rsid w:val="006047BB"/>
    <w:rsid w:val="006051C6"/>
    <w:rsid w:val="00607B2B"/>
    <w:rsid w:val="00610459"/>
    <w:rsid w:val="00614F08"/>
    <w:rsid w:val="00615E5D"/>
    <w:rsid w:val="00617A54"/>
    <w:rsid w:val="00620035"/>
    <w:rsid w:val="006210DB"/>
    <w:rsid w:val="00621971"/>
    <w:rsid w:val="006223A0"/>
    <w:rsid w:val="00623F1D"/>
    <w:rsid w:val="00625DF1"/>
    <w:rsid w:val="006305A9"/>
    <w:rsid w:val="00635B8B"/>
    <w:rsid w:val="00636228"/>
    <w:rsid w:val="00636B66"/>
    <w:rsid w:val="00640A45"/>
    <w:rsid w:val="006417F5"/>
    <w:rsid w:val="006440C6"/>
    <w:rsid w:val="006450DB"/>
    <w:rsid w:val="006452FA"/>
    <w:rsid w:val="00647823"/>
    <w:rsid w:val="0065271D"/>
    <w:rsid w:val="00654F9B"/>
    <w:rsid w:val="00661317"/>
    <w:rsid w:val="0066385A"/>
    <w:rsid w:val="00670BF2"/>
    <w:rsid w:val="00671252"/>
    <w:rsid w:val="006714DE"/>
    <w:rsid w:val="0067174C"/>
    <w:rsid w:val="0067201E"/>
    <w:rsid w:val="006729A6"/>
    <w:rsid w:val="00673419"/>
    <w:rsid w:val="00673E3E"/>
    <w:rsid w:val="00676928"/>
    <w:rsid w:val="00680334"/>
    <w:rsid w:val="0068517D"/>
    <w:rsid w:val="00685A08"/>
    <w:rsid w:val="0068605B"/>
    <w:rsid w:val="0068609E"/>
    <w:rsid w:val="00686671"/>
    <w:rsid w:val="00687753"/>
    <w:rsid w:val="00691CEF"/>
    <w:rsid w:val="00692490"/>
    <w:rsid w:val="006932FC"/>
    <w:rsid w:val="00696D37"/>
    <w:rsid w:val="006A040F"/>
    <w:rsid w:val="006A0F9D"/>
    <w:rsid w:val="006A1480"/>
    <w:rsid w:val="006A1B26"/>
    <w:rsid w:val="006A2314"/>
    <w:rsid w:val="006A49C3"/>
    <w:rsid w:val="006B3059"/>
    <w:rsid w:val="006C0011"/>
    <w:rsid w:val="006C00BF"/>
    <w:rsid w:val="006C277C"/>
    <w:rsid w:val="006C3010"/>
    <w:rsid w:val="006C5B35"/>
    <w:rsid w:val="006C5DC9"/>
    <w:rsid w:val="006C69CA"/>
    <w:rsid w:val="006C7312"/>
    <w:rsid w:val="006C7EBC"/>
    <w:rsid w:val="006D0137"/>
    <w:rsid w:val="006D0342"/>
    <w:rsid w:val="006D112A"/>
    <w:rsid w:val="006D3903"/>
    <w:rsid w:val="006E14DF"/>
    <w:rsid w:val="006E34E1"/>
    <w:rsid w:val="006E6308"/>
    <w:rsid w:val="006E75F6"/>
    <w:rsid w:val="006F065D"/>
    <w:rsid w:val="006F248A"/>
    <w:rsid w:val="006F4389"/>
    <w:rsid w:val="006F639B"/>
    <w:rsid w:val="007054BA"/>
    <w:rsid w:val="0070580E"/>
    <w:rsid w:val="007106B1"/>
    <w:rsid w:val="0071162E"/>
    <w:rsid w:val="0071490A"/>
    <w:rsid w:val="00714CD0"/>
    <w:rsid w:val="007158D1"/>
    <w:rsid w:val="00722678"/>
    <w:rsid w:val="007230B4"/>
    <w:rsid w:val="0072373C"/>
    <w:rsid w:val="007272E6"/>
    <w:rsid w:val="00727BEE"/>
    <w:rsid w:val="0073520E"/>
    <w:rsid w:val="00736FBA"/>
    <w:rsid w:val="00741285"/>
    <w:rsid w:val="00741B45"/>
    <w:rsid w:val="007446C1"/>
    <w:rsid w:val="00744C76"/>
    <w:rsid w:val="00745494"/>
    <w:rsid w:val="00747598"/>
    <w:rsid w:val="007611EF"/>
    <w:rsid w:val="0076239F"/>
    <w:rsid w:val="00763A93"/>
    <w:rsid w:val="00763E4D"/>
    <w:rsid w:val="00765B68"/>
    <w:rsid w:val="0077203D"/>
    <w:rsid w:val="00773A81"/>
    <w:rsid w:val="00773D35"/>
    <w:rsid w:val="00775412"/>
    <w:rsid w:val="00780385"/>
    <w:rsid w:val="00780D3F"/>
    <w:rsid w:val="007810CF"/>
    <w:rsid w:val="0078460F"/>
    <w:rsid w:val="00785182"/>
    <w:rsid w:val="00786457"/>
    <w:rsid w:val="00787367"/>
    <w:rsid w:val="00787BB9"/>
    <w:rsid w:val="0079066F"/>
    <w:rsid w:val="00793B82"/>
    <w:rsid w:val="007974A9"/>
    <w:rsid w:val="00797668"/>
    <w:rsid w:val="007A252F"/>
    <w:rsid w:val="007A3FED"/>
    <w:rsid w:val="007A446A"/>
    <w:rsid w:val="007A4B27"/>
    <w:rsid w:val="007A50E4"/>
    <w:rsid w:val="007A62C8"/>
    <w:rsid w:val="007A7220"/>
    <w:rsid w:val="007A747F"/>
    <w:rsid w:val="007A75B4"/>
    <w:rsid w:val="007B069D"/>
    <w:rsid w:val="007B175C"/>
    <w:rsid w:val="007B19DA"/>
    <w:rsid w:val="007B2AA5"/>
    <w:rsid w:val="007B34B4"/>
    <w:rsid w:val="007C18EA"/>
    <w:rsid w:val="007C1B42"/>
    <w:rsid w:val="007C3084"/>
    <w:rsid w:val="007C3D50"/>
    <w:rsid w:val="007C44A5"/>
    <w:rsid w:val="007C4F51"/>
    <w:rsid w:val="007C5D22"/>
    <w:rsid w:val="007C6C4F"/>
    <w:rsid w:val="007D0AAA"/>
    <w:rsid w:val="007D23D2"/>
    <w:rsid w:val="007D4F52"/>
    <w:rsid w:val="007D60AC"/>
    <w:rsid w:val="007D723B"/>
    <w:rsid w:val="007E0758"/>
    <w:rsid w:val="007E24A0"/>
    <w:rsid w:val="007F20FA"/>
    <w:rsid w:val="007F286C"/>
    <w:rsid w:val="007F3F90"/>
    <w:rsid w:val="007F4F75"/>
    <w:rsid w:val="007F60FC"/>
    <w:rsid w:val="008011F4"/>
    <w:rsid w:val="008041BE"/>
    <w:rsid w:val="008063B4"/>
    <w:rsid w:val="00806A61"/>
    <w:rsid w:val="008078E8"/>
    <w:rsid w:val="008101C6"/>
    <w:rsid w:val="00813C25"/>
    <w:rsid w:val="00813D8C"/>
    <w:rsid w:val="00814885"/>
    <w:rsid w:val="00814AA3"/>
    <w:rsid w:val="0081575C"/>
    <w:rsid w:val="00820998"/>
    <w:rsid w:val="008230FD"/>
    <w:rsid w:val="008233A3"/>
    <w:rsid w:val="008235A9"/>
    <w:rsid w:val="0082422A"/>
    <w:rsid w:val="00825C3C"/>
    <w:rsid w:val="00827CCB"/>
    <w:rsid w:val="00831CD9"/>
    <w:rsid w:val="00833AB4"/>
    <w:rsid w:val="00834C83"/>
    <w:rsid w:val="00836BA5"/>
    <w:rsid w:val="00836F72"/>
    <w:rsid w:val="00837E62"/>
    <w:rsid w:val="008436E7"/>
    <w:rsid w:val="00850C24"/>
    <w:rsid w:val="008528F9"/>
    <w:rsid w:val="0085466F"/>
    <w:rsid w:val="00862978"/>
    <w:rsid w:val="00864BED"/>
    <w:rsid w:val="00864F7B"/>
    <w:rsid w:val="00865949"/>
    <w:rsid w:val="00866DA0"/>
    <w:rsid w:val="00867C3F"/>
    <w:rsid w:val="00874037"/>
    <w:rsid w:val="00883279"/>
    <w:rsid w:val="008847D4"/>
    <w:rsid w:val="00884A15"/>
    <w:rsid w:val="008864A5"/>
    <w:rsid w:val="00891591"/>
    <w:rsid w:val="00891FCA"/>
    <w:rsid w:val="00892EFF"/>
    <w:rsid w:val="008932FF"/>
    <w:rsid w:val="0089487D"/>
    <w:rsid w:val="0089555C"/>
    <w:rsid w:val="00895842"/>
    <w:rsid w:val="00895BCE"/>
    <w:rsid w:val="00897981"/>
    <w:rsid w:val="008A105E"/>
    <w:rsid w:val="008A1500"/>
    <w:rsid w:val="008A32E5"/>
    <w:rsid w:val="008A453B"/>
    <w:rsid w:val="008A59FE"/>
    <w:rsid w:val="008B0716"/>
    <w:rsid w:val="008B0C83"/>
    <w:rsid w:val="008B26EC"/>
    <w:rsid w:val="008B3C96"/>
    <w:rsid w:val="008B6235"/>
    <w:rsid w:val="008C2BB1"/>
    <w:rsid w:val="008C3848"/>
    <w:rsid w:val="008C4B68"/>
    <w:rsid w:val="008C7A3A"/>
    <w:rsid w:val="008D0655"/>
    <w:rsid w:val="008D09D9"/>
    <w:rsid w:val="008D0BFE"/>
    <w:rsid w:val="008D1A85"/>
    <w:rsid w:val="008D2322"/>
    <w:rsid w:val="008D3E74"/>
    <w:rsid w:val="008D5592"/>
    <w:rsid w:val="008D6DB0"/>
    <w:rsid w:val="008D6FDA"/>
    <w:rsid w:val="008D730F"/>
    <w:rsid w:val="008E0429"/>
    <w:rsid w:val="008E1DAD"/>
    <w:rsid w:val="008E4FA4"/>
    <w:rsid w:val="008E79A9"/>
    <w:rsid w:val="008F1349"/>
    <w:rsid w:val="008F226B"/>
    <w:rsid w:val="008F2A58"/>
    <w:rsid w:val="008F374B"/>
    <w:rsid w:val="008F537E"/>
    <w:rsid w:val="008F7823"/>
    <w:rsid w:val="00900E6D"/>
    <w:rsid w:val="00902B46"/>
    <w:rsid w:val="009062F6"/>
    <w:rsid w:val="00906704"/>
    <w:rsid w:val="009100B7"/>
    <w:rsid w:val="00910BA8"/>
    <w:rsid w:val="00910EE3"/>
    <w:rsid w:val="00912B54"/>
    <w:rsid w:val="0091406C"/>
    <w:rsid w:val="00915329"/>
    <w:rsid w:val="00917F0C"/>
    <w:rsid w:val="00923EB4"/>
    <w:rsid w:val="00924A2D"/>
    <w:rsid w:val="00924AAC"/>
    <w:rsid w:val="00925485"/>
    <w:rsid w:val="0092629A"/>
    <w:rsid w:val="00930A69"/>
    <w:rsid w:val="00930CD7"/>
    <w:rsid w:val="00934C3B"/>
    <w:rsid w:val="00940417"/>
    <w:rsid w:val="0094093F"/>
    <w:rsid w:val="00941376"/>
    <w:rsid w:val="00942A25"/>
    <w:rsid w:val="00944515"/>
    <w:rsid w:val="00944C85"/>
    <w:rsid w:val="0094529E"/>
    <w:rsid w:val="009455E8"/>
    <w:rsid w:val="009546BE"/>
    <w:rsid w:val="00957665"/>
    <w:rsid w:val="00961735"/>
    <w:rsid w:val="00964747"/>
    <w:rsid w:val="0097181C"/>
    <w:rsid w:val="00972E81"/>
    <w:rsid w:val="00973E75"/>
    <w:rsid w:val="0097419A"/>
    <w:rsid w:val="00974AAB"/>
    <w:rsid w:val="00975F48"/>
    <w:rsid w:val="00976A2A"/>
    <w:rsid w:val="00980674"/>
    <w:rsid w:val="009820AE"/>
    <w:rsid w:val="009823D2"/>
    <w:rsid w:val="00982538"/>
    <w:rsid w:val="00985778"/>
    <w:rsid w:val="009862E3"/>
    <w:rsid w:val="00992488"/>
    <w:rsid w:val="0099384E"/>
    <w:rsid w:val="0099473B"/>
    <w:rsid w:val="00995383"/>
    <w:rsid w:val="00995ED4"/>
    <w:rsid w:val="009A0FB5"/>
    <w:rsid w:val="009A1B55"/>
    <w:rsid w:val="009A20D5"/>
    <w:rsid w:val="009A2839"/>
    <w:rsid w:val="009A4C7D"/>
    <w:rsid w:val="009A4F8A"/>
    <w:rsid w:val="009B034C"/>
    <w:rsid w:val="009C09B2"/>
    <w:rsid w:val="009C1536"/>
    <w:rsid w:val="009C393F"/>
    <w:rsid w:val="009C3D9F"/>
    <w:rsid w:val="009C534C"/>
    <w:rsid w:val="009C7528"/>
    <w:rsid w:val="009C7728"/>
    <w:rsid w:val="009D0DF5"/>
    <w:rsid w:val="009D62AA"/>
    <w:rsid w:val="009D6D25"/>
    <w:rsid w:val="009D6EC4"/>
    <w:rsid w:val="009D71A0"/>
    <w:rsid w:val="009D7CC5"/>
    <w:rsid w:val="009E47D9"/>
    <w:rsid w:val="009E558E"/>
    <w:rsid w:val="009F04C7"/>
    <w:rsid w:val="009F31C5"/>
    <w:rsid w:val="009F38F3"/>
    <w:rsid w:val="009F408A"/>
    <w:rsid w:val="009F4B63"/>
    <w:rsid w:val="009F4D62"/>
    <w:rsid w:val="009F7480"/>
    <w:rsid w:val="00A00552"/>
    <w:rsid w:val="00A01A2C"/>
    <w:rsid w:val="00A02798"/>
    <w:rsid w:val="00A036D4"/>
    <w:rsid w:val="00A04759"/>
    <w:rsid w:val="00A04841"/>
    <w:rsid w:val="00A10F1F"/>
    <w:rsid w:val="00A110BB"/>
    <w:rsid w:val="00A12264"/>
    <w:rsid w:val="00A12F86"/>
    <w:rsid w:val="00A17A45"/>
    <w:rsid w:val="00A17D92"/>
    <w:rsid w:val="00A230F9"/>
    <w:rsid w:val="00A25015"/>
    <w:rsid w:val="00A266E2"/>
    <w:rsid w:val="00A2783D"/>
    <w:rsid w:val="00A33DF5"/>
    <w:rsid w:val="00A3731D"/>
    <w:rsid w:val="00A37F49"/>
    <w:rsid w:val="00A417ED"/>
    <w:rsid w:val="00A464D4"/>
    <w:rsid w:val="00A51A53"/>
    <w:rsid w:val="00A54E4A"/>
    <w:rsid w:val="00A55EDF"/>
    <w:rsid w:val="00A611D1"/>
    <w:rsid w:val="00A62AAA"/>
    <w:rsid w:val="00A62BD5"/>
    <w:rsid w:val="00A646B3"/>
    <w:rsid w:val="00A67A3D"/>
    <w:rsid w:val="00A67AC3"/>
    <w:rsid w:val="00A70AF4"/>
    <w:rsid w:val="00A7134D"/>
    <w:rsid w:val="00A721C3"/>
    <w:rsid w:val="00A72558"/>
    <w:rsid w:val="00A740D6"/>
    <w:rsid w:val="00A765A9"/>
    <w:rsid w:val="00A77C70"/>
    <w:rsid w:val="00A83957"/>
    <w:rsid w:val="00A83C47"/>
    <w:rsid w:val="00A84787"/>
    <w:rsid w:val="00A9060E"/>
    <w:rsid w:val="00A90769"/>
    <w:rsid w:val="00A91B4E"/>
    <w:rsid w:val="00A91BF6"/>
    <w:rsid w:val="00A91C0A"/>
    <w:rsid w:val="00A91D14"/>
    <w:rsid w:val="00A9542E"/>
    <w:rsid w:val="00A9616A"/>
    <w:rsid w:val="00AA3733"/>
    <w:rsid w:val="00AA39BB"/>
    <w:rsid w:val="00AA3AF3"/>
    <w:rsid w:val="00AA4439"/>
    <w:rsid w:val="00AA4FE2"/>
    <w:rsid w:val="00AA5FE8"/>
    <w:rsid w:val="00AA622F"/>
    <w:rsid w:val="00AB04AB"/>
    <w:rsid w:val="00AB2874"/>
    <w:rsid w:val="00AB4232"/>
    <w:rsid w:val="00AB46AD"/>
    <w:rsid w:val="00AB4CCF"/>
    <w:rsid w:val="00AC0541"/>
    <w:rsid w:val="00AC11B3"/>
    <w:rsid w:val="00AC5504"/>
    <w:rsid w:val="00AD6FBD"/>
    <w:rsid w:val="00AE1698"/>
    <w:rsid w:val="00AE7A39"/>
    <w:rsid w:val="00AF0FB3"/>
    <w:rsid w:val="00AF35D9"/>
    <w:rsid w:val="00AF4F4C"/>
    <w:rsid w:val="00AF5611"/>
    <w:rsid w:val="00AF5F13"/>
    <w:rsid w:val="00AF72C9"/>
    <w:rsid w:val="00B01310"/>
    <w:rsid w:val="00B05742"/>
    <w:rsid w:val="00B07A8F"/>
    <w:rsid w:val="00B1023B"/>
    <w:rsid w:val="00B11381"/>
    <w:rsid w:val="00B208DD"/>
    <w:rsid w:val="00B23C17"/>
    <w:rsid w:val="00B2426E"/>
    <w:rsid w:val="00B2501A"/>
    <w:rsid w:val="00B26B98"/>
    <w:rsid w:val="00B26F01"/>
    <w:rsid w:val="00B26FDD"/>
    <w:rsid w:val="00B3019C"/>
    <w:rsid w:val="00B3216B"/>
    <w:rsid w:val="00B34406"/>
    <w:rsid w:val="00B40C79"/>
    <w:rsid w:val="00B41E2D"/>
    <w:rsid w:val="00B42FD9"/>
    <w:rsid w:val="00B51384"/>
    <w:rsid w:val="00B530E7"/>
    <w:rsid w:val="00B539D5"/>
    <w:rsid w:val="00B53AE0"/>
    <w:rsid w:val="00B54CB9"/>
    <w:rsid w:val="00B57BCC"/>
    <w:rsid w:val="00B602BB"/>
    <w:rsid w:val="00B6127B"/>
    <w:rsid w:val="00B61B77"/>
    <w:rsid w:val="00B62747"/>
    <w:rsid w:val="00B64CB8"/>
    <w:rsid w:val="00B64F07"/>
    <w:rsid w:val="00B664D1"/>
    <w:rsid w:val="00B6734C"/>
    <w:rsid w:val="00B74C8F"/>
    <w:rsid w:val="00B803DF"/>
    <w:rsid w:val="00B80542"/>
    <w:rsid w:val="00B860F5"/>
    <w:rsid w:val="00B9045D"/>
    <w:rsid w:val="00B945CB"/>
    <w:rsid w:val="00B97653"/>
    <w:rsid w:val="00B97E1F"/>
    <w:rsid w:val="00BA0194"/>
    <w:rsid w:val="00BA3764"/>
    <w:rsid w:val="00BA71C6"/>
    <w:rsid w:val="00BB062B"/>
    <w:rsid w:val="00BB0AC7"/>
    <w:rsid w:val="00BB0C25"/>
    <w:rsid w:val="00BB0D20"/>
    <w:rsid w:val="00BB2385"/>
    <w:rsid w:val="00BB5CBD"/>
    <w:rsid w:val="00BC08E4"/>
    <w:rsid w:val="00BC1434"/>
    <w:rsid w:val="00BC1671"/>
    <w:rsid w:val="00BC5931"/>
    <w:rsid w:val="00BC75AC"/>
    <w:rsid w:val="00BC76D3"/>
    <w:rsid w:val="00BD2EBC"/>
    <w:rsid w:val="00BD529F"/>
    <w:rsid w:val="00BE129C"/>
    <w:rsid w:val="00BE450F"/>
    <w:rsid w:val="00BE6058"/>
    <w:rsid w:val="00BE6B05"/>
    <w:rsid w:val="00BF02ED"/>
    <w:rsid w:val="00BF074E"/>
    <w:rsid w:val="00BF09E7"/>
    <w:rsid w:val="00BF3D91"/>
    <w:rsid w:val="00BF4EEE"/>
    <w:rsid w:val="00BF58CB"/>
    <w:rsid w:val="00BF7F48"/>
    <w:rsid w:val="00C02437"/>
    <w:rsid w:val="00C035F9"/>
    <w:rsid w:val="00C0371F"/>
    <w:rsid w:val="00C045BF"/>
    <w:rsid w:val="00C04E9E"/>
    <w:rsid w:val="00C05D1A"/>
    <w:rsid w:val="00C10E6C"/>
    <w:rsid w:val="00C11F57"/>
    <w:rsid w:val="00C140D3"/>
    <w:rsid w:val="00C15646"/>
    <w:rsid w:val="00C158A5"/>
    <w:rsid w:val="00C160F8"/>
    <w:rsid w:val="00C17F1E"/>
    <w:rsid w:val="00C22268"/>
    <w:rsid w:val="00C230B2"/>
    <w:rsid w:val="00C24F47"/>
    <w:rsid w:val="00C25627"/>
    <w:rsid w:val="00C26A85"/>
    <w:rsid w:val="00C31108"/>
    <w:rsid w:val="00C35B9C"/>
    <w:rsid w:val="00C40001"/>
    <w:rsid w:val="00C4195F"/>
    <w:rsid w:val="00C424E8"/>
    <w:rsid w:val="00C519B2"/>
    <w:rsid w:val="00C53AC6"/>
    <w:rsid w:val="00C5405E"/>
    <w:rsid w:val="00C576E7"/>
    <w:rsid w:val="00C618CA"/>
    <w:rsid w:val="00C67D99"/>
    <w:rsid w:val="00C73055"/>
    <w:rsid w:val="00C75B6E"/>
    <w:rsid w:val="00C835CD"/>
    <w:rsid w:val="00C836A7"/>
    <w:rsid w:val="00C8572F"/>
    <w:rsid w:val="00C86978"/>
    <w:rsid w:val="00C86A5E"/>
    <w:rsid w:val="00C90703"/>
    <w:rsid w:val="00C91A56"/>
    <w:rsid w:val="00C9219D"/>
    <w:rsid w:val="00C949F4"/>
    <w:rsid w:val="00C95661"/>
    <w:rsid w:val="00C967BA"/>
    <w:rsid w:val="00C96C09"/>
    <w:rsid w:val="00CA050C"/>
    <w:rsid w:val="00CA4420"/>
    <w:rsid w:val="00CA65EE"/>
    <w:rsid w:val="00CB2668"/>
    <w:rsid w:val="00CB3332"/>
    <w:rsid w:val="00CB6682"/>
    <w:rsid w:val="00CB6F42"/>
    <w:rsid w:val="00CC08A5"/>
    <w:rsid w:val="00CC25BA"/>
    <w:rsid w:val="00CC3301"/>
    <w:rsid w:val="00CD091C"/>
    <w:rsid w:val="00CD19E8"/>
    <w:rsid w:val="00CD30E6"/>
    <w:rsid w:val="00CD4A23"/>
    <w:rsid w:val="00CD4B26"/>
    <w:rsid w:val="00CD4C30"/>
    <w:rsid w:val="00CE05AF"/>
    <w:rsid w:val="00CE0D7C"/>
    <w:rsid w:val="00CE2054"/>
    <w:rsid w:val="00CE52D3"/>
    <w:rsid w:val="00CE556C"/>
    <w:rsid w:val="00CF0BCC"/>
    <w:rsid w:val="00CF1B67"/>
    <w:rsid w:val="00CF23B5"/>
    <w:rsid w:val="00CF2716"/>
    <w:rsid w:val="00CF4281"/>
    <w:rsid w:val="00D074C0"/>
    <w:rsid w:val="00D112C4"/>
    <w:rsid w:val="00D1348B"/>
    <w:rsid w:val="00D13835"/>
    <w:rsid w:val="00D14B94"/>
    <w:rsid w:val="00D201BD"/>
    <w:rsid w:val="00D21342"/>
    <w:rsid w:val="00D21CB1"/>
    <w:rsid w:val="00D21FC4"/>
    <w:rsid w:val="00D23303"/>
    <w:rsid w:val="00D235CB"/>
    <w:rsid w:val="00D27E1C"/>
    <w:rsid w:val="00D33E83"/>
    <w:rsid w:val="00D350DD"/>
    <w:rsid w:val="00D37543"/>
    <w:rsid w:val="00D41C6A"/>
    <w:rsid w:val="00D42EA0"/>
    <w:rsid w:val="00D44A98"/>
    <w:rsid w:val="00D4671F"/>
    <w:rsid w:val="00D50937"/>
    <w:rsid w:val="00D50F0A"/>
    <w:rsid w:val="00D54807"/>
    <w:rsid w:val="00D54A41"/>
    <w:rsid w:val="00D62C85"/>
    <w:rsid w:val="00D62CA9"/>
    <w:rsid w:val="00D65793"/>
    <w:rsid w:val="00D66FDA"/>
    <w:rsid w:val="00D6784E"/>
    <w:rsid w:val="00D73995"/>
    <w:rsid w:val="00D77F4B"/>
    <w:rsid w:val="00D8369D"/>
    <w:rsid w:val="00D8419D"/>
    <w:rsid w:val="00D8464D"/>
    <w:rsid w:val="00D94282"/>
    <w:rsid w:val="00DA1532"/>
    <w:rsid w:val="00DA1FED"/>
    <w:rsid w:val="00DB0119"/>
    <w:rsid w:val="00DB4003"/>
    <w:rsid w:val="00DB41BD"/>
    <w:rsid w:val="00DB5323"/>
    <w:rsid w:val="00DC2B00"/>
    <w:rsid w:val="00DC67E4"/>
    <w:rsid w:val="00DD1727"/>
    <w:rsid w:val="00DD25E5"/>
    <w:rsid w:val="00DD4FE0"/>
    <w:rsid w:val="00DE2399"/>
    <w:rsid w:val="00DE5058"/>
    <w:rsid w:val="00DE5B5B"/>
    <w:rsid w:val="00DE5BF4"/>
    <w:rsid w:val="00DE623F"/>
    <w:rsid w:val="00DF0E62"/>
    <w:rsid w:val="00DF5BA6"/>
    <w:rsid w:val="00DF6E06"/>
    <w:rsid w:val="00E00B50"/>
    <w:rsid w:val="00E02A0F"/>
    <w:rsid w:val="00E05CB4"/>
    <w:rsid w:val="00E06549"/>
    <w:rsid w:val="00E115B5"/>
    <w:rsid w:val="00E14185"/>
    <w:rsid w:val="00E14589"/>
    <w:rsid w:val="00E15271"/>
    <w:rsid w:val="00E1532A"/>
    <w:rsid w:val="00E16E3C"/>
    <w:rsid w:val="00E21B1C"/>
    <w:rsid w:val="00E227A8"/>
    <w:rsid w:val="00E25200"/>
    <w:rsid w:val="00E30D7E"/>
    <w:rsid w:val="00E322A7"/>
    <w:rsid w:val="00E35F70"/>
    <w:rsid w:val="00E36A8B"/>
    <w:rsid w:val="00E40D5B"/>
    <w:rsid w:val="00E41840"/>
    <w:rsid w:val="00E41B56"/>
    <w:rsid w:val="00E41BD1"/>
    <w:rsid w:val="00E41C7D"/>
    <w:rsid w:val="00E42962"/>
    <w:rsid w:val="00E4442F"/>
    <w:rsid w:val="00E47D27"/>
    <w:rsid w:val="00E5056A"/>
    <w:rsid w:val="00E5134A"/>
    <w:rsid w:val="00E52E7D"/>
    <w:rsid w:val="00E55C09"/>
    <w:rsid w:val="00E57DCA"/>
    <w:rsid w:val="00E57F2F"/>
    <w:rsid w:val="00E616DC"/>
    <w:rsid w:val="00E63060"/>
    <w:rsid w:val="00E63496"/>
    <w:rsid w:val="00E634F9"/>
    <w:rsid w:val="00E63FC0"/>
    <w:rsid w:val="00E67929"/>
    <w:rsid w:val="00E708E0"/>
    <w:rsid w:val="00E70EE2"/>
    <w:rsid w:val="00E71B11"/>
    <w:rsid w:val="00E73129"/>
    <w:rsid w:val="00E73DF4"/>
    <w:rsid w:val="00E75CA8"/>
    <w:rsid w:val="00E767A1"/>
    <w:rsid w:val="00E76FC3"/>
    <w:rsid w:val="00E77A65"/>
    <w:rsid w:val="00E815A6"/>
    <w:rsid w:val="00E87C5D"/>
    <w:rsid w:val="00E87CD8"/>
    <w:rsid w:val="00E912C9"/>
    <w:rsid w:val="00E92F44"/>
    <w:rsid w:val="00E93047"/>
    <w:rsid w:val="00E9639D"/>
    <w:rsid w:val="00EA2CAC"/>
    <w:rsid w:val="00EA387F"/>
    <w:rsid w:val="00EA39B7"/>
    <w:rsid w:val="00EA3DFD"/>
    <w:rsid w:val="00EB020D"/>
    <w:rsid w:val="00EB57F2"/>
    <w:rsid w:val="00EB6A53"/>
    <w:rsid w:val="00EB70C8"/>
    <w:rsid w:val="00EB75FE"/>
    <w:rsid w:val="00EC2BDA"/>
    <w:rsid w:val="00EC3232"/>
    <w:rsid w:val="00EC53DB"/>
    <w:rsid w:val="00EC605E"/>
    <w:rsid w:val="00EC697D"/>
    <w:rsid w:val="00EC6BBF"/>
    <w:rsid w:val="00EC6D01"/>
    <w:rsid w:val="00ED1A2A"/>
    <w:rsid w:val="00ED35E2"/>
    <w:rsid w:val="00ED3FFD"/>
    <w:rsid w:val="00ED5676"/>
    <w:rsid w:val="00ED585B"/>
    <w:rsid w:val="00ED66BA"/>
    <w:rsid w:val="00ED7696"/>
    <w:rsid w:val="00EE2C65"/>
    <w:rsid w:val="00EE3123"/>
    <w:rsid w:val="00EE56D7"/>
    <w:rsid w:val="00EE594B"/>
    <w:rsid w:val="00EE6F00"/>
    <w:rsid w:val="00EF2BF4"/>
    <w:rsid w:val="00EF2EFB"/>
    <w:rsid w:val="00EF546A"/>
    <w:rsid w:val="00EF5849"/>
    <w:rsid w:val="00EF5F5D"/>
    <w:rsid w:val="00F01554"/>
    <w:rsid w:val="00F01F69"/>
    <w:rsid w:val="00F0698E"/>
    <w:rsid w:val="00F10C86"/>
    <w:rsid w:val="00F11BAF"/>
    <w:rsid w:val="00F140FB"/>
    <w:rsid w:val="00F148E1"/>
    <w:rsid w:val="00F17DF5"/>
    <w:rsid w:val="00F24131"/>
    <w:rsid w:val="00F2522A"/>
    <w:rsid w:val="00F25446"/>
    <w:rsid w:val="00F254A8"/>
    <w:rsid w:val="00F2781A"/>
    <w:rsid w:val="00F31E3F"/>
    <w:rsid w:val="00F34AF3"/>
    <w:rsid w:val="00F37F2A"/>
    <w:rsid w:val="00F40D84"/>
    <w:rsid w:val="00F42D70"/>
    <w:rsid w:val="00F43B26"/>
    <w:rsid w:val="00F44875"/>
    <w:rsid w:val="00F45026"/>
    <w:rsid w:val="00F45782"/>
    <w:rsid w:val="00F477D3"/>
    <w:rsid w:val="00F50A42"/>
    <w:rsid w:val="00F50DDE"/>
    <w:rsid w:val="00F53B82"/>
    <w:rsid w:val="00F562AB"/>
    <w:rsid w:val="00F5733E"/>
    <w:rsid w:val="00F573E5"/>
    <w:rsid w:val="00F607CF"/>
    <w:rsid w:val="00F6145A"/>
    <w:rsid w:val="00F63B8E"/>
    <w:rsid w:val="00F64A49"/>
    <w:rsid w:val="00F70A4A"/>
    <w:rsid w:val="00F7707A"/>
    <w:rsid w:val="00F77DEF"/>
    <w:rsid w:val="00F77E01"/>
    <w:rsid w:val="00F819F4"/>
    <w:rsid w:val="00F81B5A"/>
    <w:rsid w:val="00F81E0A"/>
    <w:rsid w:val="00F85ED2"/>
    <w:rsid w:val="00F87AA2"/>
    <w:rsid w:val="00F9334C"/>
    <w:rsid w:val="00F93F6B"/>
    <w:rsid w:val="00F93F6C"/>
    <w:rsid w:val="00F95DB9"/>
    <w:rsid w:val="00F96E25"/>
    <w:rsid w:val="00FA3A19"/>
    <w:rsid w:val="00FA3D95"/>
    <w:rsid w:val="00FA496C"/>
    <w:rsid w:val="00FA7BD1"/>
    <w:rsid w:val="00FB60D8"/>
    <w:rsid w:val="00FC3252"/>
    <w:rsid w:val="00FC4597"/>
    <w:rsid w:val="00FC52F6"/>
    <w:rsid w:val="00FC68A2"/>
    <w:rsid w:val="00FD0BF7"/>
    <w:rsid w:val="00FD15B0"/>
    <w:rsid w:val="00FD4CFE"/>
    <w:rsid w:val="00FD5777"/>
    <w:rsid w:val="00FE54EF"/>
    <w:rsid w:val="00FE727C"/>
    <w:rsid w:val="00FE784C"/>
    <w:rsid w:val="00FF21FC"/>
    <w:rsid w:val="00FF4BC7"/>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58BE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6E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948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4895"/>
  </w:style>
  <w:style w:type="character" w:styleId="PageNumber">
    <w:name w:val="page number"/>
    <w:basedOn w:val="DefaultParagraphFont"/>
    <w:rsid w:val="00094895"/>
  </w:style>
  <w:style w:type="paragraph" w:styleId="Header">
    <w:name w:val="header"/>
    <w:basedOn w:val="Normal"/>
    <w:link w:val="HeaderChar"/>
    <w:uiPriority w:val="99"/>
    <w:unhideWhenUsed/>
    <w:rsid w:val="000948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4895"/>
  </w:style>
  <w:style w:type="paragraph" w:styleId="BalloonText">
    <w:name w:val="Balloon Text"/>
    <w:basedOn w:val="Normal"/>
    <w:link w:val="BalloonTextChar"/>
    <w:uiPriority w:val="99"/>
    <w:semiHidden/>
    <w:unhideWhenUsed/>
    <w:rsid w:val="000948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4895"/>
    <w:rPr>
      <w:rFonts w:ascii="Tahoma" w:hAnsi="Tahoma" w:cs="Tahoma"/>
      <w:sz w:val="16"/>
      <w:szCs w:val="16"/>
    </w:rPr>
  </w:style>
  <w:style w:type="paragraph" w:styleId="ListParagraph">
    <w:name w:val="List Paragraph"/>
    <w:basedOn w:val="Normal"/>
    <w:uiPriority w:val="99"/>
    <w:qFormat/>
    <w:rsid w:val="002D7C45"/>
    <w:pPr>
      <w:ind w:left="720"/>
      <w:contextualSpacing/>
    </w:pPr>
  </w:style>
  <w:style w:type="paragraph" w:customStyle="1" w:styleId="Char1">
    <w:name w:val="Char1"/>
    <w:basedOn w:val="Normal"/>
    <w:rsid w:val="00814885"/>
    <w:pPr>
      <w:spacing w:after="0" w:line="240" w:lineRule="auto"/>
    </w:pPr>
    <w:rPr>
      <w:rFonts w:ascii="Arial" w:eastAsia="Times New Roman" w:hAnsi="Arial" w:cs="Arial"/>
    </w:rPr>
  </w:style>
  <w:style w:type="character" w:styleId="CommentReference">
    <w:name w:val="annotation reference"/>
    <w:basedOn w:val="DefaultParagraphFont"/>
    <w:uiPriority w:val="99"/>
    <w:semiHidden/>
    <w:unhideWhenUsed/>
    <w:rsid w:val="003441D2"/>
    <w:rPr>
      <w:sz w:val="16"/>
      <w:szCs w:val="16"/>
    </w:rPr>
  </w:style>
  <w:style w:type="paragraph" w:styleId="CommentText">
    <w:name w:val="annotation text"/>
    <w:basedOn w:val="Normal"/>
    <w:link w:val="CommentTextChar"/>
    <w:uiPriority w:val="99"/>
    <w:unhideWhenUsed/>
    <w:rsid w:val="003441D2"/>
    <w:pPr>
      <w:spacing w:line="240" w:lineRule="auto"/>
    </w:pPr>
    <w:rPr>
      <w:sz w:val="20"/>
      <w:szCs w:val="20"/>
    </w:rPr>
  </w:style>
  <w:style w:type="character" w:customStyle="1" w:styleId="CommentTextChar">
    <w:name w:val="Comment Text Char"/>
    <w:basedOn w:val="DefaultParagraphFont"/>
    <w:link w:val="CommentText"/>
    <w:uiPriority w:val="99"/>
    <w:rsid w:val="003441D2"/>
    <w:rPr>
      <w:sz w:val="20"/>
      <w:szCs w:val="20"/>
    </w:rPr>
  </w:style>
  <w:style w:type="paragraph" w:styleId="CommentSubject">
    <w:name w:val="annotation subject"/>
    <w:basedOn w:val="CommentText"/>
    <w:next w:val="CommentText"/>
    <w:link w:val="CommentSubjectChar"/>
    <w:uiPriority w:val="99"/>
    <w:semiHidden/>
    <w:unhideWhenUsed/>
    <w:rsid w:val="002C0212"/>
    <w:rPr>
      <w:b/>
      <w:bCs/>
    </w:rPr>
  </w:style>
  <w:style w:type="character" w:customStyle="1" w:styleId="CommentSubjectChar">
    <w:name w:val="Comment Subject Char"/>
    <w:basedOn w:val="CommentTextChar"/>
    <w:link w:val="CommentSubject"/>
    <w:uiPriority w:val="99"/>
    <w:semiHidden/>
    <w:rsid w:val="002C0212"/>
    <w:rPr>
      <w:b/>
      <w:bCs/>
      <w:sz w:val="20"/>
      <w:szCs w:val="20"/>
    </w:rPr>
  </w:style>
  <w:style w:type="table" w:styleId="TableGrid">
    <w:name w:val="Table Grid"/>
    <w:basedOn w:val="TableNormal"/>
    <w:uiPriority w:val="59"/>
    <w:rsid w:val="008436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1">
    <w:name w:val="Char11"/>
    <w:basedOn w:val="Normal"/>
    <w:rsid w:val="002A2A65"/>
    <w:pPr>
      <w:spacing w:after="0" w:line="240" w:lineRule="auto"/>
    </w:pPr>
    <w:rPr>
      <w:rFonts w:ascii="Arial" w:eastAsia="Times New Roman" w:hAnsi="Arial" w:cs="Arial"/>
    </w:rPr>
  </w:style>
  <w:style w:type="paragraph" w:styleId="FootnoteText">
    <w:name w:val="footnote text"/>
    <w:basedOn w:val="Normal"/>
    <w:link w:val="FootnoteTextChar"/>
    <w:uiPriority w:val="99"/>
    <w:semiHidden/>
    <w:unhideWhenUsed/>
    <w:rsid w:val="00D6579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65793"/>
    <w:rPr>
      <w:sz w:val="20"/>
      <w:szCs w:val="20"/>
    </w:rPr>
  </w:style>
  <w:style w:type="character" w:styleId="FootnoteReference">
    <w:name w:val="footnote reference"/>
    <w:uiPriority w:val="99"/>
    <w:rsid w:val="00D65793"/>
  </w:style>
  <w:style w:type="character" w:styleId="Hyperlink">
    <w:name w:val="Hyperlink"/>
    <w:basedOn w:val="DefaultParagraphFont"/>
    <w:uiPriority w:val="99"/>
    <w:semiHidden/>
    <w:unhideWhenUsed/>
    <w:rsid w:val="00A37F49"/>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6E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948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4895"/>
  </w:style>
  <w:style w:type="character" w:styleId="PageNumber">
    <w:name w:val="page number"/>
    <w:basedOn w:val="DefaultParagraphFont"/>
    <w:rsid w:val="00094895"/>
  </w:style>
  <w:style w:type="paragraph" w:styleId="Header">
    <w:name w:val="header"/>
    <w:basedOn w:val="Normal"/>
    <w:link w:val="HeaderChar"/>
    <w:uiPriority w:val="99"/>
    <w:unhideWhenUsed/>
    <w:rsid w:val="000948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4895"/>
  </w:style>
  <w:style w:type="paragraph" w:styleId="BalloonText">
    <w:name w:val="Balloon Text"/>
    <w:basedOn w:val="Normal"/>
    <w:link w:val="BalloonTextChar"/>
    <w:uiPriority w:val="99"/>
    <w:semiHidden/>
    <w:unhideWhenUsed/>
    <w:rsid w:val="000948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4895"/>
    <w:rPr>
      <w:rFonts w:ascii="Tahoma" w:hAnsi="Tahoma" w:cs="Tahoma"/>
      <w:sz w:val="16"/>
      <w:szCs w:val="16"/>
    </w:rPr>
  </w:style>
  <w:style w:type="paragraph" w:styleId="ListParagraph">
    <w:name w:val="List Paragraph"/>
    <w:basedOn w:val="Normal"/>
    <w:uiPriority w:val="99"/>
    <w:qFormat/>
    <w:rsid w:val="002D7C45"/>
    <w:pPr>
      <w:ind w:left="720"/>
      <w:contextualSpacing/>
    </w:pPr>
  </w:style>
  <w:style w:type="paragraph" w:customStyle="1" w:styleId="Char1">
    <w:name w:val="Char1"/>
    <w:basedOn w:val="Normal"/>
    <w:rsid w:val="00814885"/>
    <w:pPr>
      <w:spacing w:after="0" w:line="240" w:lineRule="auto"/>
    </w:pPr>
    <w:rPr>
      <w:rFonts w:ascii="Arial" w:eastAsia="Times New Roman" w:hAnsi="Arial" w:cs="Arial"/>
    </w:rPr>
  </w:style>
  <w:style w:type="character" w:styleId="CommentReference">
    <w:name w:val="annotation reference"/>
    <w:basedOn w:val="DefaultParagraphFont"/>
    <w:uiPriority w:val="99"/>
    <w:semiHidden/>
    <w:unhideWhenUsed/>
    <w:rsid w:val="003441D2"/>
    <w:rPr>
      <w:sz w:val="16"/>
      <w:szCs w:val="16"/>
    </w:rPr>
  </w:style>
  <w:style w:type="paragraph" w:styleId="CommentText">
    <w:name w:val="annotation text"/>
    <w:basedOn w:val="Normal"/>
    <w:link w:val="CommentTextChar"/>
    <w:uiPriority w:val="99"/>
    <w:unhideWhenUsed/>
    <w:rsid w:val="003441D2"/>
    <w:pPr>
      <w:spacing w:line="240" w:lineRule="auto"/>
    </w:pPr>
    <w:rPr>
      <w:sz w:val="20"/>
      <w:szCs w:val="20"/>
    </w:rPr>
  </w:style>
  <w:style w:type="character" w:customStyle="1" w:styleId="CommentTextChar">
    <w:name w:val="Comment Text Char"/>
    <w:basedOn w:val="DefaultParagraphFont"/>
    <w:link w:val="CommentText"/>
    <w:uiPriority w:val="99"/>
    <w:rsid w:val="003441D2"/>
    <w:rPr>
      <w:sz w:val="20"/>
      <w:szCs w:val="20"/>
    </w:rPr>
  </w:style>
  <w:style w:type="paragraph" w:styleId="CommentSubject">
    <w:name w:val="annotation subject"/>
    <w:basedOn w:val="CommentText"/>
    <w:next w:val="CommentText"/>
    <w:link w:val="CommentSubjectChar"/>
    <w:uiPriority w:val="99"/>
    <w:semiHidden/>
    <w:unhideWhenUsed/>
    <w:rsid w:val="002C0212"/>
    <w:rPr>
      <w:b/>
      <w:bCs/>
    </w:rPr>
  </w:style>
  <w:style w:type="character" w:customStyle="1" w:styleId="CommentSubjectChar">
    <w:name w:val="Comment Subject Char"/>
    <w:basedOn w:val="CommentTextChar"/>
    <w:link w:val="CommentSubject"/>
    <w:uiPriority w:val="99"/>
    <w:semiHidden/>
    <w:rsid w:val="002C0212"/>
    <w:rPr>
      <w:b/>
      <w:bCs/>
      <w:sz w:val="20"/>
      <w:szCs w:val="20"/>
    </w:rPr>
  </w:style>
  <w:style w:type="table" w:styleId="TableGrid">
    <w:name w:val="Table Grid"/>
    <w:basedOn w:val="TableNormal"/>
    <w:uiPriority w:val="59"/>
    <w:rsid w:val="008436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1">
    <w:name w:val="Char11"/>
    <w:basedOn w:val="Normal"/>
    <w:rsid w:val="002A2A65"/>
    <w:pPr>
      <w:spacing w:after="0" w:line="240" w:lineRule="auto"/>
    </w:pPr>
    <w:rPr>
      <w:rFonts w:ascii="Arial" w:eastAsia="Times New Roman" w:hAnsi="Arial" w:cs="Arial"/>
    </w:rPr>
  </w:style>
  <w:style w:type="paragraph" w:styleId="FootnoteText">
    <w:name w:val="footnote text"/>
    <w:basedOn w:val="Normal"/>
    <w:link w:val="FootnoteTextChar"/>
    <w:uiPriority w:val="99"/>
    <w:semiHidden/>
    <w:unhideWhenUsed/>
    <w:rsid w:val="00D6579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65793"/>
    <w:rPr>
      <w:sz w:val="20"/>
      <w:szCs w:val="20"/>
    </w:rPr>
  </w:style>
  <w:style w:type="character" w:styleId="FootnoteReference">
    <w:name w:val="footnote reference"/>
    <w:uiPriority w:val="99"/>
    <w:rsid w:val="00D65793"/>
  </w:style>
  <w:style w:type="character" w:styleId="Hyperlink">
    <w:name w:val="Hyperlink"/>
    <w:basedOn w:val="DefaultParagraphFont"/>
    <w:uiPriority w:val="99"/>
    <w:semiHidden/>
    <w:unhideWhenUsed/>
    <w:rsid w:val="00A37F49"/>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7831441">
      <w:bodyDiv w:val="1"/>
      <w:marLeft w:val="0"/>
      <w:marRight w:val="0"/>
      <w:marTop w:val="0"/>
      <w:marBottom w:val="0"/>
      <w:divBdr>
        <w:top w:val="none" w:sz="0" w:space="0" w:color="auto"/>
        <w:left w:val="none" w:sz="0" w:space="0" w:color="auto"/>
        <w:bottom w:val="none" w:sz="0" w:space="0" w:color="auto"/>
        <w:right w:val="none" w:sz="0" w:space="0" w:color="auto"/>
      </w:divBdr>
    </w:div>
    <w:div w:id="1859200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61FEBB-772F-432C-9EB7-7484700CAD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1316</Words>
  <Characters>7507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Dept Health And Ageing</Company>
  <LinksUpToDate>false</LinksUpToDate>
  <CharactersWithSpaces>8806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Valenzuela Marcela</dc:creator>
  <cp:lastModifiedBy>McCandless Sean</cp:lastModifiedBy>
  <cp:revision>2</cp:revision>
  <cp:lastPrinted>2015-06-24T01:59:00Z</cp:lastPrinted>
  <dcterms:created xsi:type="dcterms:W3CDTF">2015-07-28T01:01:00Z</dcterms:created>
  <dcterms:modified xsi:type="dcterms:W3CDTF">2015-07-28T01:01:00Z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DOCTYPE">
    <vt:lpwstr/>
  </property>
  <property fmtid="{D5CDD505-2E9C-101B-9397-08002B2CF9AE}" pid="3" name="DraftType">
    <vt:lpwstr/>
  </property>
  <property fmtid="{D5CDD505-2E9C-101B-9397-08002B2CF9AE}" pid="4" name="WPLUSServerName">
    <vt:lpwstr/>
  </property>
  <property fmtid="{D5CDD505-2E9C-101B-9397-08002B2CF9AE}" pid="5" name="WPLUSDataBaseName">
    <vt:lpwstr/>
  </property>
  <property fmtid="{D5CDD505-2E9C-101B-9397-08002B2CF9AE}" pid="6" name="WPLUSDocumentUNID">
    <vt:lpwstr/>
  </property>
  <property fmtid="{D5CDD505-2E9C-101B-9397-08002B2CF9AE}" pid="7" name="NeverSavedToNT">
    <vt:lpwstr/>
  </property>
</Properties>
</file>